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51B43">
      <w:pPr>
        <w:jc w:val="center"/>
        <w:rPr>
          <w:rFonts w:hint="eastAsia" w:ascii="宋体" w:hAnsi="宋体" w:eastAsia="宋体" w:cs="宋体"/>
          <w:b/>
          <w:bCs/>
          <w:color w:val="000000" w:themeColor="text1"/>
          <w:sz w:val="44"/>
          <w:szCs w:val="44"/>
          <w:highlight w:val="none"/>
          <w:lang w:val="en-US" w:eastAsia="zh-CN"/>
          <w14:textFill>
            <w14:solidFill>
              <w14:schemeClr w14:val="tx1"/>
            </w14:solidFill>
          </w14:textFill>
        </w:rPr>
      </w:pPr>
      <w:r>
        <w:rPr>
          <w:rFonts w:hint="eastAsia" w:cs="宋体"/>
          <w:b/>
          <w:bCs/>
          <w:color w:val="000000" w:themeColor="text1"/>
          <w:sz w:val="44"/>
          <w:szCs w:val="44"/>
          <w:highlight w:val="none"/>
          <w:lang w:val="en-US" w:eastAsia="zh-CN"/>
          <w14:textFill>
            <w14:solidFill>
              <w14:schemeClr w14:val="tx1"/>
            </w14:solidFill>
          </w14:textFill>
        </w:rPr>
        <w:t xml:space="preserve"> </w:t>
      </w:r>
    </w:p>
    <w:p w14:paraId="5A4CAE94">
      <w:pPr>
        <w:pStyle w:val="24"/>
        <w:rPr>
          <w:rFonts w:hint="eastAsia"/>
          <w:highlight w:val="none"/>
        </w:rPr>
      </w:pPr>
    </w:p>
    <w:p w14:paraId="40AA2EF1">
      <w:pPr>
        <w:jc w:val="center"/>
        <w:rPr>
          <w:rFonts w:hint="default" w:ascii="宋体" w:hAnsi="宋体" w:eastAsia="宋体;SimSun" w:cs="宋体"/>
          <w:b/>
          <w:bCs/>
          <w:color w:val="000000" w:themeColor="text1"/>
          <w:sz w:val="48"/>
          <w:szCs w:val="48"/>
          <w:highlight w:val="none"/>
          <w:lang w:val="en-US" w:eastAsia="zh-CN"/>
          <w14:textFill>
            <w14:solidFill>
              <w14:schemeClr w14:val="tx1"/>
            </w14:solidFill>
          </w14:textFill>
        </w:rPr>
      </w:pPr>
      <w:r>
        <w:rPr>
          <w:rFonts w:hint="eastAsia" w:cs="宋体"/>
          <w:b/>
          <w:bCs/>
          <w:color w:val="000000" w:themeColor="text1"/>
          <w:sz w:val="48"/>
          <w:szCs w:val="48"/>
          <w:highlight w:val="none"/>
          <w:lang w:eastAsia="zh-CN"/>
          <w14:textFill>
            <w14:solidFill>
              <w14:schemeClr w14:val="tx1"/>
            </w14:solidFill>
          </w14:textFill>
        </w:rPr>
        <w:t>墨玉县基层公共就业服务网点建设与运营服务项目（三次）</w:t>
      </w:r>
    </w:p>
    <w:p w14:paraId="159960B6">
      <w:pPr>
        <w:outlineLvl w:val="9"/>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p>
    <w:p w14:paraId="250891DD">
      <w:pPr>
        <w:rPr>
          <w:rFonts w:hint="eastAsia"/>
          <w:highlight w:val="none"/>
          <w:lang w:val="en-US" w:eastAsia="zh-CN"/>
        </w:rPr>
      </w:pPr>
    </w:p>
    <w:p w14:paraId="3B374A21">
      <w:pPr>
        <w:rPr>
          <w:rFonts w:hint="eastAsia"/>
          <w:highlight w:val="none"/>
          <w:lang w:val="en-US" w:eastAsia="zh-CN"/>
        </w:rPr>
      </w:pPr>
    </w:p>
    <w:p w14:paraId="76CD4D70">
      <w:pPr>
        <w:rPr>
          <w:rFonts w:hint="eastAsia"/>
          <w:highlight w:val="none"/>
          <w:lang w:val="en-US" w:eastAsia="zh-CN"/>
        </w:rPr>
      </w:pPr>
    </w:p>
    <w:p w14:paraId="092B8815">
      <w:pPr>
        <w:rPr>
          <w:rFonts w:hint="default"/>
          <w:color w:val="000000" w:themeColor="text1"/>
          <w:highlight w:val="none"/>
          <w:lang w:val="en-US" w:eastAsia="zh-CN"/>
          <w14:textFill>
            <w14:solidFill>
              <w14:schemeClr w14:val="tx1"/>
            </w14:solidFill>
          </w14:textFill>
        </w:rPr>
      </w:pPr>
    </w:p>
    <w:p w14:paraId="252B4FC1">
      <w:pPr>
        <w:jc w:val="center"/>
        <w:rPr>
          <w:rFonts w:ascii="宋体" w:hAnsi="宋体" w:cs="宋体"/>
          <w:color w:val="000000" w:themeColor="text1"/>
          <w:sz w:val="48"/>
          <w:szCs w:val="48"/>
          <w:highlight w:val="none"/>
          <w14:textFill>
            <w14:solidFill>
              <w14:schemeClr w14:val="tx1"/>
            </w14:solidFill>
          </w14:textFill>
        </w:rPr>
      </w:pPr>
      <w:r>
        <w:rPr>
          <w:rFonts w:hint="eastAsia" w:ascii="宋体" w:hAnsi="宋体" w:cs="宋体"/>
          <w:b/>
          <w:bCs/>
          <w:color w:val="000000" w:themeColor="text1"/>
          <w:sz w:val="72"/>
          <w:szCs w:val="72"/>
          <w:highlight w:val="none"/>
          <w14:textFill>
            <w14:solidFill>
              <w14:schemeClr w14:val="tx1"/>
            </w14:solidFill>
          </w14:textFill>
        </w:rPr>
        <w:t>竞争性磋商文件</w:t>
      </w:r>
    </w:p>
    <w:p w14:paraId="32304A55">
      <w:pPr>
        <w:ind w:firstLine="210"/>
        <w:rPr>
          <w:rFonts w:ascii="宋体" w:hAnsi="宋体" w:cs="宋体"/>
          <w:color w:val="000000" w:themeColor="text1"/>
          <w:highlight w:val="none"/>
          <w14:textFill>
            <w14:solidFill>
              <w14:schemeClr w14:val="tx1"/>
            </w14:solidFill>
          </w14:textFill>
        </w:rPr>
      </w:pPr>
    </w:p>
    <w:p w14:paraId="10479CB5">
      <w:pPr>
        <w:outlineLvl w:val="9"/>
        <w:rPr>
          <w:rFonts w:hint="eastAsia" w:ascii="宋体" w:hAnsi="宋体" w:cs="宋体"/>
          <w:color w:val="000000" w:themeColor="text1"/>
          <w:sz w:val="28"/>
          <w:szCs w:val="28"/>
          <w:highlight w:val="none"/>
          <w14:textFill>
            <w14:solidFill>
              <w14:schemeClr w14:val="tx1"/>
            </w14:solidFill>
          </w14:textFill>
        </w:rPr>
      </w:pPr>
    </w:p>
    <w:p w14:paraId="2BF23D89">
      <w:pPr>
        <w:rPr>
          <w:rFonts w:hint="eastAsia" w:ascii="宋体" w:hAnsi="宋体" w:cs="宋体"/>
          <w:color w:val="000000" w:themeColor="text1"/>
          <w:sz w:val="28"/>
          <w:szCs w:val="28"/>
          <w:highlight w:val="none"/>
          <w14:textFill>
            <w14:solidFill>
              <w14:schemeClr w14:val="tx1"/>
            </w14:solidFill>
          </w14:textFill>
        </w:rPr>
      </w:pPr>
    </w:p>
    <w:p w14:paraId="02EEEABF">
      <w:pPr>
        <w:pStyle w:val="65"/>
        <w:rPr>
          <w:rFonts w:hint="eastAsia"/>
          <w:color w:val="000000" w:themeColor="text1"/>
          <w:highlight w:val="none"/>
          <w14:textFill>
            <w14:solidFill>
              <w14:schemeClr w14:val="tx1"/>
            </w14:solidFill>
          </w14:textFill>
        </w:rPr>
      </w:pPr>
    </w:p>
    <w:p w14:paraId="1FD438CA">
      <w:pPr>
        <w:pStyle w:val="65"/>
        <w:rPr>
          <w:rFonts w:hint="eastAsia"/>
          <w:color w:val="000000" w:themeColor="text1"/>
          <w:highlight w:val="none"/>
          <w14:textFill>
            <w14:solidFill>
              <w14:schemeClr w14:val="tx1"/>
            </w14:solidFill>
          </w14:textFill>
        </w:rPr>
      </w:pPr>
    </w:p>
    <w:p w14:paraId="72AEE98A">
      <w:pPr>
        <w:rPr>
          <w:rFonts w:hint="eastAsia"/>
          <w:color w:val="000000" w:themeColor="text1"/>
          <w:highlight w:val="none"/>
          <w14:textFill>
            <w14:solidFill>
              <w14:schemeClr w14:val="tx1"/>
            </w14:solidFill>
          </w14:textFill>
        </w:rPr>
      </w:pPr>
    </w:p>
    <w:p w14:paraId="09927D5B">
      <w:pPr>
        <w:spacing w:line="480" w:lineRule="auto"/>
        <w:ind w:left="420" w:leftChars="175"/>
        <w:rPr>
          <w:rFonts w:hint="default" w:ascii="宋体" w:hAnsi="宋体" w:eastAsia="宋体" w:cs="宋体"/>
          <w:color w:val="000000" w:themeColor="text1"/>
          <w:sz w:val="36"/>
          <w:szCs w:val="36"/>
          <w:highlight w:val="none"/>
          <w:u w:val="single"/>
          <w:lang w:val="en-US"/>
          <w14:textFill>
            <w14:solidFill>
              <w14:schemeClr w14:val="tx1"/>
            </w14:solidFill>
          </w14:textFill>
        </w:rPr>
      </w:pPr>
      <w:r>
        <w:rPr>
          <w:rFonts w:hint="eastAsia" w:ascii="宋体" w:hAnsi="宋体" w:eastAsia="宋体" w:cs="宋体"/>
          <w:color w:val="000000" w:themeColor="text1"/>
          <w:spacing w:val="12"/>
          <w:kern w:val="0"/>
          <w:sz w:val="36"/>
          <w:szCs w:val="36"/>
          <w:highlight w:val="none"/>
          <w:fitText w:val="2520" w:id="863182194"/>
          <w14:textFill>
            <w14:solidFill>
              <w14:schemeClr w14:val="tx1"/>
            </w14:solidFill>
          </w14:textFill>
        </w:rPr>
        <w:t>项</w:t>
      </w:r>
      <w:r>
        <w:rPr>
          <w:rFonts w:hint="eastAsia" w:ascii="宋体" w:hAnsi="宋体" w:eastAsia="宋体" w:cs="宋体"/>
          <w:color w:val="000000" w:themeColor="text1"/>
          <w:spacing w:val="12"/>
          <w:kern w:val="0"/>
          <w:sz w:val="36"/>
          <w:szCs w:val="36"/>
          <w:highlight w:val="none"/>
          <w:fitText w:val="2520" w:id="863182194"/>
          <w:lang w:val="en-US" w:eastAsia="zh-CN"/>
          <w14:textFill>
            <w14:solidFill>
              <w14:schemeClr w14:val="tx1"/>
            </w14:solidFill>
          </w14:textFill>
        </w:rPr>
        <w:t xml:space="preserve"> </w:t>
      </w:r>
      <w:r>
        <w:rPr>
          <w:rFonts w:hint="eastAsia" w:ascii="宋体" w:hAnsi="宋体" w:eastAsia="宋体" w:cs="宋体"/>
          <w:color w:val="000000" w:themeColor="text1"/>
          <w:spacing w:val="12"/>
          <w:kern w:val="0"/>
          <w:sz w:val="36"/>
          <w:szCs w:val="36"/>
          <w:highlight w:val="none"/>
          <w:fitText w:val="2520" w:id="863182194"/>
          <w14:textFill>
            <w14:solidFill>
              <w14:schemeClr w14:val="tx1"/>
            </w14:solidFill>
          </w14:textFill>
        </w:rPr>
        <w:t>目</w:t>
      </w:r>
      <w:r>
        <w:rPr>
          <w:rFonts w:hint="eastAsia" w:ascii="宋体" w:hAnsi="宋体" w:eastAsia="宋体" w:cs="宋体"/>
          <w:color w:val="000000" w:themeColor="text1"/>
          <w:spacing w:val="12"/>
          <w:kern w:val="0"/>
          <w:sz w:val="36"/>
          <w:szCs w:val="36"/>
          <w:highlight w:val="none"/>
          <w:fitText w:val="2520" w:id="863182194"/>
          <w:lang w:val="en-US" w:eastAsia="zh-CN"/>
          <w14:textFill>
            <w14:solidFill>
              <w14:schemeClr w14:val="tx1"/>
            </w14:solidFill>
          </w14:textFill>
        </w:rPr>
        <w:t xml:space="preserve"> </w:t>
      </w:r>
      <w:r>
        <w:rPr>
          <w:rFonts w:hint="eastAsia" w:ascii="宋体" w:hAnsi="宋体" w:eastAsia="宋体" w:cs="宋体"/>
          <w:color w:val="000000" w:themeColor="text1"/>
          <w:spacing w:val="12"/>
          <w:kern w:val="0"/>
          <w:sz w:val="36"/>
          <w:szCs w:val="36"/>
          <w:highlight w:val="none"/>
          <w:fitText w:val="2520" w:id="863182194"/>
          <w14:textFill>
            <w14:solidFill>
              <w14:schemeClr w14:val="tx1"/>
            </w14:solidFill>
          </w14:textFill>
        </w:rPr>
        <w:t>编</w:t>
      </w:r>
      <w:r>
        <w:rPr>
          <w:rFonts w:hint="eastAsia" w:ascii="宋体" w:hAnsi="宋体" w:eastAsia="宋体" w:cs="宋体"/>
          <w:color w:val="000000" w:themeColor="text1"/>
          <w:spacing w:val="12"/>
          <w:kern w:val="0"/>
          <w:sz w:val="36"/>
          <w:szCs w:val="36"/>
          <w:highlight w:val="none"/>
          <w:fitText w:val="2520" w:id="863182194"/>
          <w:lang w:val="en-US" w:eastAsia="zh-CN"/>
          <w14:textFill>
            <w14:solidFill>
              <w14:schemeClr w14:val="tx1"/>
            </w14:solidFill>
          </w14:textFill>
        </w:rPr>
        <w:t xml:space="preserve"> </w:t>
      </w:r>
      <w:r>
        <w:rPr>
          <w:rFonts w:hint="eastAsia" w:ascii="宋体" w:hAnsi="宋体" w:eastAsia="宋体" w:cs="宋体"/>
          <w:color w:val="000000" w:themeColor="text1"/>
          <w:spacing w:val="12"/>
          <w:kern w:val="0"/>
          <w:sz w:val="36"/>
          <w:szCs w:val="36"/>
          <w:highlight w:val="none"/>
          <w:fitText w:val="2520" w:id="863182194"/>
          <w14:textFill>
            <w14:solidFill>
              <w14:schemeClr w14:val="tx1"/>
            </w14:solidFill>
          </w14:textFill>
        </w:rPr>
        <w:t>号</w:t>
      </w:r>
      <w:r>
        <w:rPr>
          <w:rFonts w:hint="eastAsia" w:ascii="宋体" w:hAnsi="宋体" w:eastAsia="宋体" w:cs="宋体"/>
          <w:color w:val="000000" w:themeColor="text1"/>
          <w:spacing w:val="6"/>
          <w:kern w:val="0"/>
          <w:sz w:val="36"/>
          <w:szCs w:val="36"/>
          <w:highlight w:val="none"/>
          <w:fitText w:val="2520" w:id="863182194"/>
          <w14:textFill>
            <w14:solidFill>
              <w14:schemeClr w14:val="tx1"/>
            </w14:solidFill>
          </w14:textFill>
        </w:rPr>
        <w:t>：</w:t>
      </w:r>
      <w:r>
        <w:rPr>
          <w:rFonts w:hint="eastAsia" w:ascii="宋体" w:hAnsi="宋体" w:eastAsia="宋体" w:cs="宋体"/>
          <w:color w:val="000000" w:themeColor="text1"/>
          <w:sz w:val="36"/>
          <w:szCs w:val="36"/>
          <w:highlight w:val="none"/>
          <w:u w:val="single"/>
          <w14:textFill>
            <w14:solidFill>
              <w14:schemeClr w14:val="tx1"/>
            </w14:solidFill>
          </w14:textFill>
        </w:rPr>
        <w:t xml:space="preserve"> </w:t>
      </w:r>
      <w:r>
        <w:rPr>
          <w:rFonts w:hint="eastAsia" w:cs="宋体"/>
          <w:color w:val="000000" w:themeColor="text1"/>
          <w:sz w:val="36"/>
          <w:szCs w:val="36"/>
          <w:highlight w:val="none"/>
          <w:u w:val="single"/>
          <w:lang w:val="en-US" w:eastAsia="zh-CN"/>
          <w14:textFill>
            <w14:solidFill>
              <w14:schemeClr w14:val="tx1"/>
            </w14:solidFill>
          </w14:textFill>
        </w:rPr>
        <w:t xml:space="preserve">   XJYL(HT)-2026-001-02</w:t>
      </w:r>
      <w:r>
        <w:rPr>
          <w:rFonts w:hint="eastAsia" w:ascii="宋体" w:hAnsi="宋体" w:eastAsia="宋体" w:cs="宋体"/>
          <w:color w:val="000000" w:themeColor="text1"/>
          <w:sz w:val="36"/>
          <w:szCs w:val="36"/>
          <w:highlight w:val="none"/>
          <w:u w:val="single"/>
          <w:lang w:val="en-US" w:eastAsia="zh-CN"/>
          <w14:textFill>
            <w14:solidFill>
              <w14:schemeClr w14:val="tx1"/>
            </w14:solidFill>
          </w14:textFill>
        </w:rPr>
        <w:t xml:space="preserve">  </w:t>
      </w:r>
      <w:r>
        <w:rPr>
          <w:rFonts w:hint="eastAsia" w:cs="宋体"/>
          <w:color w:val="000000" w:themeColor="text1"/>
          <w:sz w:val="36"/>
          <w:szCs w:val="36"/>
          <w:highlight w:val="none"/>
          <w:u w:val="single"/>
          <w:lang w:val="en-US" w:eastAsia="zh-CN"/>
          <w14:textFill>
            <w14:solidFill>
              <w14:schemeClr w14:val="tx1"/>
            </w14:solidFill>
          </w14:textFill>
        </w:rPr>
        <w:t xml:space="preserve">  </w:t>
      </w:r>
    </w:p>
    <w:p w14:paraId="39E1A3C1">
      <w:pPr>
        <w:spacing w:line="480" w:lineRule="auto"/>
        <w:ind w:left="420" w:leftChars="175"/>
        <w:rPr>
          <w:rFonts w:hint="eastAsia" w:ascii="宋体" w:hAnsi="宋体" w:eastAsia="宋体" w:cs="宋体"/>
          <w:color w:val="000000" w:themeColor="text1"/>
          <w:sz w:val="36"/>
          <w:szCs w:val="36"/>
          <w:highlight w:val="none"/>
          <w:u w:val="single"/>
          <w14:textFill>
            <w14:solidFill>
              <w14:schemeClr w14:val="tx1"/>
            </w14:solidFill>
          </w14:textFill>
        </w:rPr>
      </w:pPr>
    </w:p>
    <w:p w14:paraId="2DB31EAE">
      <w:pPr>
        <w:spacing w:line="480" w:lineRule="auto"/>
        <w:ind w:left="420" w:leftChars="175"/>
        <w:rPr>
          <w:rFonts w:hint="eastAsia" w:ascii="宋体" w:hAnsi="宋体" w:eastAsia="宋体" w:cs="宋体"/>
          <w:color w:val="000000" w:themeColor="text1"/>
          <w:sz w:val="36"/>
          <w:szCs w:val="36"/>
          <w:highlight w:val="none"/>
          <w:u w:val="single"/>
          <w14:textFill>
            <w14:solidFill>
              <w14:schemeClr w14:val="tx1"/>
            </w14:solidFill>
          </w14:textFill>
        </w:rPr>
      </w:pPr>
      <w:r>
        <w:rPr>
          <w:rFonts w:hint="eastAsia" w:ascii="宋体" w:hAnsi="宋体" w:eastAsia="宋体" w:cs="宋体"/>
          <w:color w:val="000000" w:themeColor="text1"/>
          <w:sz w:val="36"/>
          <w:szCs w:val="36"/>
          <w:highlight w:val="none"/>
          <w14:textFill>
            <w14:solidFill>
              <w14:schemeClr w14:val="tx1"/>
            </w14:solidFill>
          </w14:textFill>
        </w:rPr>
        <w:t>采</w:t>
      </w:r>
      <w:r>
        <w:rPr>
          <w:rFonts w:hint="eastAsia" w:ascii="宋体" w:hAnsi="宋体" w:eastAsia="宋体" w:cs="宋体"/>
          <w:color w:val="000000" w:themeColor="text1"/>
          <w:sz w:val="36"/>
          <w:szCs w:val="36"/>
          <w:highlight w:val="none"/>
          <w:lang w:val="en-US" w:eastAsia="zh-CN"/>
          <w14:textFill>
            <w14:solidFill>
              <w14:schemeClr w14:val="tx1"/>
            </w14:solidFill>
          </w14:textFill>
        </w:rPr>
        <w:t xml:space="preserve">   </w:t>
      </w:r>
      <w:r>
        <w:rPr>
          <w:rFonts w:hint="eastAsia" w:ascii="宋体" w:hAnsi="宋体" w:eastAsia="宋体" w:cs="宋体"/>
          <w:color w:val="000000" w:themeColor="text1"/>
          <w:sz w:val="36"/>
          <w:szCs w:val="36"/>
          <w:highlight w:val="none"/>
          <w14:textFill>
            <w14:solidFill>
              <w14:schemeClr w14:val="tx1"/>
            </w14:solidFill>
          </w14:textFill>
        </w:rPr>
        <w:t>购</w:t>
      </w:r>
      <w:r>
        <w:rPr>
          <w:rFonts w:hint="eastAsia" w:ascii="宋体" w:hAnsi="宋体" w:eastAsia="宋体" w:cs="宋体"/>
          <w:color w:val="000000" w:themeColor="text1"/>
          <w:sz w:val="36"/>
          <w:szCs w:val="36"/>
          <w:highlight w:val="none"/>
          <w:lang w:val="en-US" w:eastAsia="zh-CN"/>
          <w14:textFill>
            <w14:solidFill>
              <w14:schemeClr w14:val="tx1"/>
            </w14:solidFill>
          </w14:textFill>
        </w:rPr>
        <w:t xml:space="preserve">   </w:t>
      </w:r>
      <w:r>
        <w:rPr>
          <w:rFonts w:hint="eastAsia" w:ascii="宋体" w:hAnsi="宋体" w:eastAsia="宋体" w:cs="宋体"/>
          <w:color w:val="000000" w:themeColor="text1"/>
          <w:sz w:val="36"/>
          <w:szCs w:val="36"/>
          <w:highlight w:val="none"/>
          <w14:textFill>
            <w14:solidFill>
              <w14:schemeClr w14:val="tx1"/>
            </w14:solidFill>
          </w14:textFill>
        </w:rPr>
        <w:t>人：</w:t>
      </w:r>
      <w:r>
        <w:rPr>
          <w:rFonts w:hint="eastAsia" w:ascii="宋体" w:hAnsi="宋体" w:eastAsia="宋体" w:cs="宋体"/>
          <w:color w:val="000000" w:themeColor="text1"/>
          <w:sz w:val="36"/>
          <w:szCs w:val="36"/>
          <w:highlight w:val="none"/>
          <w:u w:val="single"/>
          <w14:textFill>
            <w14:solidFill>
              <w14:schemeClr w14:val="tx1"/>
            </w14:solidFill>
          </w14:textFill>
        </w:rPr>
        <w:t xml:space="preserve"> </w:t>
      </w:r>
      <w:r>
        <w:rPr>
          <w:rFonts w:hint="eastAsia" w:ascii="宋体" w:hAnsi="宋体" w:eastAsia="宋体" w:cs="宋体"/>
          <w:color w:val="000000" w:themeColor="text1"/>
          <w:sz w:val="36"/>
          <w:szCs w:val="36"/>
          <w:highlight w:val="none"/>
          <w:u w:val="single"/>
          <w:lang w:val="en-US" w:eastAsia="zh-CN"/>
          <w14:textFill>
            <w14:solidFill>
              <w14:schemeClr w14:val="tx1"/>
            </w14:solidFill>
          </w14:textFill>
        </w:rPr>
        <w:t>墨玉县人力资源和社会保障局</w:t>
      </w:r>
      <w:r>
        <w:rPr>
          <w:rFonts w:hint="eastAsia" w:ascii="宋体" w:hAnsi="宋体" w:eastAsia="宋体" w:cs="宋体"/>
          <w:color w:val="000000" w:themeColor="text1"/>
          <w:sz w:val="36"/>
          <w:szCs w:val="36"/>
          <w:highlight w:val="none"/>
          <w:u w:val="single"/>
          <w14:textFill>
            <w14:solidFill>
              <w14:schemeClr w14:val="tx1"/>
            </w14:solidFill>
          </w14:textFill>
        </w:rPr>
        <w:t xml:space="preserve"> </w:t>
      </w:r>
    </w:p>
    <w:p w14:paraId="122AADC2">
      <w:pPr>
        <w:spacing w:line="480" w:lineRule="auto"/>
        <w:ind w:left="420" w:leftChars="175"/>
        <w:rPr>
          <w:rFonts w:hint="eastAsia" w:ascii="宋体" w:hAnsi="宋体" w:eastAsia="宋体" w:cs="宋体"/>
          <w:color w:val="000000" w:themeColor="text1"/>
          <w:sz w:val="36"/>
          <w:szCs w:val="36"/>
          <w:highlight w:val="none"/>
          <w:u w:val="single"/>
          <w14:textFill>
            <w14:solidFill>
              <w14:schemeClr w14:val="tx1"/>
            </w14:solidFill>
          </w14:textFill>
        </w:rPr>
      </w:pPr>
    </w:p>
    <w:p w14:paraId="1DD69C20">
      <w:pPr>
        <w:spacing w:line="480" w:lineRule="auto"/>
        <w:ind w:left="420" w:leftChars="175"/>
        <w:rPr>
          <w:rFonts w:hint="eastAsia" w:ascii="宋体" w:hAnsi="宋体" w:eastAsia="宋体" w:cs="宋体"/>
          <w:color w:val="000000" w:themeColor="text1"/>
          <w:sz w:val="36"/>
          <w:szCs w:val="36"/>
          <w:highlight w:val="none"/>
          <w:u w:val="single"/>
          <w:lang w:val="en-US" w:eastAsia="zh-CN"/>
          <w14:textFill>
            <w14:solidFill>
              <w14:schemeClr w14:val="tx1"/>
            </w14:solidFill>
          </w14:textFill>
        </w:rPr>
      </w:pPr>
      <w:r>
        <w:rPr>
          <w:rFonts w:hint="eastAsia" w:ascii="宋体" w:hAnsi="宋体" w:eastAsia="宋体" w:cs="宋体"/>
          <w:color w:val="000000" w:themeColor="text1"/>
          <w:sz w:val="36"/>
          <w:szCs w:val="36"/>
          <w:highlight w:val="none"/>
          <w14:textFill>
            <w14:solidFill>
              <w14:schemeClr w14:val="tx1"/>
            </w14:solidFill>
          </w14:textFill>
        </w:rPr>
        <w:t>采购代理机构：</w:t>
      </w:r>
      <w:r>
        <w:rPr>
          <w:rFonts w:hint="eastAsia" w:ascii="宋体" w:hAnsi="宋体" w:eastAsia="宋体" w:cs="宋体"/>
          <w:color w:val="000000" w:themeColor="text1"/>
          <w:sz w:val="36"/>
          <w:szCs w:val="36"/>
          <w:highlight w:val="none"/>
          <w:u w:val="single"/>
          <w14:textFill>
            <w14:solidFill>
              <w14:schemeClr w14:val="tx1"/>
            </w14:solidFill>
          </w14:textFill>
        </w:rPr>
        <w:t xml:space="preserve">  </w:t>
      </w:r>
      <w:r>
        <w:rPr>
          <w:rFonts w:hint="eastAsia" w:ascii="宋体" w:hAnsi="宋体" w:cs="宋体"/>
          <w:color w:val="000000" w:themeColor="text1"/>
          <w:sz w:val="36"/>
          <w:szCs w:val="36"/>
          <w:highlight w:val="none"/>
          <w:u w:val="single"/>
          <w:lang w:val="en-US" w:eastAsia="zh-CN"/>
          <w14:textFill>
            <w14:solidFill>
              <w14:schemeClr w14:val="tx1"/>
            </w14:solidFill>
          </w14:textFill>
        </w:rPr>
        <w:t>新疆悦隆项目管理有限公司</w:t>
      </w:r>
      <w:r>
        <w:rPr>
          <w:rFonts w:hint="eastAsia" w:ascii="宋体" w:hAnsi="宋体" w:eastAsia="宋体" w:cs="宋体"/>
          <w:color w:val="000000" w:themeColor="text1"/>
          <w:sz w:val="36"/>
          <w:szCs w:val="36"/>
          <w:highlight w:val="none"/>
          <w:u w:val="single"/>
          <w14:textFill>
            <w14:solidFill>
              <w14:schemeClr w14:val="tx1"/>
            </w14:solidFill>
          </w14:textFill>
        </w:rPr>
        <w:t xml:space="preserve"> </w:t>
      </w:r>
      <w:r>
        <w:rPr>
          <w:rFonts w:hint="eastAsia" w:cs="宋体"/>
          <w:color w:val="000000" w:themeColor="text1"/>
          <w:sz w:val="36"/>
          <w:szCs w:val="36"/>
          <w:highlight w:val="none"/>
          <w:u w:val="single"/>
          <w:lang w:val="en-US" w:eastAsia="zh-CN"/>
          <w14:textFill>
            <w14:solidFill>
              <w14:schemeClr w14:val="tx1"/>
            </w14:solidFill>
          </w14:textFill>
        </w:rPr>
        <w:t xml:space="preserve"> </w:t>
      </w:r>
    </w:p>
    <w:p w14:paraId="0A50FDCC">
      <w:pPr>
        <w:rPr>
          <w:rFonts w:hint="eastAsia" w:ascii="宋体" w:hAnsi="宋体" w:eastAsia="宋体" w:cs="宋体"/>
          <w:color w:val="000000" w:themeColor="text1"/>
          <w:sz w:val="36"/>
          <w:szCs w:val="36"/>
          <w:highlight w:val="none"/>
          <w:u w:val="single"/>
          <w14:textFill>
            <w14:solidFill>
              <w14:schemeClr w14:val="tx1"/>
            </w14:solidFill>
          </w14:textFill>
        </w:rPr>
      </w:pPr>
      <w:r>
        <w:rPr>
          <w:rFonts w:hint="eastAsia" w:ascii="宋体" w:hAnsi="宋体" w:eastAsia="宋体" w:cs="宋体"/>
          <w:color w:val="000000" w:themeColor="text1"/>
          <w:sz w:val="36"/>
          <w:szCs w:val="36"/>
          <w:highlight w:val="none"/>
          <w:u w:val="single"/>
          <w14:textFill>
            <w14:solidFill>
              <w14:schemeClr w14:val="tx1"/>
            </w14:solidFill>
          </w14:textFill>
        </w:rPr>
        <w:br w:type="page"/>
      </w:r>
    </w:p>
    <w:p w14:paraId="33042435">
      <w:pPr>
        <w:jc w:val="center"/>
        <w:rPr>
          <w:rFonts w:hint="eastAsia" w:ascii="宋体" w:hAnsi="宋体" w:eastAsia="宋体" w:cs="宋体"/>
          <w:b/>
          <w:bCs/>
          <w:i w:val="0"/>
          <w:iCs w:val="0"/>
          <w:color w:val="auto"/>
          <w:sz w:val="36"/>
          <w:szCs w:val="36"/>
          <w:highlight w:val="none"/>
        </w:rPr>
      </w:pPr>
      <w:r>
        <w:rPr>
          <w:rFonts w:hint="eastAsia" w:ascii="宋体" w:hAnsi="宋体" w:eastAsia="宋体" w:cs="宋体"/>
          <w:b/>
          <w:bCs/>
          <w:i w:val="0"/>
          <w:iCs w:val="0"/>
          <w:color w:val="auto"/>
          <w:sz w:val="36"/>
          <w:szCs w:val="36"/>
          <w:highlight w:val="none"/>
        </w:rPr>
        <w:t>目 录</w:t>
      </w:r>
    </w:p>
    <w:p w14:paraId="55C41152">
      <w:pPr>
        <w:pStyle w:val="22"/>
        <w:keepNext w:val="0"/>
        <w:keepLines w:val="0"/>
        <w:pageBreakBefore w:val="0"/>
        <w:widowControl w:val="0"/>
        <w:tabs>
          <w:tab w:val="left" w:pos="960"/>
          <w:tab w:val="right" w:leader="dot" w:pos="8296"/>
        </w:tabs>
        <w:kinsoku/>
        <w:wordWrap/>
        <w:overflowPunct/>
        <w:topLinePunct w:val="0"/>
        <w:autoSpaceDE/>
        <w:autoSpaceDN/>
        <w:bidi w:val="0"/>
        <w:adjustRightInd/>
        <w:snapToGrid/>
        <w:spacing w:line="360" w:lineRule="exact"/>
        <w:textAlignment w:val="auto"/>
        <w:rPr>
          <w:i w:val="0"/>
          <w:iCs w:val="0"/>
          <w:color w:val="auto"/>
          <w:highlight w:val="none"/>
        </w:rPr>
      </w:pPr>
    </w:p>
    <w:p w14:paraId="0950AFF5">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TOC \o "1-2" \h \u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_Toc15771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44"/>
          <w:sz w:val="24"/>
          <w:szCs w:val="24"/>
          <w:highlight w:val="none"/>
          <w:lang w:val="en-US" w:eastAsia="zh-CN" w:bidi="ar-SA"/>
        </w:rPr>
        <w:t>第一章 竞争性磋商公告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_Toc15771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68CB5D7F">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_Toc26730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i w:val="0"/>
          <w:iCs w:val="0"/>
          <w:color w:val="auto"/>
          <w:sz w:val="24"/>
          <w:szCs w:val="24"/>
          <w:highlight w:val="none"/>
          <w:lang w:val="en-US" w:eastAsia="zh-CN"/>
        </w:rPr>
        <w:t>项目概况</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_Toc26730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400F09A">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_Toc29779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hr-HR" w:eastAsia="zh-CN" w:bidi="ar-SA"/>
        </w:rPr>
        <w:t>一、</w:t>
      </w:r>
      <w:r>
        <w:rPr>
          <w:rFonts w:hint="eastAsia" w:ascii="宋体" w:hAnsi="宋体" w:eastAsia="宋体" w:cs="宋体"/>
          <w:i w:val="0"/>
          <w:iCs w:val="0"/>
          <w:color w:val="auto"/>
          <w:sz w:val="24"/>
          <w:szCs w:val="24"/>
          <w:highlight w:val="none"/>
          <w:lang w:val="hr-HR"/>
        </w:rPr>
        <w:t>项目基本情况</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_Toc29779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46342CD4">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_Toc19653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二、申请人的</w:t>
      </w:r>
      <w:r>
        <w:rPr>
          <w:rFonts w:hint="eastAsia" w:ascii="宋体" w:hAnsi="宋体" w:eastAsia="宋体" w:cs="宋体"/>
          <w:bCs/>
          <w:i w:val="0"/>
          <w:iCs w:val="0"/>
          <w:color w:val="auto"/>
          <w:kern w:val="2"/>
          <w:sz w:val="24"/>
          <w:szCs w:val="24"/>
          <w:highlight w:val="none"/>
          <w:lang w:val="hr-HR" w:eastAsia="zh-CN" w:bidi="ar-SA"/>
        </w:rPr>
        <w:t>资格要求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_Toc19653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3521FB6">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_Toc11100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三、</w:t>
      </w:r>
      <w:r>
        <w:rPr>
          <w:rFonts w:hint="eastAsia" w:ascii="宋体" w:hAnsi="宋体" w:eastAsia="宋体" w:cs="宋体"/>
          <w:bCs/>
          <w:i w:val="0"/>
          <w:iCs w:val="0"/>
          <w:color w:val="auto"/>
          <w:kern w:val="2"/>
          <w:sz w:val="24"/>
          <w:szCs w:val="24"/>
          <w:highlight w:val="none"/>
          <w:lang w:val="hr-HR" w:eastAsia="zh-CN" w:bidi="ar-SA"/>
        </w:rPr>
        <w:t>获取</w:t>
      </w:r>
      <w:r>
        <w:rPr>
          <w:rFonts w:hint="eastAsia" w:ascii="宋体" w:hAnsi="宋体" w:eastAsia="宋体" w:cs="宋体"/>
          <w:bCs/>
          <w:i w:val="0"/>
          <w:iCs w:val="0"/>
          <w:color w:val="auto"/>
          <w:kern w:val="2"/>
          <w:sz w:val="24"/>
          <w:szCs w:val="24"/>
          <w:highlight w:val="none"/>
          <w:lang w:val="en-US" w:eastAsia="zh-CN" w:bidi="ar-SA"/>
        </w:rPr>
        <w:t>采购</w:t>
      </w:r>
      <w:r>
        <w:rPr>
          <w:rFonts w:hint="eastAsia" w:ascii="宋体" w:hAnsi="宋体" w:eastAsia="宋体" w:cs="宋体"/>
          <w:bCs/>
          <w:i w:val="0"/>
          <w:iCs w:val="0"/>
          <w:color w:val="auto"/>
          <w:kern w:val="2"/>
          <w:sz w:val="24"/>
          <w:szCs w:val="24"/>
          <w:highlight w:val="none"/>
          <w:lang w:val="hr-HR" w:eastAsia="zh-CN" w:bidi="ar-SA"/>
        </w:rPr>
        <w:t>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_Toc11100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- 2 -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2C40913F">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_Toc646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四、</w:t>
      </w:r>
      <w:r>
        <w:rPr>
          <w:rFonts w:hint="eastAsia" w:ascii="宋体" w:hAnsi="宋体" w:eastAsia="宋体" w:cs="宋体"/>
          <w:bCs/>
          <w:i w:val="0"/>
          <w:iCs w:val="0"/>
          <w:color w:val="auto"/>
          <w:spacing w:val="-6"/>
          <w:kern w:val="2"/>
          <w:sz w:val="24"/>
          <w:szCs w:val="24"/>
          <w:highlight w:val="none"/>
          <w:lang w:val="hr-HR" w:eastAsia="zh-CN" w:bidi="ar-SA"/>
        </w:rPr>
        <w:t>响应文件提交</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- 3 -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16C85885">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_Toc25642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五、开启</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_Toc25642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- 3 -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080A559F">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_Toc2566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六、</w:t>
      </w:r>
      <w:r>
        <w:rPr>
          <w:rFonts w:hint="eastAsia" w:ascii="宋体" w:hAnsi="宋体" w:eastAsia="宋体" w:cs="宋体"/>
          <w:bCs/>
          <w:i w:val="0"/>
          <w:iCs w:val="0"/>
          <w:color w:val="auto"/>
          <w:kern w:val="2"/>
          <w:sz w:val="24"/>
          <w:szCs w:val="24"/>
          <w:highlight w:val="none"/>
          <w:lang w:val="hr-HR" w:eastAsia="zh-CN" w:bidi="ar-SA"/>
        </w:rPr>
        <w:t>公告期限</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- 3 -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E176E22">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t>七、其他补充事宜</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- 3 -</w:t>
      </w:r>
      <w:r>
        <w:rPr>
          <w:rFonts w:hint="eastAsia" w:ascii="宋体" w:hAnsi="宋体" w:eastAsia="宋体" w:cs="宋体"/>
          <w:color w:val="auto"/>
          <w:sz w:val="24"/>
          <w:szCs w:val="24"/>
          <w:highlight w:val="none"/>
        </w:rPr>
        <w:fldChar w:fldCharType="end"/>
      </w:r>
    </w:p>
    <w:p w14:paraId="4CDF7A53">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_Toc30600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八、</w:t>
      </w:r>
      <w:r>
        <w:rPr>
          <w:rFonts w:hint="eastAsia" w:ascii="宋体" w:hAnsi="宋体" w:eastAsia="宋体" w:cs="宋体"/>
          <w:bCs/>
          <w:i w:val="0"/>
          <w:iCs w:val="0"/>
          <w:color w:val="auto"/>
          <w:kern w:val="2"/>
          <w:sz w:val="24"/>
          <w:szCs w:val="24"/>
          <w:highlight w:val="none"/>
          <w:lang w:val="hr-HR" w:eastAsia="zh-CN" w:bidi="ar-SA"/>
        </w:rPr>
        <w:t>凡对本次采购提出询问，请按以下方式联系</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_Toc30600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- 3 -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2B3A6A8">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_Toc4980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44"/>
          <w:sz w:val="24"/>
          <w:szCs w:val="24"/>
          <w:highlight w:val="none"/>
          <w:lang w:val="en-US" w:eastAsia="zh-CN" w:bidi="ar-SA"/>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_Toc4980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- 6 -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3424A01F">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_Toc19787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一、供应商须知前附表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_Toc19787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- 6 -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3032ADA9">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_Toc1575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二、供应商须知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_Toc1575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5DF867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_Toc15068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44"/>
          <w:sz w:val="24"/>
          <w:szCs w:val="24"/>
          <w:highlight w:val="none"/>
          <w:lang w:val="en-US" w:eastAsia="zh-CN" w:bidi="ar-SA"/>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_Toc15068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- 37 -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0C19AC5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_Toc1935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44"/>
          <w:sz w:val="24"/>
          <w:szCs w:val="24"/>
          <w:highlight w:val="none"/>
          <w:lang w:val="en-US" w:eastAsia="zh-CN" w:bidi="ar-SA"/>
        </w:rPr>
        <w:t>第四章 评审方法及标准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_Toc1935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- 37 -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643BDF0F">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_Toc1780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i w:val="0"/>
          <w:iCs w:val="0"/>
          <w:color w:val="auto"/>
          <w:sz w:val="24"/>
          <w:szCs w:val="24"/>
          <w:highlight w:val="none"/>
          <w:lang w:val="en-US" w:eastAsia="zh-CN"/>
        </w:rPr>
        <w:t>一、</w:t>
      </w:r>
      <w:r>
        <w:rPr>
          <w:rFonts w:hint="eastAsia" w:ascii="宋体" w:hAnsi="宋体" w:eastAsia="宋体" w:cs="宋体"/>
          <w:i w:val="0"/>
          <w:iCs w:val="0"/>
          <w:color w:val="auto"/>
          <w:sz w:val="24"/>
          <w:szCs w:val="24"/>
          <w:highlight w:val="none"/>
          <w:lang w:val="zh-CN" w:eastAsia="zh-CN"/>
        </w:rPr>
        <w:t>评审方法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_Toc1780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- 59 -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3797C1C">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_Toc9851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i w:val="0"/>
          <w:iCs w:val="0"/>
          <w:color w:val="auto"/>
          <w:sz w:val="24"/>
          <w:szCs w:val="24"/>
          <w:highlight w:val="none"/>
          <w:lang w:val="en-US" w:eastAsia="zh-CN"/>
        </w:rPr>
        <w:t>二、</w:t>
      </w:r>
      <w:r>
        <w:rPr>
          <w:rFonts w:hint="eastAsia" w:ascii="宋体" w:hAnsi="宋体" w:eastAsia="宋体" w:cs="宋体"/>
          <w:i w:val="0"/>
          <w:iCs w:val="0"/>
          <w:color w:val="auto"/>
          <w:sz w:val="24"/>
          <w:szCs w:val="24"/>
          <w:highlight w:val="none"/>
          <w:lang w:val="zh-CN" w:eastAsia="zh-CN"/>
        </w:rPr>
        <w:t>评审程序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_Toc9851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- 59 -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6C6F259A">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_Toc17459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i w:val="0"/>
          <w:iCs w:val="0"/>
          <w:color w:val="auto"/>
          <w:sz w:val="24"/>
          <w:szCs w:val="24"/>
          <w:highlight w:val="none"/>
          <w:lang w:val="en-US" w:eastAsia="zh-CN"/>
        </w:rPr>
        <w:t>三、</w:t>
      </w:r>
      <w:r>
        <w:rPr>
          <w:rFonts w:hint="eastAsia" w:ascii="宋体" w:hAnsi="宋体" w:eastAsia="宋体" w:cs="宋体"/>
          <w:i w:val="0"/>
          <w:iCs w:val="0"/>
          <w:color w:val="auto"/>
          <w:sz w:val="24"/>
          <w:szCs w:val="24"/>
          <w:highlight w:val="none"/>
          <w:lang w:val="zh-CN" w:eastAsia="zh-CN"/>
        </w:rPr>
        <w:t>评审</w:t>
      </w:r>
      <w:r>
        <w:rPr>
          <w:rFonts w:hint="eastAsia" w:ascii="宋体" w:hAnsi="宋体" w:eastAsia="宋体" w:cs="宋体"/>
          <w:i w:val="0"/>
          <w:iCs w:val="0"/>
          <w:color w:val="auto"/>
          <w:sz w:val="24"/>
          <w:szCs w:val="24"/>
          <w:highlight w:val="none"/>
          <w:lang w:val="en-US" w:eastAsia="zh-CN"/>
        </w:rPr>
        <w:t>其他要求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_Toc17459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- 67 -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689CFB9D">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_Toc13780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i w:val="0"/>
          <w:iCs w:val="0"/>
          <w:color w:val="auto"/>
          <w:sz w:val="24"/>
          <w:szCs w:val="24"/>
          <w:highlight w:val="none"/>
          <w:lang w:val="en-US" w:eastAsia="zh-CN"/>
        </w:rPr>
        <w:t>四、</w:t>
      </w:r>
      <w:r>
        <w:rPr>
          <w:rFonts w:hint="eastAsia" w:ascii="宋体" w:hAnsi="宋体" w:eastAsia="宋体" w:cs="宋体"/>
          <w:i w:val="0"/>
          <w:iCs w:val="0"/>
          <w:color w:val="auto"/>
          <w:sz w:val="24"/>
          <w:szCs w:val="24"/>
          <w:highlight w:val="none"/>
          <w:lang w:val="zh-CN" w:eastAsia="zh-CN"/>
        </w:rPr>
        <w:t>评审标准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_Toc13780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- 67 -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4225A648">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_Toc383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44"/>
          <w:sz w:val="24"/>
          <w:szCs w:val="24"/>
          <w:highlight w:val="none"/>
          <w:lang w:val="en-US" w:eastAsia="zh-CN" w:bidi="ar-SA"/>
        </w:rPr>
        <w:t xml:space="preserve">第五章 </w:t>
      </w:r>
      <w:r>
        <w:rPr>
          <w:rFonts w:hint="eastAsia" w:ascii="宋体" w:hAnsi="宋体" w:eastAsia="宋体" w:cs="宋体"/>
          <w:bCs/>
          <w:i w:val="0"/>
          <w:iCs w:val="0"/>
          <w:color w:val="auto"/>
          <w:kern w:val="44"/>
          <w:sz w:val="24"/>
          <w:szCs w:val="24"/>
          <w:highlight w:val="none"/>
          <w:lang w:val="zh-CN" w:eastAsia="zh-CN" w:bidi="ar-SA"/>
        </w:rPr>
        <w:t>合同草案</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_Toc383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- 77 -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47F38E98">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_Toc31237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spacing w:val="-20"/>
          <w:kern w:val="44"/>
          <w:sz w:val="24"/>
          <w:szCs w:val="24"/>
          <w:highlight w:val="none"/>
          <w:lang w:val="en-US" w:eastAsia="zh-CN" w:bidi="ar-SA"/>
        </w:rPr>
        <w:t>政府采购合同参考范本</w:t>
      </w:r>
      <w:r>
        <w:rPr>
          <w:rFonts w:hint="eastAsia" w:ascii="宋体" w:hAnsi="宋体" w:eastAsia="宋体" w:cs="宋体"/>
          <w:i w:val="0"/>
          <w:iCs w:val="0"/>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_Toc1613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spacing w:val="-20"/>
          <w:kern w:val="44"/>
          <w:sz w:val="24"/>
          <w:szCs w:val="24"/>
          <w:highlight w:val="none"/>
          <w:lang w:val="en-US" w:eastAsia="zh-CN" w:bidi="ar-SA"/>
        </w:rPr>
        <w:t>（服务类）</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_Toc1613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- 77 -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1030D860">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_Toc9879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rPr>
        <w:t>第一部分 合同书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_Toc9879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- 77 -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6D1AAC62">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_Toc16962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rPr>
        <w:t>第二部分 合同一般条款</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_Toc16962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- 82 -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5EC85CC3">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_Toc21974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rPr>
        <w:t>第三部分 合同专用条款</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_Toc21974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- 86 -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32F7C38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_Toc4816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44"/>
          <w:sz w:val="24"/>
          <w:szCs w:val="24"/>
          <w:highlight w:val="none"/>
          <w:lang w:val="en-US" w:eastAsia="zh-CN" w:bidi="ar-SA"/>
        </w:rPr>
        <w:t xml:space="preserve">第六章 </w:t>
      </w:r>
      <w:r>
        <w:rPr>
          <w:rFonts w:hint="eastAsia" w:ascii="宋体" w:hAnsi="宋体" w:eastAsia="宋体" w:cs="宋体"/>
          <w:i w:val="0"/>
          <w:iCs w:val="0"/>
          <w:color w:val="auto"/>
          <w:sz w:val="24"/>
          <w:szCs w:val="24"/>
          <w:highlight w:val="none"/>
        </w:rPr>
        <w:t>响应文件的格式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_Toc4816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- 87 -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5F3416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_Toc12918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w:t>
      </w:r>
      <w:r>
        <w:rPr>
          <w:rFonts w:hint="eastAsia" w:ascii="宋体" w:hAnsi="宋体" w:eastAsia="宋体" w:cs="宋体"/>
          <w:i w:val="0"/>
          <w:iCs w:val="0"/>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_Toc22197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rPr>
        <w:t>资格证明文件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_Toc22197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- 88 -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2D1C564C">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_Toc2966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一、满足《中华人民共和国政府采购法》第二十二条规定</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- 89 -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215DA357">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_Toc18060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二、</w:t>
      </w:r>
      <w:r>
        <w:rPr>
          <w:rFonts w:hint="eastAsia" w:ascii="宋体" w:hAnsi="宋体" w:eastAsia="宋体" w:cs="宋体"/>
          <w:bCs/>
          <w:i w:val="0"/>
          <w:iCs w:val="0"/>
          <w:color w:val="auto"/>
          <w:kern w:val="2"/>
          <w:sz w:val="24"/>
          <w:szCs w:val="24"/>
          <w:highlight w:val="none"/>
          <w:lang w:val="zh-CN" w:eastAsia="zh-CN" w:bidi="ar-SA"/>
        </w:rPr>
        <w:t>联合体协议书</w:t>
      </w:r>
      <w:r>
        <w:rPr>
          <w:rFonts w:hint="eastAsia" w:ascii="宋体" w:hAnsi="宋体" w:eastAsia="宋体" w:cs="宋体"/>
          <w:bCs w:val="0"/>
          <w:i w:val="0"/>
          <w:iCs w:val="0"/>
          <w:color w:val="auto"/>
          <w:kern w:val="2"/>
          <w:sz w:val="24"/>
          <w:szCs w:val="24"/>
          <w:highlight w:val="none"/>
          <w:lang w:val="zh-CN" w:eastAsia="zh-CN" w:bidi="ar-SA"/>
        </w:rPr>
        <w:t>【如适用】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_Toc18060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- 90 -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00CF9CB6">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_Toc722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三、</w:t>
      </w:r>
      <w:r>
        <w:rPr>
          <w:rFonts w:hint="eastAsia" w:ascii="宋体" w:hAnsi="宋体" w:eastAsia="宋体" w:cs="宋体"/>
          <w:bCs/>
          <w:i w:val="0"/>
          <w:iCs w:val="0"/>
          <w:color w:val="auto"/>
          <w:kern w:val="2"/>
          <w:sz w:val="24"/>
          <w:szCs w:val="24"/>
          <w:highlight w:val="none"/>
          <w:lang w:val="zh-CN" w:eastAsia="zh-CN" w:bidi="ar-SA"/>
        </w:rPr>
        <w:t>分包意向协议书【如适用】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_Toc722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- 98 -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323F0DA9">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_Toc4839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四、落实政府采购政策相关证明文件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_Toc4839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- 100 -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0949F034">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_Toc11970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五、不参与围标串标承诺书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_Toc11970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- 113 -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459C4E24">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_Toc6611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六、</w:t>
      </w:r>
      <w:r>
        <w:rPr>
          <w:rFonts w:hint="eastAsia" w:ascii="宋体" w:hAnsi="宋体" w:eastAsia="宋体" w:cs="宋体"/>
          <w:bCs/>
          <w:i w:val="0"/>
          <w:iCs w:val="0"/>
          <w:color w:val="auto"/>
          <w:kern w:val="2"/>
          <w:sz w:val="24"/>
          <w:szCs w:val="24"/>
          <w:highlight w:val="none"/>
          <w:lang w:val="zh-CN" w:eastAsia="zh-CN" w:bidi="ar-SA"/>
        </w:rPr>
        <w:t>其他资格证明文件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_Toc6611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- 114 -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16B893DE">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_Toc20777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w:t>
      </w:r>
      <w:r>
        <w:rPr>
          <w:rFonts w:hint="eastAsia" w:ascii="宋体" w:hAnsi="宋体" w:eastAsia="宋体" w:cs="宋体"/>
          <w:i w:val="0"/>
          <w:iCs w:val="0"/>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_Toc25659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报价文件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_Toc25659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- 115 -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5997EDBE">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_Toc22453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一、报价一览表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_Toc22453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- 116 -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47379F62">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_Toc12133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二、分项报价表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_Toc12133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- 117 -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26F1B742">
      <w:pPr>
        <w:pStyle w:val="22"/>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_Toc2066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i w:val="0"/>
          <w:iCs w:val="0"/>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_Toc32251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商务技术文件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_Toc32251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- 118 -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193B80D1">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_Toc7399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一、响应函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_Toc7399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- 119 -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0291DCB4">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_Toc16089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二、法定代表人（单位负责人）身份证明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_Toc16089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- 121 -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6B7F511">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_Toc6864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三、授权委托书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_Toc6864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- 122 -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531A4A26">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_Toc18359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四、</w:t>
      </w:r>
      <w:r>
        <w:rPr>
          <w:rFonts w:hint="eastAsia" w:ascii="宋体" w:hAnsi="宋体" w:eastAsia="宋体" w:cs="宋体"/>
          <w:bCs/>
          <w:i w:val="0"/>
          <w:iCs w:val="0"/>
          <w:color w:val="auto"/>
          <w:kern w:val="2"/>
          <w:sz w:val="24"/>
          <w:szCs w:val="24"/>
          <w:highlight w:val="none"/>
          <w:lang w:val="zh-CN" w:eastAsia="zh-CN" w:bidi="ar-SA"/>
        </w:rPr>
        <w:t>政府采购供应商廉洁自律承诺书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_Toc18359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- 123 -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2BDCD544">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_Toc30110 </w:instrText>
      </w:r>
      <w:r>
        <w:rPr>
          <w:rFonts w:hint="eastAsia" w:ascii="宋体" w:hAnsi="宋体" w:eastAsia="宋体" w:cs="宋体"/>
          <w:i w:val="0"/>
          <w:iCs w:val="0"/>
          <w:color w:val="auto"/>
          <w:sz w:val="24"/>
          <w:szCs w:val="24"/>
          <w:highlight w:val="none"/>
        </w:rPr>
        <w:fldChar w:fldCharType="separate"/>
      </w:r>
      <w:r>
        <w:rPr>
          <w:rFonts w:hint="eastAsia" w:ascii="宋体" w:eastAsia="宋体" w:cs="宋体"/>
          <w:bCs/>
          <w:i w:val="0"/>
          <w:iCs w:val="0"/>
          <w:color w:val="auto"/>
          <w:kern w:val="2"/>
          <w:sz w:val="24"/>
          <w:szCs w:val="24"/>
          <w:highlight w:val="none"/>
          <w:lang w:val="en-US" w:eastAsia="zh-CN" w:bidi="ar-SA"/>
        </w:rPr>
        <w:t>五</w:t>
      </w:r>
      <w:r>
        <w:rPr>
          <w:rFonts w:hint="eastAsia" w:ascii="宋体" w:hAnsi="宋体" w:eastAsia="宋体" w:cs="宋体"/>
          <w:bCs/>
          <w:i w:val="0"/>
          <w:iCs w:val="0"/>
          <w:color w:val="auto"/>
          <w:kern w:val="2"/>
          <w:sz w:val="24"/>
          <w:szCs w:val="24"/>
          <w:highlight w:val="none"/>
          <w:lang w:val="en-US" w:eastAsia="zh-CN" w:bidi="ar-SA"/>
        </w:rPr>
        <w:t>、商务响应偏离表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_Toc30110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- 124 -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33D1FC0">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_Toc20003 </w:instrText>
      </w:r>
      <w:r>
        <w:rPr>
          <w:rFonts w:hint="eastAsia" w:ascii="宋体" w:hAnsi="宋体" w:eastAsia="宋体" w:cs="宋体"/>
          <w:i w:val="0"/>
          <w:iCs w:val="0"/>
          <w:color w:val="auto"/>
          <w:sz w:val="24"/>
          <w:szCs w:val="24"/>
          <w:highlight w:val="none"/>
        </w:rPr>
        <w:fldChar w:fldCharType="separate"/>
      </w:r>
      <w:r>
        <w:rPr>
          <w:rFonts w:hint="eastAsia" w:ascii="宋体" w:eastAsia="宋体" w:cs="宋体"/>
          <w:bCs/>
          <w:i w:val="0"/>
          <w:iCs w:val="0"/>
          <w:color w:val="auto"/>
          <w:kern w:val="2"/>
          <w:sz w:val="24"/>
          <w:szCs w:val="24"/>
          <w:highlight w:val="none"/>
          <w:lang w:val="en-US" w:eastAsia="zh-CN" w:bidi="ar-SA"/>
        </w:rPr>
        <w:t>六</w:t>
      </w:r>
      <w:r>
        <w:rPr>
          <w:rFonts w:hint="eastAsia" w:ascii="宋体" w:hAnsi="宋体" w:eastAsia="宋体" w:cs="宋体"/>
          <w:bCs/>
          <w:i w:val="0"/>
          <w:iCs w:val="0"/>
          <w:color w:val="auto"/>
          <w:kern w:val="2"/>
          <w:sz w:val="24"/>
          <w:szCs w:val="24"/>
          <w:highlight w:val="none"/>
          <w:lang w:val="en-US" w:eastAsia="zh-CN" w:bidi="ar-SA"/>
        </w:rPr>
        <w:t>、业绩证明文件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_Toc20003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- 125 -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4F734F71">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_Toc6673 </w:instrText>
      </w:r>
      <w:r>
        <w:rPr>
          <w:rFonts w:hint="eastAsia" w:ascii="宋体" w:hAnsi="宋体" w:eastAsia="宋体" w:cs="宋体"/>
          <w:i w:val="0"/>
          <w:iCs w:val="0"/>
          <w:color w:val="auto"/>
          <w:sz w:val="24"/>
          <w:szCs w:val="24"/>
          <w:highlight w:val="none"/>
        </w:rPr>
        <w:fldChar w:fldCharType="separate"/>
      </w:r>
      <w:r>
        <w:rPr>
          <w:rFonts w:hint="eastAsia" w:ascii="宋体" w:eastAsia="宋体" w:cs="宋体"/>
          <w:bCs/>
          <w:i w:val="0"/>
          <w:iCs w:val="0"/>
          <w:color w:val="auto"/>
          <w:kern w:val="2"/>
          <w:sz w:val="24"/>
          <w:szCs w:val="24"/>
          <w:highlight w:val="none"/>
          <w:lang w:val="en-US" w:eastAsia="zh-CN" w:bidi="ar-SA"/>
        </w:rPr>
        <w:t>七</w:t>
      </w:r>
      <w:r>
        <w:rPr>
          <w:rFonts w:hint="eastAsia" w:ascii="宋体" w:hAnsi="宋体" w:eastAsia="宋体" w:cs="宋体"/>
          <w:bCs/>
          <w:i w:val="0"/>
          <w:iCs w:val="0"/>
          <w:color w:val="auto"/>
          <w:kern w:val="2"/>
          <w:sz w:val="24"/>
          <w:szCs w:val="24"/>
          <w:highlight w:val="none"/>
          <w:lang w:val="en-US" w:eastAsia="zh-CN" w:bidi="ar-SA"/>
        </w:rPr>
        <w:t>、拟派项目团队</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_Toc6673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- 126 -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3F886612">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_Toc5696 </w:instrText>
      </w:r>
      <w:r>
        <w:rPr>
          <w:rFonts w:hint="eastAsia" w:ascii="宋体" w:hAnsi="宋体" w:eastAsia="宋体" w:cs="宋体"/>
          <w:i w:val="0"/>
          <w:iCs w:val="0"/>
          <w:color w:val="auto"/>
          <w:sz w:val="24"/>
          <w:szCs w:val="24"/>
          <w:highlight w:val="none"/>
        </w:rPr>
        <w:fldChar w:fldCharType="separate"/>
      </w:r>
      <w:r>
        <w:rPr>
          <w:rFonts w:hint="eastAsia" w:ascii="宋体" w:eastAsia="宋体" w:cs="宋体"/>
          <w:bCs/>
          <w:i w:val="0"/>
          <w:iCs w:val="0"/>
          <w:color w:val="auto"/>
          <w:kern w:val="2"/>
          <w:sz w:val="24"/>
          <w:szCs w:val="24"/>
          <w:highlight w:val="none"/>
          <w:lang w:val="en-US" w:eastAsia="zh-CN" w:bidi="ar-SA"/>
        </w:rPr>
        <w:t>八</w:t>
      </w:r>
      <w:r>
        <w:rPr>
          <w:rFonts w:hint="eastAsia" w:ascii="宋体" w:hAnsi="宋体" w:eastAsia="宋体" w:cs="宋体"/>
          <w:bCs/>
          <w:i w:val="0"/>
          <w:iCs w:val="0"/>
          <w:color w:val="auto"/>
          <w:kern w:val="2"/>
          <w:sz w:val="24"/>
          <w:szCs w:val="24"/>
          <w:highlight w:val="none"/>
          <w:lang w:val="en-US" w:eastAsia="zh-CN" w:bidi="ar-SA"/>
        </w:rPr>
        <w:t>、技术响应偏离表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_Toc5696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- 127 -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67FCC5AD">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_Toc8317 </w:instrText>
      </w:r>
      <w:r>
        <w:rPr>
          <w:rFonts w:hint="eastAsia" w:ascii="宋体" w:hAnsi="宋体" w:eastAsia="宋体" w:cs="宋体"/>
          <w:i w:val="0"/>
          <w:iCs w:val="0"/>
          <w:color w:val="auto"/>
          <w:sz w:val="24"/>
          <w:szCs w:val="24"/>
          <w:highlight w:val="none"/>
        </w:rPr>
        <w:fldChar w:fldCharType="separate"/>
      </w:r>
      <w:r>
        <w:rPr>
          <w:rFonts w:hint="eastAsia" w:ascii="宋体" w:eastAsia="宋体" w:cs="宋体"/>
          <w:bCs/>
          <w:i w:val="0"/>
          <w:iCs w:val="0"/>
          <w:color w:val="auto"/>
          <w:kern w:val="2"/>
          <w:sz w:val="24"/>
          <w:szCs w:val="24"/>
          <w:highlight w:val="none"/>
          <w:lang w:val="en-US" w:eastAsia="zh-CN" w:bidi="ar-SA"/>
        </w:rPr>
        <w:t>九</w:t>
      </w:r>
      <w:r>
        <w:rPr>
          <w:rFonts w:hint="eastAsia" w:ascii="宋体" w:hAnsi="宋体" w:eastAsia="宋体" w:cs="宋体"/>
          <w:bCs/>
          <w:i w:val="0"/>
          <w:iCs w:val="0"/>
          <w:color w:val="auto"/>
          <w:kern w:val="2"/>
          <w:sz w:val="24"/>
          <w:szCs w:val="24"/>
          <w:highlight w:val="none"/>
          <w:lang w:val="en-US" w:eastAsia="zh-CN" w:bidi="ar-SA"/>
        </w:rPr>
        <w:t>、技术方案</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_Toc8317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- 128 -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1F084B06">
      <w:pPr>
        <w:pStyle w:val="26"/>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i w:val="0"/>
          <w:iCs w:val="0"/>
          <w:color w:val="auto"/>
          <w:sz w:val="24"/>
          <w:szCs w:val="24"/>
          <w:highlight w:val="none"/>
        </w:rPr>
        <w:fldChar w:fldCharType="begin"/>
      </w:r>
      <w:r>
        <w:rPr>
          <w:rFonts w:hint="eastAsia" w:ascii="宋体" w:hAnsi="宋体" w:eastAsia="宋体" w:cs="宋体"/>
          <w:i w:val="0"/>
          <w:iCs w:val="0"/>
          <w:color w:val="auto"/>
          <w:sz w:val="24"/>
          <w:szCs w:val="24"/>
          <w:highlight w:val="none"/>
        </w:rPr>
        <w:instrText xml:space="preserve"> HYPERLINK \l _Toc26972 </w:instrText>
      </w:r>
      <w:r>
        <w:rPr>
          <w:rFonts w:hint="eastAsia" w:ascii="宋体" w:hAnsi="宋体" w:eastAsia="宋体" w:cs="宋体"/>
          <w:i w:val="0"/>
          <w:iCs w:val="0"/>
          <w:color w:val="auto"/>
          <w:sz w:val="24"/>
          <w:szCs w:val="24"/>
          <w:highlight w:val="none"/>
        </w:rPr>
        <w:fldChar w:fldCharType="separate"/>
      </w:r>
      <w:r>
        <w:rPr>
          <w:rFonts w:hint="eastAsia" w:ascii="宋体" w:hAnsi="宋体" w:eastAsia="宋体" w:cs="宋体"/>
          <w:bCs/>
          <w:i w:val="0"/>
          <w:iCs w:val="0"/>
          <w:color w:val="auto"/>
          <w:kern w:val="2"/>
          <w:sz w:val="24"/>
          <w:szCs w:val="24"/>
          <w:highlight w:val="none"/>
          <w:lang w:val="en-US" w:eastAsia="zh-CN" w:bidi="ar-SA"/>
        </w:rPr>
        <w:t>十、其他文件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_Toc26972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- 129 -</w:t>
      </w:r>
      <w:r>
        <w:rPr>
          <w:rFonts w:hint="eastAsia" w:ascii="宋体" w:hAnsi="宋体" w:eastAsia="宋体" w:cs="宋体"/>
          <w:color w:val="auto"/>
          <w:sz w:val="24"/>
          <w:szCs w:val="24"/>
          <w:highlight w:val="none"/>
        </w:rPr>
        <w:fldChar w:fldCharType="end"/>
      </w:r>
      <w:r>
        <w:rPr>
          <w:rFonts w:hint="eastAsia" w:ascii="宋体" w:hAnsi="宋体" w:eastAsia="宋体" w:cs="宋体"/>
          <w:i w:val="0"/>
          <w:iCs w:val="0"/>
          <w:color w:val="auto"/>
          <w:sz w:val="24"/>
          <w:szCs w:val="24"/>
          <w:highlight w:val="none"/>
        </w:rPr>
        <w:fldChar w:fldCharType="end"/>
      </w:r>
    </w:p>
    <w:p w14:paraId="7645A9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32"/>
          <w:szCs w:val="32"/>
          <w:highlight w:val="none"/>
        </w:rPr>
      </w:pPr>
      <w:r>
        <w:rPr>
          <w:rFonts w:hint="eastAsia" w:ascii="宋体" w:hAnsi="宋体" w:eastAsia="宋体" w:cs="宋体"/>
          <w:i w:val="0"/>
          <w:iCs w:val="0"/>
          <w:color w:val="auto"/>
          <w:szCs w:val="24"/>
          <w:highlight w:val="none"/>
        </w:rPr>
        <w:fldChar w:fldCharType="end"/>
      </w:r>
    </w:p>
    <w:p w14:paraId="453D0ED8">
      <w:pPr>
        <w:jc w:val="center"/>
        <w:rPr>
          <w:rFonts w:hint="eastAsia" w:ascii="宋体" w:hAnsi="宋体" w:eastAsia="宋体" w:cs="宋体"/>
          <w:i w:val="0"/>
          <w:iCs w:val="0"/>
          <w:color w:val="auto"/>
          <w:sz w:val="32"/>
          <w:szCs w:val="32"/>
          <w:highlight w:val="none"/>
        </w:rPr>
        <w:sectPr>
          <w:headerReference r:id="rId5" w:type="default"/>
          <w:pgSz w:w="11906" w:h="16838"/>
          <w:pgMar w:top="1440" w:right="1800" w:bottom="1440" w:left="1800" w:header="851" w:footer="992" w:gutter="0"/>
          <w:pgNumType w:fmt="numberInDash"/>
          <w:cols w:space="425" w:num="1"/>
          <w:docGrid w:type="lines" w:linePitch="312" w:charSpace="0"/>
        </w:sectPr>
      </w:pPr>
    </w:p>
    <w:p w14:paraId="4B9CE50C">
      <w:pPr>
        <w:pStyle w:val="4"/>
        <w:keepNext/>
        <w:keepLines/>
        <w:pageBreakBefore w:val="0"/>
        <w:widowControl w:val="0"/>
        <w:numPr>
          <w:ilvl w:val="0"/>
          <w:numId w:val="0"/>
        </w:numPr>
        <w:kinsoku/>
        <w:wordWrap/>
        <w:overflowPunct/>
        <w:topLinePunct w:val="0"/>
        <w:autoSpaceDE/>
        <w:autoSpaceDN/>
        <w:bidi w:val="0"/>
        <w:adjustRightInd/>
        <w:snapToGrid/>
        <w:spacing w:before="220" w:after="220" w:line="480" w:lineRule="auto"/>
        <w:ind w:left="420" w:leftChars="0" w:hanging="420" w:firstLineChars="0"/>
        <w:textAlignment w:val="auto"/>
        <w:rPr>
          <w:rFonts w:hint="eastAsia" w:ascii="宋体" w:hAnsi="宋体" w:eastAsia="宋体" w:cs="宋体"/>
          <w:b/>
          <w:bCs/>
          <w:i w:val="0"/>
          <w:iCs w:val="0"/>
          <w:color w:val="auto"/>
          <w:kern w:val="44"/>
          <w:sz w:val="36"/>
          <w:szCs w:val="36"/>
          <w:highlight w:val="none"/>
          <w:lang w:val="en-US" w:eastAsia="zh-CN" w:bidi="ar-SA"/>
        </w:rPr>
      </w:pPr>
      <w:bookmarkStart w:id="0" w:name="_Toc163493599"/>
      <w:bookmarkStart w:id="1" w:name="_Toc15771"/>
      <w:r>
        <w:rPr>
          <w:rFonts w:hint="eastAsia" w:ascii="宋体" w:hAnsi="宋体" w:eastAsia="宋体" w:cs="宋体"/>
          <w:b/>
          <w:bCs/>
          <w:i w:val="0"/>
          <w:iCs w:val="0"/>
          <w:color w:val="auto"/>
          <w:kern w:val="44"/>
          <w:sz w:val="36"/>
          <w:szCs w:val="36"/>
          <w:highlight w:val="none"/>
          <w:lang w:val="en-US" w:eastAsia="zh-CN" w:bidi="ar-SA"/>
        </w:rPr>
        <w:t>第一章 竞争性磋商</w:t>
      </w:r>
      <w:bookmarkEnd w:id="0"/>
      <w:r>
        <w:rPr>
          <w:rFonts w:hint="eastAsia" w:ascii="宋体" w:hAnsi="宋体" w:eastAsia="宋体" w:cs="宋体"/>
          <w:b/>
          <w:bCs/>
          <w:i w:val="0"/>
          <w:iCs w:val="0"/>
          <w:color w:val="auto"/>
          <w:kern w:val="44"/>
          <w:sz w:val="36"/>
          <w:szCs w:val="36"/>
          <w:highlight w:val="none"/>
          <w:lang w:val="en-US" w:eastAsia="zh-CN" w:bidi="ar-SA"/>
        </w:rPr>
        <w:t>公告</w:t>
      </w:r>
      <w:bookmarkEnd w:id="1"/>
    </w:p>
    <w:tbl>
      <w:tblPr>
        <w:tblStyle w:val="3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8E7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3AAE8BC">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textAlignment w:val="auto"/>
              <w:rPr>
                <w:rFonts w:hint="eastAsia"/>
                <w:i w:val="0"/>
                <w:iCs w:val="0"/>
                <w:color w:val="auto"/>
                <w:sz w:val="24"/>
                <w:szCs w:val="24"/>
                <w:highlight w:val="none"/>
                <w:lang w:val="en-US" w:eastAsia="zh-CN"/>
              </w:rPr>
            </w:pPr>
            <w:bookmarkStart w:id="2" w:name="_Toc26730"/>
            <w:bookmarkStart w:id="3" w:name="_Toc2027"/>
            <w:bookmarkStart w:id="4" w:name="_Toc28359012"/>
            <w:bookmarkStart w:id="5" w:name="_Toc163492812"/>
            <w:bookmarkStart w:id="6" w:name="_Toc28359089"/>
            <w:bookmarkStart w:id="7" w:name="_Toc155185860"/>
            <w:bookmarkStart w:id="8" w:name="_Toc109899410"/>
            <w:bookmarkStart w:id="9" w:name="_Toc44583628"/>
            <w:bookmarkStart w:id="10" w:name="_Toc140132745"/>
            <w:bookmarkStart w:id="11" w:name="_Toc35393629"/>
            <w:bookmarkStart w:id="12" w:name="_Toc109900248"/>
            <w:bookmarkStart w:id="13" w:name="_Toc109899829"/>
            <w:bookmarkStart w:id="14" w:name="_Toc35393798"/>
            <w:r>
              <w:rPr>
                <w:rFonts w:hint="eastAsia"/>
                <w:i w:val="0"/>
                <w:iCs w:val="0"/>
                <w:color w:val="auto"/>
                <w:sz w:val="24"/>
                <w:szCs w:val="24"/>
                <w:highlight w:val="none"/>
                <w:lang w:val="en-US" w:eastAsia="zh-CN"/>
              </w:rPr>
              <w:t>项目概况：</w:t>
            </w:r>
            <w:bookmarkEnd w:id="2"/>
            <w:bookmarkEnd w:id="3"/>
          </w:p>
          <w:p w14:paraId="1AC1B79F">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default"/>
                <w:i w:val="0"/>
                <w:iCs w:val="0"/>
                <w:color w:val="auto"/>
                <w:highlight w:val="none"/>
                <w:lang w:val="en-US" w:eastAsia="zh-CN"/>
              </w:rPr>
            </w:pPr>
            <w:r>
              <w:rPr>
                <w:rFonts w:hint="eastAsia" w:ascii="宋体" w:hAnsi="宋体" w:eastAsia="宋体" w:cs="宋体"/>
                <w:i w:val="0"/>
                <w:iCs w:val="0"/>
                <w:color w:val="auto"/>
                <w:kern w:val="2"/>
                <w:sz w:val="24"/>
                <w:szCs w:val="24"/>
                <w:highlight w:val="none"/>
                <w:u w:val="single"/>
                <w:shd w:val="clear" w:color="auto" w:fill="FFFFFF"/>
                <w:lang w:val="hr-HR" w:eastAsia="zh-CN" w:bidi="ar-SA"/>
              </w:rPr>
              <w:t xml:space="preserve"> </w:t>
            </w:r>
            <w:r>
              <w:rPr>
                <w:rFonts w:hint="eastAsia" w:cs="宋体"/>
                <w:i w:val="0"/>
                <w:iCs w:val="0"/>
                <w:color w:val="auto"/>
                <w:kern w:val="2"/>
                <w:sz w:val="24"/>
                <w:szCs w:val="24"/>
                <w:highlight w:val="none"/>
                <w:u w:val="single"/>
                <w:shd w:val="clear" w:color="auto" w:fill="FFFFFF"/>
                <w:lang w:val="hr-HR" w:eastAsia="zh-CN" w:bidi="ar-SA"/>
              </w:rPr>
              <w:t>墨玉县基层公共就业服务网点建设与运营服务项目（三次）</w:t>
            </w:r>
            <w:r>
              <w:rPr>
                <w:rFonts w:hint="default" w:ascii="宋体" w:hAnsi="宋体" w:eastAsia="宋体" w:cs="宋体"/>
                <w:i w:val="0"/>
                <w:iCs w:val="0"/>
                <w:color w:val="auto"/>
                <w:kern w:val="2"/>
                <w:sz w:val="24"/>
                <w:szCs w:val="22"/>
                <w:highlight w:val="none"/>
                <w:u w:val="none"/>
                <w:lang w:val="en-US" w:eastAsia="zh-CN" w:bidi="ar-SA"/>
              </w:rPr>
              <w:t>的潜在供应商应在</w:t>
            </w:r>
            <w:r>
              <w:rPr>
                <w:rFonts w:hint="default" w:ascii="宋体" w:hAnsi="宋体" w:eastAsia="宋体" w:cs="宋体"/>
                <w:i w:val="0"/>
                <w:iCs w:val="0"/>
                <w:color w:val="auto"/>
                <w:kern w:val="2"/>
                <w:sz w:val="24"/>
                <w:szCs w:val="22"/>
                <w:highlight w:val="none"/>
                <w:u w:val="single"/>
                <w:lang w:val="en-US" w:eastAsia="zh-CN" w:bidi="ar-SA"/>
              </w:rPr>
              <w:t>政采云平台线上获取（政采云平台https://www.zcygov.cn/）</w:t>
            </w:r>
            <w:r>
              <w:rPr>
                <w:rFonts w:hint="default" w:ascii="宋体" w:hAnsi="宋体" w:eastAsia="宋体" w:cs="宋体"/>
                <w:i w:val="0"/>
                <w:iCs w:val="0"/>
                <w:color w:val="auto"/>
                <w:kern w:val="2"/>
                <w:sz w:val="24"/>
                <w:szCs w:val="22"/>
                <w:highlight w:val="none"/>
                <w:u w:val="none"/>
                <w:lang w:val="en-US" w:eastAsia="zh-CN" w:bidi="ar-SA"/>
              </w:rPr>
              <w:t>获取采购文件，并于</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2026年11月13日11时00分</w:t>
            </w:r>
            <w:r>
              <w:rPr>
                <w:rFonts w:hint="default" w:ascii="宋体" w:hAnsi="宋体" w:eastAsia="宋体" w:cs="宋体"/>
                <w:i w:val="0"/>
                <w:iCs w:val="0"/>
                <w:color w:val="auto"/>
                <w:kern w:val="2"/>
                <w:sz w:val="24"/>
                <w:szCs w:val="22"/>
                <w:highlight w:val="none"/>
                <w:u w:val="none"/>
                <w:lang w:val="en-US" w:eastAsia="zh-CN" w:bidi="ar-SA"/>
              </w:rPr>
              <w:t>（北京时间）前提交响应文件。</w:t>
            </w:r>
          </w:p>
        </w:tc>
      </w:tr>
    </w:tbl>
    <w:p w14:paraId="137CC263">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i w:val="0"/>
          <w:iCs w:val="0"/>
          <w:color w:val="auto"/>
          <w:sz w:val="24"/>
          <w:szCs w:val="24"/>
          <w:highlight w:val="none"/>
          <w:lang w:val="hr-HR"/>
        </w:rPr>
      </w:pPr>
      <w:bookmarkStart w:id="15" w:name="_Toc29779"/>
      <w:r>
        <w:rPr>
          <w:rFonts w:hint="eastAsia" w:ascii="宋体" w:hAnsi="宋体" w:eastAsia="宋体" w:cs="宋体"/>
          <w:b/>
          <w:bCs/>
          <w:i w:val="0"/>
          <w:iCs w:val="0"/>
          <w:color w:val="auto"/>
          <w:kern w:val="2"/>
          <w:sz w:val="24"/>
          <w:szCs w:val="24"/>
          <w:highlight w:val="none"/>
          <w:lang w:val="hr-HR" w:eastAsia="zh-CN" w:bidi="ar-SA"/>
        </w:rPr>
        <w:t>一、</w:t>
      </w:r>
      <w:r>
        <w:rPr>
          <w:rFonts w:hint="eastAsia" w:ascii="宋体" w:hAnsi="宋体" w:eastAsia="宋体" w:cs="宋体"/>
          <w:i w:val="0"/>
          <w:iCs w:val="0"/>
          <w:color w:val="auto"/>
          <w:sz w:val="24"/>
          <w:szCs w:val="24"/>
          <w:highlight w:val="none"/>
          <w:lang w:val="hr-HR"/>
        </w:rPr>
        <w:t>项目基本情况</w:t>
      </w:r>
      <w:bookmarkEnd w:id="4"/>
      <w:bookmarkEnd w:id="5"/>
      <w:bookmarkEnd w:id="6"/>
      <w:bookmarkEnd w:id="7"/>
      <w:bookmarkEnd w:id="8"/>
      <w:bookmarkEnd w:id="9"/>
      <w:bookmarkEnd w:id="10"/>
      <w:bookmarkEnd w:id="11"/>
      <w:bookmarkEnd w:id="12"/>
      <w:bookmarkEnd w:id="13"/>
      <w:bookmarkEnd w:id="14"/>
      <w:bookmarkEnd w:id="15"/>
    </w:p>
    <w:p w14:paraId="6B3C867B">
      <w:pPr>
        <w:pStyle w:val="38"/>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hr-HR"/>
        </w:rPr>
        <w:t>项目编号</w:t>
      </w:r>
      <w:r>
        <w:rPr>
          <w:rFonts w:hint="eastAsia"/>
          <w:i w:val="0"/>
          <w:iCs w:val="0"/>
          <w:color w:val="auto"/>
          <w:sz w:val="24"/>
          <w:highlight w:val="none"/>
          <w:lang w:val="en-US" w:eastAsia="zh-CN"/>
        </w:rPr>
        <w:t>/包号</w:t>
      </w:r>
      <w:r>
        <w:rPr>
          <w:rFonts w:hint="eastAsia" w:ascii="宋体" w:hAnsi="宋体" w:eastAsia="宋体" w:cs="宋体"/>
          <w:i w:val="0"/>
          <w:iCs w:val="0"/>
          <w:color w:val="auto"/>
          <w:sz w:val="24"/>
          <w:szCs w:val="24"/>
          <w:highlight w:val="none"/>
          <w:lang w:val="hr-HR"/>
        </w:rPr>
        <w:t>：</w:t>
      </w:r>
      <w:r>
        <w:rPr>
          <w:rFonts w:hint="eastAsia" w:cs="宋体"/>
          <w:i w:val="0"/>
          <w:iCs w:val="0"/>
          <w:color w:val="auto"/>
          <w:sz w:val="24"/>
          <w:szCs w:val="24"/>
          <w:highlight w:val="none"/>
          <w:lang w:val="hr-HR" w:eastAsia="zh-CN"/>
        </w:rPr>
        <w:t>XJYL(HT)-2026-001-02</w:t>
      </w:r>
    </w:p>
    <w:p w14:paraId="23A3367A">
      <w:pPr>
        <w:pStyle w:val="38"/>
        <w:rPr>
          <w:rFonts w:hint="eastAsia" w:ascii="宋体" w:hAnsi="宋体" w:eastAsia="宋体" w:cs="宋体"/>
          <w:i w:val="0"/>
          <w:iCs w:val="0"/>
          <w:color w:val="auto"/>
          <w:sz w:val="24"/>
          <w:szCs w:val="24"/>
          <w:highlight w:val="none"/>
          <w:lang w:val="hr-HR"/>
        </w:rPr>
      </w:pPr>
      <w:r>
        <w:rPr>
          <w:rFonts w:hint="eastAsia" w:ascii="宋体" w:hAnsi="宋体" w:eastAsia="宋体" w:cs="宋体"/>
          <w:i w:val="0"/>
          <w:iCs w:val="0"/>
          <w:color w:val="auto"/>
          <w:sz w:val="24"/>
          <w:szCs w:val="24"/>
          <w:highlight w:val="none"/>
          <w:lang w:val="hr-HR"/>
        </w:rPr>
        <w:t>项目名称：</w:t>
      </w:r>
      <w:r>
        <w:rPr>
          <w:rFonts w:hint="eastAsia" w:cs="宋体"/>
          <w:i w:val="0"/>
          <w:iCs w:val="0"/>
          <w:color w:val="auto"/>
          <w:sz w:val="24"/>
          <w:szCs w:val="24"/>
          <w:highlight w:val="none"/>
          <w:lang w:val="hr-HR" w:eastAsia="zh-CN"/>
        </w:rPr>
        <w:t>墨玉县基层公共就业服务网点建设与运营服务项目（三次）</w:t>
      </w:r>
      <w:r>
        <w:rPr>
          <w:rFonts w:hint="eastAsia" w:cs="宋体"/>
          <w:i w:val="0"/>
          <w:iCs w:val="0"/>
          <w:color w:val="auto"/>
          <w:sz w:val="24"/>
          <w:szCs w:val="24"/>
          <w:highlight w:val="none"/>
          <w:lang w:val="hr-HR" w:eastAsia="zh-CN"/>
        </w:rPr>
        <w:tab/>
      </w:r>
    </w:p>
    <w:p w14:paraId="27D3C8F1">
      <w:pPr>
        <w:pStyle w:val="38"/>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hr-HR"/>
        </w:rPr>
        <w:t>采购方式：</w:t>
      </w:r>
      <w:r>
        <w:rPr>
          <w:rFonts w:hint="eastAsia" w:ascii="宋体" w:hAnsi="宋体" w:eastAsia="宋体" w:cs="宋体"/>
          <w:i w:val="0"/>
          <w:iCs w:val="0"/>
          <w:color w:val="auto"/>
          <w:sz w:val="24"/>
          <w:szCs w:val="24"/>
          <w:highlight w:val="none"/>
          <w:lang w:val="en-US" w:eastAsia="zh-CN"/>
        </w:rPr>
        <w:t>竞争性磋商</w:t>
      </w:r>
    </w:p>
    <w:p w14:paraId="1795AB53">
      <w:pPr>
        <w:pStyle w:val="38"/>
        <w:rPr>
          <w:rFonts w:hint="eastAsia" w:ascii="宋体" w:hAnsi="宋体" w:eastAsia="宋体" w:cs="宋体"/>
          <w:i w:val="0"/>
          <w:iCs w:val="0"/>
          <w:color w:val="auto"/>
          <w:sz w:val="24"/>
          <w:szCs w:val="24"/>
          <w:highlight w:val="none"/>
          <w:lang w:val="hr-HR"/>
        </w:rPr>
      </w:pPr>
      <w:r>
        <w:rPr>
          <w:rFonts w:hint="eastAsia" w:ascii="宋体" w:hAnsi="宋体" w:eastAsia="宋体" w:cs="宋体"/>
          <w:i w:val="0"/>
          <w:iCs w:val="0"/>
          <w:color w:val="auto"/>
          <w:sz w:val="24"/>
          <w:szCs w:val="24"/>
          <w:highlight w:val="none"/>
          <w:lang w:val="hr-HR"/>
        </w:rPr>
        <w:t>预算金额</w:t>
      </w:r>
      <w:r>
        <w:rPr>
          <w:rFonts w:hint="eastAsia" w:ascii="宋体" w:hAnsi="宋体" w:eastAsia="宋体" w:cs="宋体"/>
          <w:i w:val="0"/>
          <w:iCs w:val="0"/>
          <w:color w:val="auto"/>
          <w:sz w:val="24"/>
          <w:szCs w:val="24"/>
          <w:highlight w:val="none"/>
          <w:lang w:val="hr-HR" w:eastAsia="zh-CN"/>
        </w:rPr>
        <w:t>（</w:t>
      </w:r>
      <w:r>
        <w:rPr>
          <w:rFonts w:hint="eastAsia" w:ascii="宋体" w:hAnsi="宋体" w:eastAsia="宋体" w:cs="宋体"/>
          <w:i w:val="0"/>
          <w:iCs w:val="0"/>
          <w:color w:val="auto"/>
          <w:sz w:val="24"/>
          <w:szCs w:val="24"/>
          <w:highlight w:val="none"/>
          <w:lang w:val="en-US" w:eastAsia="zh-CN"/>
        </w:rPr>
        <w:t>元</w:t>
      </w:r>
      <w:r>
        <w:rPr>
          <w:rFonts w:hint="eastAsia" w:ascii="宋体" w:hAnsi="宋体" w:eastAsia="宋体" w:cs="宋体"/>
          <w:i w:val="0"/>
          <w:iCs w:val="0"/>
          <w:color w:val="auto"/>
          <w:sz w:val="24"/>
          <w:szCs w:val="24"/>
          <w:highlight w:val="none"/>
          <w:lang w:val="hr-HR" w:eastAsia="zh-CN"/>
        </w:rPr>
        <w:t>）</w:t>
      </w:r>
      <w:r>
        <w:rPr>
          <w:rFonts w:hint="eastAsia" w:ascii="宋体" w:hAnsi="宋体" w:eastAsia="宋体" w:cs="宋体"/>
          <w:i w:val="0"/>
          <w:iCs w:val="0"/>
          <w:color w:val="auto"/>
          <w:sz w:val="24"/>
          <w:szCs w:val="24"/>
          <w:highlight w:val="none"/>
          <w:lang w:val="hr-HR"/>
        </w:rPr>
        <w:t>：</w:t>
      </w:r>
      <w:r>
        <w:rPr>
          <w:rFonts w:hint="eastAsia" w:cs="宋体"/>
          <w:i w:val="0"/>
          <w:iCs w:val="0"/>
          <w:color w:val="auto"/>
          <w:sz w:val="24"/>
          <w:szCs w:val="24"/>
          <w:highlight w:val="none"/>
          <w:lang w:val="en-US" w:eastAsia="zh-CN"/>
        </w:rPr>
        <w:t>1600000.00</w:t>
      </w:r>
      <w:r>
        <w:rPr>
          <w:rFonts w:hint="eastAsia" w:ascii="宋体" w:hAnsi="宋体" w:eastAsia="宋体" w:cs="宋体"/>
          <w:i w:val="0"/>
          <w:iCs w:val="0"/>
          <w:color w:val="auto"/>
          <w:sz w:val="24"/>
          <w:szCs w:val="24"/>
          <w:highlight w:val="none"/>
          <w:lang w:val="hr-HR"/>
        </w:rPr>
        <w:t xml:space="preserve"> </w:t>
      </w:r>
    </w:p>
    <w:p w14:paraId="2BEE09E4">
      <w:pPr>
        <w:pStyle w:val="38"/>
        <w:rPr>
          <w:rFonts w:hint="eastAsia" w:ascii="宋体" w:hAnsi="宋体" w:eastAsia="宋体" w:cs="宋体"/>
          <w:i w:val="0"/>
          <w:iCs w:val="0"/>
          <w:color w:val="auto"/>
          <w:sz w:val="24"/>
          <w:szCs w:val="24"/>
          <w:highlight w:val="none"/>
          <w:lang w:val="hr-HR"/>
        </w:rPr>
      </w:pPr>
      <w:r>
        <w:rPr>
          <w:rFonts w:hint="eastAsia" w:ascii="宋体" w:hAnsi="宋体" w:eastAsia="宋体" w:cs="宋体"/>
          <w:i w:val="0"/>
          <w:iCs w:val="0"/>
          <w:color w:val="auto"/>
          <w:sz w:val="24"/>
          <w:szCs w:val="24"/>
          <w:highlight w:val="none"/>
          <w:lang w:val="hr-HR"/>
        </w:rPr>
        <w:t>最高限价</w:t>
      </w:r>
      <w:r>
        <w:rPr>
          <w:rFonts w:hint="eastAsia" w:ascii="宋体" w:hAnsi="宋体" w:eastAsia="宋体" w:cs="宋体"/>
          <w:i w:val="0"/>
          <w:iCs w:val="0"/>
          <w:color w:val="auto"/>
          <w:sz w:val="24"/>
          <w:szCs w:val="24"/>
          <w:highlight w:val="none"/>
          <w:lang w:val="hr-HR" w:eastAsia="zh-CN"/>
        </w:rPr>
        <w:t>（</w:t>
      </w:r>
      <w:r>
        <w:rPr>
          <w:rFonts w:hint="eastAsia" w:ascii="宋体" w:hAnsi="宋体" w:eastAsia="宋体" w:cs="宋体"/>
          <w:i w:val="0"/>
          <w:iCs w:val="0"/>
          <w:color w:val="auto"/>
          <w:sz w:val="24"/>
          <w:szCs w:val="24"/>
          <w:highlight w:val="none"/>
          <w:lang w:val="en-US" w:eastAsia="zh-CN"/>
        </w:rPr>
        <w:t>元</w:t>
      </w:r>
      <w:r>
        <w:rPr>
          <w:rFonts w:hint="eastAsia" w:ascii="宋体" w:hAnsi="宋体" w:eastAsia="宋体" w:cs="宋体"/>
          <w:i w:val="0"/>
          <w:iCs w:val="0"/>
          <w:color w:val="auto"/>
          <w:sz w:val="24"/>
          <w:szCs w:val="24"/>
          <w:highlight w:val="none"/>
          <w:lang w:val="hr-HR" w:eastAsia="zh-CN"/>
        </w:rPr>
        <w:t>）</w:t>
      </w:r>
      <w:r>
        <w:rPr>
          <w:rFonts w:hint="eastAsia" w:ascii="宋体" w:hAnsi="宋体" w:eastAsia="宋体" w:cs="宋体"/>
          <w:i w:val="0"/>
          <w:iCs w:val="0"/>
          <w:color w:val="auto"/>
          <w:sz w:val="24"/>
          <w:szCs w:val="24"/>
          <w:highlight w:val="none"/>
          <w:lang w:val="hr-HR"/>
        </w:rPr>
        <w:t>：</w:t>
      </w:r>
      <w:r>
        <w:rPr>
          <w:rFonts w:hint="eastAsia" w:cs="宋体"/>
          <w:i w:val="0"/>
          <w:iCs w:val="0"/>
          <w:color w:val="auto"/>
          <w:sz w:val="24"/>
          <w:szCs w:val="24"/>
          <w:highlight w:val="none"/>
          <w:lang w:val="en-US" w:eastAsia="zh-CN"/>
        </w:rPr>
        <w:t>1600000.00</w:t>
      </w:r>
      <w:r>
        <w:rPr>
          <w:rFonts w:hint="eastAsia" w:ascii="宋体" w:hAnsi="宋体" w:eastAsia="宋体" w:cs="宋体"/>
          <w:i w:val="0"/>
          <w:iCs w:val="0"/>
          <w:color w:val="auto"/>
          <w:sz w:val="24"/>
          <w:szCs w:val="24"/>
          <w:highlight w:val="none"/>
          <w:lang w:val="hr-HR"/>
        </w:rPr>
        <w:t xml:space="preserve"> </w:t>
      </w:r>
    </w:p>
    <w:p w14:paraId="5C9D7EF4">
      <w:pPr>
        <w:ind w:firstLine="480" w:firstLineChars="200"/>
        <w:rPr>
          <w:rFonts w:hint="eastAsia" w:ascii="宋体" w:hAnsi="宋体" w:eastAsia="宋体" w:cs="宋体"/>
          <w:i w:val="0"/>
          <w:iCs w:val="0"/>
          <w:color w:val="auto"/>
          <w:sz w:val="24"/>
          <w:szCs w:val="24"/>
          <w:highlight w:val="none"/>
          <w:lang w:val="hr-HR"/>
        </w:rPr>
      </w:pPr>
      <w:r>
        <w:rPr>
          <w:rFonts w:hint="eastAsia" w:ascii="宋体" w:hAnsi="宋体" w:eastAsia="宋体" w:cs="宋体"/>
          <w:i w:val="0"/>
          <w:iCs w:val="0"/>
          <w:color w:val="auto"/>
          <w:sz w:val="24"/>
          <w:szCs w:val="24"/>
          <w:highlight w:val="none"/>
          <w:lang w:val="hr-HR"/>
        </w:rPr>
        <w:t>采购需求：</w:t>
      </w:r>
      <w:r>
        <w:rPr>
          <w:rFonts w:hint="eastAsia" w:cs="宋体"/>
          <w:i w:val="0"/>
          <w:iCs w:val="0"/>
          <w:color w:val="auto"/>
          <w:sz w:val="24"/>
          <w:szCs w:val="24"/>
          <w:highlight w:val="none"/>
          <w:lang w:val="hr-HR" w:eastAsia="zh-CN"/>
        </w:rPr>
        <w:t>墨玉县辖16个乡镇、3个街道，360个行政村、36个社区；约443个基层公共就业服务网点（一级1个+二级10个+三级17个+四级415个），覆盖全部乡镇、街道、村及社区，实现就业服务网点正常试运营。</w:t>
      </w:r>
    </w:p>
    <w:p w14:paraId="64AA1D8E">
      <w:pPr>
        <w:widowControl/>
        <w:spacing w:line="360" w:lineRule="auto"/>
        <w:ind w:left="7" w:leftChars="0" w:firstLine="472" w:firstLineChars="197"/>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0"/>
          <w:sz w:val="24"/>
          <w:szCs w:val="24"/>
          <w:highlight w:val="none"/>
        </w:rPr>
        <w:t>标项名称</w:t>
      </w:r>
      <w:r>
        <w:rPr>
          <w:rFonts w:hint="eastAsia" w:cs="宋体"/>
          <w:color w:val="auto"/>
          <w:kern w:val="0"/>
          <w:sz w:val="24"/>
          <w:szCs w:val="24"/>
          <w:highlight w:val="none"/>
          <w:lang w:eastAsia="zh-CN"/>
        </w:rPr>
        <w:t>：</w:t>
      </w:r>
      <w:r>
        <w:rPr>
          <w:rFonts w:hint="eastAsia" w:cs="宋体"/>
          <w:i w:val="0"/>
          <w:iCs w:val="0"/>
          <w:color w:val="auto"/>
          <w:sz w:val="24"/>
          <w:szCs w:val="24"/>
          <w:highlight w:val="none"/>
          <w:lang w:val="hr-HR" w:eastAsia="zh-CN"/>
        </w:rPr>
        <w:t>墨玉县基层公共就业服务网点建设与运营服务项目（三次）</w:t>
      </w:r>
      <w:r>
        <w:rPr>
          <w:rFonts w:hint="eastAsia" w:cs="宋体"/>
          <w:i w:val="0"/>
          <w:iCs w:val="0"/>
          <w:color w:val="auto"/>
          <w:sz w:val="24"/>
          <w:szCs w:val="24"/>
          <w:highlight w:val="none"/>
          <w:lang w:val="hr-HR" w:eastAsia="zh-CN"/>
        </w:rPr>
        <w:tab/>
      </w:r>
    </w:p>
    <w:p w14:paraId="26159DE3">
      <w:pPr>
        <w:widowControl/>
        <w:spacing w:line="360" w:lineRule="auto"/>
        <w:ind w:left="0" w:leftChars="0"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 xml:space="preserve">数量：1     </w:t>
      </w:r>
    </w:p>
    <w:p w14:paraId="07BDF9A3">
      <w:pPr>
        <w:widowControl/>
        <w:spacing w:line="360" w:lineRule="auto"/>
        <w:ind w:left="0" w:leftChars="0" w:firstLine="480" w:firstLineChars="200"/>
        <w:jc w:val="left"/>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预算金额（元）：</w:t>
      </w:r>
      <w:r>
        <w:rPr>
          <w:rFonts w:hint="eastAsia" w:cs="宋体"/>
          <w:color w:val="auto"/>
          <w:kern w:val="0"/>
          <w:sz w:val="24"/>
          <w:szCs w:val="24"/>
          <w:highlight w:val="none"/>
          <w:lang w:val="en-US" w:eastAsia="zh-CN"/>
        </w:rPr>
        <w:t>1600000.00</w:t>
      </w:r>
    </w:p>
    <w:p w14:paraId="269C7168">
      <w:pPr>
        <w:widowControl/>
        <w:spacing w:line="360" w:lineRule="auto"/>
        <w:ind w:left="0" w:leftChars="0"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 xml:space="preserve">单位：个 </w:t>
      </w:r>
    </w:p>
    <w:p w14:paraId="3409534E">
      <w:pPr>
        <w:widowControl/>
        <w:spacing w:line="360" w:lineRule="auto"/>
        <w:ind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简要规格描述：</w:t>
      </w:r>
      <w:r>
        <w:rPr>
          <w:rFonts w:hint="eastAsia" w:cs="宋体"/>
          <w:i w:val="0"/>
          <w:iCs w:val="0"/>
          <w:color w:val="auto"/>
          <w:sz w:val="24"/>
          <w:szCs w:val="24"/>
          <w:highlight w:val="none"/>
          <w:lang w:val="hr-HR" w:eastAsia="zh-CN"/>
        </w:rPr>
        <w:t>墨玉县辖16个乡镇、3个街道，360个行政村、36个社区；约443个基层公共就业服务网点（一级1个+二级10个+三级17个+四级415个），覆盖全部乡镇、街道、村及社区，实现就业服务网点正常试运营。</w:t>
      </w:r>
      <w:bookmarkStart w:id="16" w:name="_Toc28359013"/>
      <w:bookmarkStart w:id="17" w:name="_Toc44583629"/>
      <w:bookmarkStart w:id="18" w:name="_Toc109899830"/>
      <w:bookmarkStart w:id="19" w:name="_Toc140132746"/>
      <w:bookmarkStart w:id="20" w:name="_Toc163492813"/>
      <w:bookmarkStart w:id="21" w:name="_Toc35393799"/>
      <w:bookmarkStart w:id="22" w:name="_Toc35393630"/>
      <w:bookmarkStart w:id="23" w:name="_Toc19653"/>
      <w:bookmarkStart w:id="24" w:name="_Toc109899411"/>
      <w:bookmarkStart w:id="25" w:name="_Toc109900249"/>
      <w:bookmarkStart w:id="26" w:name="_Toc155185861"/>
      <w:bookmarkStart w:id="27" w:name="_Toc28359090"/>
    </w:p>
    <w:p w14:paraId="3DEE7B3F">
      <w:pPr>
        <w:ind w:firstLine="480" w:firstLineChars="200"/>
        <w:rPr>
          <w:rFonts w:hint="eastAsia" w:ascii="宋体" w:hAnsi="宋体" w:eastAsia="宋体" w:cs="宋体"/>
          <w:b w:val="0"/>
          <w:bCs w:val="0"/>
          <w:i w:val="0"/>
          <w:iCs w:val="0"/>
          <w:color w:val="auto"/>
          <w:sz w:val="24"/>
          <w:szCs w:val="24"/>
          <w:highlight w:val="none"/>
          <w:lang w:val="hr-HR"/>
        </w:rPr>
      </w:pPr>
      <w:r>
        <w:rPr>
          <w:rFonts w:hint="eastAsia" w:ascii="宋体" w:hAnsi="宋体" w:eastAsia="宋体" w:cs="宋体"/>
          <w:b w:val="0"/>
          <w:bCs w:val="0"/>
          <w:i w:val="0"/>
          <w:iCs w:val="0"/>
          <w:color w:val="auto"/>
          <w:sz w:val="24"/>
          <w:szCs w:val="24"/>
          <w:highlight w:val="none"/>
          <w:lang w:val="hr-HR"/>
        </w:rPr>
        <w:t>合同履约期限：自合同签订之日起至2026年12月20日。服务期内，中标人须按采购需求完成人员培训、首轮摸排、帮带运营、常态化服务活动及数据报送等全部服务工作，确保各网点具备独立运营能力并通过最终验收（具体时间以签订合同为准）</w:t>
      </w:r>
    </w:p>
    <w:p w14:paraId="7F950F86">
      <w:pPr>
        <w:widowControl/>
        <w:spacing w:line="460" w:lineRule="exact"/>
        <w:ind w:firstLine="480" w:firstLineChars="200"/>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本项目</w:t>
      </w:r>
      <w:r>
        <w:rPr>
          <w:rFonts w:hint="eastAsia" w:ascii="宋体" w:hAnsi="宋体" w:cs="宋体"/>
          <w:color w:val="000000" w:themeColor="text1"/>
          <w:kern w:val="0"/>
          <w:sz w:val="24"/>
          <w:highlight w:val="none"/>
          <w:lang w:eastAsia="zh-CN"/>
          <w14:textFill>
            <w14:solidFill>
              <w14:schemeClr w14:val="tx1"/>
            </w14:solidFill>
          </w14:textFill>
        </w:rPr>
        <w:t>（</w:t>
      </w:r>
      <w:r>
        <w:rPr>
          <w:rFonts w:hint="eastAsia" w:ascii="宋体" w:hAnsi="宋体" w:cs="宋体"/>
          <w:color w:val="000000" w:themeColor="text1"/>
          <w:kern w:val="0"/>
          <w:sz w:val="24"/>
          <w:highlight w:val="none"/>
          <w:lang w:val="en-US" w:eastAsia="zh-CN"/>
          <w14:textFill>
            <w14:solidFill>
              <w14:schemeClr w14:val="tx1"/>
            </w14:solidFill>
          </w14:textFill>
        </w:rPr>
        <w:t>否</w:t>
      </w:r>
      <w:r>
        <w:rPr>
          <w:rFonts w:hint="eastAsia" w:ascii="宋体" w:hAnsi="宋体" w:cs="宋体"/>
          <w:color w:val="000000" w:themeColor="text1"/>
          <w:kern w:val="0"/>
          <w:sz w:val="24"/>
          <w:highlight w:val="none"/>
          <w:lang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接受联合体投标</w:t>
      </w:r>
    </w:p>
    <w:p w14:paraId="1173BDBD">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hr-HR" w:eastAsia="zh-CN" w:bidi="ar-SA"/>
        </w:rPr>
      </w:pPr>
      <w:r>
        <w:rPr>
          <w:rFonts w:hint="eastAsia" w:ascii="宋体" w:hAnsi="宋体" w:eastAsia="宋体" w:cs="宋体"/>
          <w:b/>
          <w:bCs/>
          <w:i w:val="0"/>
          <w:iCs w:val="0"/>
          <w:color w:val="auto"/>
          <w:kern w:val="2"/>
          <w:sz w:val="24"/>
          <w:szCs w:val="24"/>
          <w:highlight w:val="none"/>
          <w:lang w:val="en-US" w:eastAsia="zh-CN" w:bidi="ar-SA"/>
        </w:rPr>
        <w:t>二、申请人的</w:t>
      </w:r>
      <w:r>
        <w:rPr>
          <w:rFonts w:hint="eastAsia" w:ascii="宋体" w:hAnsi="宋体" w:eastAsia="宋体" w:cs="宋体"/>
          <w:b/>
          <w:bCs/>
          <w:i w:val="0"/>
          <w:iCs w:val="0"/>
          <w:color w:val="auto"/>
          <w:kern w:val="2"/>
          <w:sz w:val="24"/>
          <w:szCs w:val="24"/>
          <w:highlight w:val="none"/>
          <w:lang w:val="hr-HR" w:eastAsia="zh-CN" w:bidi="ar-SA"/>
        </w:rPr>
        <w:t>资格要求</w:t>
      </w:r>
      <w:bookmarkEnd w:id="16"/>
      <w:bookmarkEnd w:id="17"/>
      <w:bookmarkEnd w:id="18"/>
      <w:bookmarkEnd w:id="19"/>
      <w:bookmarkEnd w:id="20"/>
      <w:bookmarkEnd w:id="21"/>
      <w:bookmarkEnd w:id="22"/>
      <w:bookmarkEnd w:id="23"/>
      <w:bookmarkEnd w:id="24"/>
      <w:bookmarkEnd w:id="25"/>
      <w:bookmarkEnd w:id="26"/>
      <w:bookmarkEnd w:id="27"/>
    </w:p>
    <w:p w14:paraId="27BA4A43">
      <w:pPr>
        <w:ind w:firstLine="480" w:firstLineChars="200"/>
        <w:rPr>
          <w:rFonts w:hint="eastAsia" w:ascii="宋体" w:hAnsi="宋体" w:eastAsia="宋体" w:cs="宋体"/>
          <w:i w:val="0"/>
          <w:iCs w:val="0"/>
          <w:strike/>
          <w:color w:val="auto"/>
          <w:sz w:val="24"/>
          <w:szCs w:val="24"/>
          <w:highlight w:val="none"/>
          <w:lang w:val="en-US" w:eastAsia="zh-CN"/>
        </w:rPr>
      </w:pPr>
      <w:bookmarkStart w:id="28" w:name="_Toc28359091"/>
      <w:bookmarkStart w:id="29" w:name="_Toc35393800"/>
      <w:bookmarkStart w:id="30" w:name="_Toc28359014"/>
      <w:bookmarkStart w:id="31" w:name="_Toc44583630"/>
      <w:bookmarkStart w:id="32" w:name="_Toc35393631"/>
      <w:r>
        <w:rPr>
          <w:rFonts w:hint="eastAsia" w:ascii="宋体" w:hAnsi="宋体" w:eastAsia="宋体" w:cs="宋体"/>
          <w:i w:val="0"/>
          <w:iCs w:val="0"/>
          <w:color w:val="auto"/>
          <w:sz w:val="24"/>
          <w:szCs w:val="24"/>
          <w:highlight w:val="none"/>
          <w:lang w:val="en-US" w:eastAsia="zh-CN"/>
        </w:rPr>
        <w:t>1.满足《中华人民共和国政府采购法》第二十二条规定；</w:t>
      </w:r>
    </w:p>
    <w:p w14:paraId="63B434FD">
      <w:pPr>
        <w:ind w:firstLine="480" w:firstLineChars="200"/>
        <w:rPr>
          <w:rFonts w:hint="eastAsia" w:ascii="宋体" w:hAnsi="宋体" w:eastAsia="宋体" w:cs="宋体"/>
          <w:i w:val="0"/>
          <w:iCs w:val="0"/>
          <w:color w:val="auto"/>
          <w:sz w:val="24"/>
          <w:szCs w:val="24"/>
          <w:highlight w:val="none"/>
          <w:u w:val="none"/>
          <w:lang w:val="en-US" w:eastAsia="zh-CN"/>
        </w:rPr>
      </w:pPr>
      <w:bookmarkStart w:id="33" w:name="_Hlk89807755"/>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.落实政府采购政策需满足的资格要求：标项1：</w:t>
      </w:r>
      <w:r>
        <w:rPr>
          <w:rFonts w:hint="eastAsia" w:cs="宋体"/>
          <w:b/>
          <w:bCs/>
          <w:i w:val="0"/>
          <w:iCs w:val="0"/>
          <w:color w:val="auto"/>
          <w:sz w:val="24"/>
          <w:szCs w:val="24"/>
          <w:highlight w:val="none"/>
          <w:lang w:eastAsia="zh-CN"/>
        </w:rPr>
        <w:t>本项目专门面向</w:t>
      </w:r>
      <w:r>
        <w:rPr>
          <w:rFonts w:hint="eastAsia" w:cs="宋体"/>
          <w:b/>
          <w:bCs/>
          <w:i w:val="0"/>
          <w:iCs w:val="0"/>
          <w:color w:val="auto"/>
          <w:sz w:val="24"/>
          <w:szCs w:val="24"/>
          <w:highlight w:val="none"/>
          <w:lang w:val="en-US" w:eastAsia="zh-CN"/>
        </w:rPr>
        <w:t>中小</w:t>
      </w:r>
      <w:r>
        <w:rPr>
          <w:rFonts w:hint="eastAsia" w:cs="宋体"/>
          <w:b/>
          <w:bCs/>
          <w:i w:val="0"/>
          <w:iCs w:val="0"/>
          <w:color w:val="auto"/>
          <w:sz w:val="24"/>
          <w:szCs w:val="24"/>
          <w:highlight w:val="none"/>
          <w:lang w:eastAsia="zh-CN"/>
        </w:rPr>
        <w:t>企业</w:t>
      </w:r>
      <w:r>
        <w:rPr>
          <w:rFonts w:hint="eastAsia" w:ascii="宋体" w:hAnsi="宋体" w:eastAsia="宋体" w:cs="宋体"/>
          <w:i w:val="0"/>
          <w:iCs w:val="0"/>
          <w:color w:val="auto"/>
          <w:sz w:val="24"/>
          <w:szCs w:val="24"/>
          <w:highlight w:val="none"/>
        </w:rPr>
        <w:t>，供应商须按</w:t>
      </w:r>
      <w:r>
        <w:rPr>
          <w:rFonts w:hint="eastAsia" w:cs="宋体"/>
          <w:i w:val="0"/>
          <w:iCs w:val="0"/>
          <w:color w:val="auto"/>
          <w:sz w:val="24"/>
          <w:szCs w:val="24"/>
          <w:highlight w:val="none"/>
          <w:lang w:val="en-US" w:eastAsia="zh-CN"/>
        </w:rPr>
        <w:t>磋商</w:t>
      </w:r>
      <w:r>
        <w:rPr>
          <w:rFonts w:hint="eastAsia" w:ascii="宋体" w:hAnsi="宋体" w:eastAsia="宋体" w:cs="宋体"/>
          <w:i w:val="0"/>
          <w:iCs w:val="0"/>
          <w:color w:val="auto"/>
          <w:sz w:val="24"/>
          <w:szCs w:val="24"/>
          <w:highlight w:val="none"/>
        </w:rPr>
        <w:t>文件要求提供《中小企业声明函》。</w:t>
      </w:r>
    </w:p>
    <w:p w14:paraId="02C48CA5">
      <w:pPr>
        <w:pStyle w:val="38"/>
        <w:spacing w:line="360" w:lineRule="auto"/>
        <w:rPr>
          <w:rFonts w:hint="default"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3.本项目的特定资格要求：</w:t>
      </w:r>
      <w:r>
        <w:rPr>
          <w:rFonts w:hint="eastAsia" w:cs="宋体"/>
          <w:i w:val="0"/>
          <w:iCs w:val="0"/>
          <w:color w:val="auto"/>
          <w:sz w:val="24"/>
          <w:szCs w:val="24"/>
          <w:highlight w:val="none"/>
          <w:u w:val="none"/>
          <w:lang w:val="en-US" w:eastAsia="zh-CN"/>
        </w:rPr>
        <w:t>供应商须具有国家人力资源和社会保障部颁发的人力资源服务许可证</w:t>
      </w:r>
    </w:p>
    <w:p w14:paraId="394E2188">
      <w:pPr>
        <w:widowControl/>
        <w:spacing w:line="44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4.供应商不得存在下列情形之一：</w:t>
      </w:r>
    </w:p>
    <w:p w14:paraId="56F314BF">
      <w:pPr>
        <w:pStyle w:val="38"/>
        <w:spacing w:line="360" w:lineRule="auto"/>
        <w:rPr>
          <w:rFonts w:hint="eastAsia" w:ascii="宋体" w:hAnsi="宋体" w:eastAsia="宋体" w:cs="宋体"/>
          <w:color w:val="auto"/>
          <w:sz w:val="24"/>
          <w:szCs w:val="24"/>
          <w:highlight w:val="none"/>
          <w:lang w:val="hr-HR"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hr-HR"/>
        </w:rPr>
        <w:t>法定代表人或</w:t>
      </w:r>
      <w:r>
        <w:rPr>
          <w:rFonts w:hint="eastAsia" w:ascii="宋体" w:hAnsi="宋体" w:eastAsia="宋体" w:cs="宋体"/>
          <w:color w:val="auto"/>
          <w:sz w:val="24"/>
          <w:szCs w:val="24"/>
          <w:highlight w:val="none"/>
          <w:lang w:val="en-US" w:eastAsia="zh-CN"/>
        </w:rPr>
        <w:t>单位</w:t>
      </w:r>
      <w:r>
        <w:rPr>
          <w:rFonts w:hint="eastAsia" w:ascii="宋体" w:hAnsi="宋体" w:eastAsia="宋体" w:cs="宋体"/>
          <w:color w:val="auto"/>
          <w:sz w:val="24"/>
          <w:szCs w:val="24"/>
          <w:highlight w:val="none"/>
          <w:lang w:val="hr-HR"/>
        </w:rPr>
        <w:t>负责人为同一人或者存在</w:t>
      </w:r>
      <w:r>
        <w:rPr>
          <w:rFonts w:hint="eastAsia" w:ascii="宋体" w:hAnsi="宋体" w:eastAsia="宋体" w:cs="宋体"/>
          <w:color w:val="auto"/>
          <w:sz w:val="24"/>
          <w:szCs w:val="24"/>
          <w:highlight w:val="none"/>
          <w:lang w:val="en-US" w:eastAsia="zh-CN"/>
        </w:rPr>
        <w:t>直接</w:t>
      </w:r>
      <w:r>
        <w:rPr>
          <w:rFonts w:hint="eastAsia" w:ascii="宋体" w:hAnsi="宋体" w:eastAsia="宋体" w:cs="宋体"/>
          <w:color w:val="auto"/>
          <w:sz w:val="24"/>
          <w:szCs w:val="24"/>
          <w:highlight w:val="none"/>
          <w:lang w:val="hr-HR"/>
        </w:rPr>
        <w:t>控股、管理关系的</w:t>
      </w:r>
      <w:r>
        <w:rPr>
          <w:rFonts w:hint="eastAsia" w:ascii="宋体" w:hAnsi="宋体" w:eastAsia="宋体" w:cs="宋体"/>
          <w:color w:val="auto"/>
          <w:sz w:val="24"/>
          <w:szCs w:val="24"/>
          <w:highlight w:val="none"/>
          <w:lang w:val="en-US" w:eastAsia="zh-CN"/>
        </w:rPr>
        <w:t>不同供应商</w:t>
      </w:r>
      <w:r>
        <w:rPr>
          <w:rFonts w:hint="eastAsia" w:ascii="宋体" w:hAnsi="宋体" w:eastAsia="宋体" w:cs="宋体"/>
          <w:color w:val="auto"/>
          <w:sz w:val="24"/>
          <w:szCs w:val="24"/>
          <w:highlight w:val="none"/>
          <w:lang w:val="hr-HR"/>
        </w:rPr>
        <w:t>，不得参加同一合同项下的政府采购活动。</w:t>
      </w:r>
    </w:p>
    <w:p w14:paraId="49F4AAEE">
      <w:pPr>
        <w:pStyle w:val="38"/>
        <w:spacing w:line="360" w:lineRule="auto"/>
        <w:rPr>
          <w:rFonts w:hint="eastAsia" w:ascii="宋体" w:hAnsi="宋体" w:eastAsia="宋体" w:cs="宋体"/>
          <w:color w:val="auto"/>
          <w:sz w:val="24"/>
          <w:szCs w:val="24"/>
          <w:highlight w:val="none"/>
          <w:lang w:val="hr-HR"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hr-HR"/>
        </w:rPr>
        <w:t>除单一来源采购项目外，为采购项目提供整体设计、规范编制或者项目管理、监理、检测等服务的供应商，不得再参加该采购项目的其他采购活动。</w:t>
      </w:r>
    </w:p>
    <w:p w14:paraId="338E8073">
      <w:pPr>
        <w:spacing w:line="360" w:lineRule="auto"/>
        <w:ind w:firstLine="480" w:firstLineChars="200"/>
        <w:rPr>
          <w:rFonts w:hint="eastAsia" w:ascii="宋体" w:hAnsi="宋体" w:eastAsia="宋体" w:cs="宋体"/>
          <w:i w:val="0"/>
          <w:iCs w:val="0"/>
          <w:color w:val="auto"/>
          <w:sz w:val="24"/>
          <w:szCs w:val="24"/>
          <w:highlight w:val="none"/>
          <w:u w:val="single"/>
          <w:lang w:val="en-US" w:eastAsia="zh-CN"/>
        </w:rPr>
      </w:pPr>
      <w:r>
        <w:rPr>
          <w:rFonts w:hint="eastAsia" w:ascii="宋体" w:hAnsi="宋体" w:eastAsia="宋体" w:cs="宋体"/>
          <w:color w:val="auto"/>
          <w:sz w:val="24"/>
          <w:szCs w:val="24"/>
          <w:highlight w:val="none"/>
          <w:lang w:val="hr-HR"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hr-HR"/>
        </w:rPr>
        <w:t>供应商的信用行为</w:t>
      </w:r>
      <w:r>
        <w:rPr>
          <w:rFonts w:hint="eastAsia" w:ascii="宋体" w:hAnsi="宋体" w:eastAsia="宋体" w:cs="宋体"/>
          <w:color w:val="auto"/>
          <w:sz w:val="24"/>
          <w:szCs w:val="24"/>
          <w:highlight w:val="none"/>
          <w:lang w:val="hr-HR" w:eastAsia="zh-CN"/>
        </w:rPr>
        <w:t>：</w:t>
      </w:r>
      <w:r>
        <w:rPr>
          <w:rFonts w:hint="eastAsia" w:ascii="宋体" w:hAnsi="宋体" w:eastAsia="宋体" w:cs="宋体"/>
          <w:color w:val="auto"/>
          <w:sz w:val="24"/>
          <w:szCs w:val="24"/>
          <w:highlight w:val="none"/>
          <w:lang w:val="hr-HR"/>
        </w:rPr>
        <w:t>在</w:t>
      </w:r>
      <w:r>
        <w:rPr>
          <w:rFonts w:hint="eastAsia" w:ascii="宋体" w:hAnsi="宋体" w:eastAsia="宋体" w:cs="宋体"/>
          <w:color w:val="auto"/>
          <w:sz w:val="24"/>
          <w:szCs w:val="24"/>
          <w:highlight w:val="none"/>
          <w:lang w:val="en-US" w:eastAsia="zh-CN"/>
        </w:rPr>
        <w:t>资格审查阶段经查询，投标人未被列入“信用中国”网站(www.creditchina.gov.cn)“记录失信被执行人或重大税收违法案件当事人名单或政府采购严重违法失信行为”记录名单</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未处于中国政府采购网(www.ccgp.gov.cn)“政府采购严重违法失信行为信息记录”中(以采购代理机构于递交投标文件截止日当天在“信用中国”网站(www.creditchina.gov.cn)及中国政府采购网(www.ccgp.gov.cn)查询结果为准)</w:t>
      </w:r>
      <w:r>
        <w:rPr>
          <w:rFonts w:hint="eastAsia" w:ascii="宋体" w:hAnsi="宋体" w:eastAsia="宋体" w:cs="宋体"/>
          <w:color w:val="auto"/>
          <w:sz w:val="24"/>
          <w:szCs w:val="24"/>
          <w:highlight w:val="none"/>
          <w:lang w:val="hr-HR"/>
        </w:rPr>
        <w:t>。如有以上不良信用记录</w:t>
      </w:r>
      <w:r>
        <w:rPr>
          <w:rFonts w:hint="eastAsia" w:ascii="宋体" w:hAnsi="宋体" w:eastAsia="宋体" w:cs="宋体"/>
          <w:color w:val="auto"/>
          <w:sz w:val="24"/>
          <w:szCs w:val="24"/>
          <w:highlight w:val="none"/>
          <w:lang w:val="en-US" w:eastAsia="zh-CN"/>
        </w:rPr>
        <w:t>之一的，</w:t>
      </w:r>
      <w:r>
        <w:rPr>
          <w:rFonts w:hint="eastAsia" w:ascii="宋体" w:hAnsi="宋体" w:eastAsia="宋体" w:cs="宋体"/>
          <w:color w:val="auto"/>
          <w:sz w:val="24"/>
          <w:szCs w:val="24"/>
          <w:highlight w:val="none"/>
          <w:lang w:val="hr-HR"/>
        </w:rPr>
        <w:t>其</w:t>
      </w:r>
      <w:r>
        <w:rPr>
          <w:rFonts w:hint="eastAsia" w:ascii="宋体" w:hAnsi="宋体" w:eastAsia="宋体" w:cs="宋体"/>
          <w:b/>
          <w:bCs/>
          <w:color w:val="auto"/>
          <w:sz w:val="24"/>
          <w:szCs w:val="24"/>
          <w:highlight w:val="none"/>
          <w:lang w:val="hr-HR"/>
        </w:rPr>
        <w:t>投标</w:t>
      </w:r>
      <w:r>
        <w:rPr>
          <w:rFonts w:hint="eastAsia" w:ascii="宋体" w:hAnsi="宋体" w:eastAsia="宋体" w:cs="宋体"/>
          <w:b/>
          <w:bCs/>
          <w:color w:val="auto"/>
          <w:sz w:val="24"/>
          <w:szCs w:val="24"/>
          <w:highlight w:val="none"/>
          <w:lang w:val="en-US" w:eastAsia="zh-CN"/>
        </w:rPr>
        <w:t>无效</w:t>
      </w:r>
      <w:r>
        <w:rPr>
          <w:rFonts w:hint="eastAsia" w:ascii="宋体" w:hAnsi="宋体" w:eastAsia="宋体" w:cs="宋体"/>
          <w:color w:val="auto"/>
          <w:sz w:val="24"/>
          <w:szCs w:val="24"/>
          <w:highlight w:val="none"/>
          <w:lang w:val="hr-HR"/>
        </w:rPr>
        <w:t>。</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lang w:val="en-US" w:eastAsia="zh-CN"/>
        </w:rPr>
        <w:t xml:space="preserve">          </w:t>
      </w:r>
    </w:p>
    <w:bookmarkEnd w:id="33"/>
    <w:p w14:paraId="55140747">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hr-HR" w:eastAsia="zh-CN" w:bidi="ar-SA"/>
        </w:rPr>
      </w:pPr>
      <w:bookmarkStart w:id="34" w:name="_Toc109899412"/>
      <w:bookmarkStart w:id="35" w:name="_Toc163492814"/>
      <w:bookmarkStart w:id="36" w:name="_Toc155185862"/>
      <w:bookmarkStart w:id="37" w:name="_Toc140132747"/>
      <w:bookmarkStart w:id="38" w:name="_Toc109900250"/>
      <w:bookmarkStart w:id="39" w:name="_Toc109899831"/>
      <w:bookmarkStart w:id="40" w:name="_Toc11100"/>
      <w:r>
        <w:rPr>
          <w:rFonts w:hint="eastAsia" w:ascii="宋体" w:hAnsi="宋体" w:eastAsia="宋体" w:cs="宋体"/>
          <w:b/>
          <w:bCs/>
          <w:i w:val="0"/>
          <w:iCs w:val="0"/>
          <w:color w:val="auto"/>
          <w:kern w:val="2"/>
          <w:sz w:val="24"/>
          <w:szCs w:val="24"/>
          <w:highlight w:val="none"/>
          <w:lang w:val="en-US" w:eastAsia="zh-CN" w:bidi="ar-SA"/>
        </w:rPr>
        <w:t>三、</w:t>
      </w:r>
      <w:r>
        <w:rPr>
          <w:rFonts w:hint="eastAsia" w:ascii="宋体" w:hAnsi="宋体" w:eastAsia="宋体" w:cs="宋体"/>
          <w:b/>
          <w:bCs/>
          <w:i w:val="0"/>
          <w:iCs w:val="0"/>
          <w:color w:val="auto"/>
          <w:kern w:val="2"/>
          <w:sz w:val="24"/>
          <w:szCs w:val="24"/>
          <w:highlight w:val="none"/>
          <w:lang w:val="hr-HR" w:eastAsia="zh-CN" w:bidi="ar-SA"/>
        </w:rPr>
        <w:t>获取</w:t>
      </w:r>
      <w:r>
        <w:rPr>
          <w:rFonts w:hint="eastAsia" w:ascii="宋体" w:hAnsi="宋体" w:eastAsia="宋体" w:cs="宋体"/>
          <w:b/>
          <w:bCs/>
          <w:i w:val="0"/>
          <w:iCs w:val="0"/>
          <w:color w:val="auto"/>
          <w:kern w:val="2"/>
          <w:sz w:val="24"/>
          <w:szCs w:val="24"/>
          <w:highlight w:val="none"/>
          <w:lang w:val="en-US" w:eastAsia="zh-CN" w:bidi="ar-SA"/>
        </w:rPr>
        <w:t>采购</w:t>
      </w:r>
      <w:r>
        <w:rPr>
          <w:rFonts w:hint="eastAsia" w:ascii="宋体" w:hAnsi="宋体" w:eastAsia="宋体" w:cs="宋体"/>
          <w:b/>
          <w:bCs/>
          <w:i w:val="0"/>
          <w:iCs w:val="0"/>
          <w:color w:val="auto"/>
          <w:kern w:val="2"/>
          <w:sz w:val="24"/>
          <w:szCs w:val="24"/>
          <w:highlight w:val="none"/>
          <w:lang w:val="hr-HR" w:eastAsia="zh-CN" w:bidi="ar-SA"/>
        </w:rPr>
        <w:t>文件</w:t>
      </w:r>
      <w:bookmarkEnd w:id="28"/>
      <w:bookmarkEnd w:id="29"/>
      <w:bookmarkEnd w:id="30"/>
      <w:bookmarkEnd w:id="31"/>
      <w:bookmarkEnd w:id="32"/>
      <w:bookmarkEnd w:id="34"/>
      <w:bookmarkEnd w:id="35"/>
      <w:bookmarkEnd w:id="36"/>
      <w:bookmarkEnd w:id="37"/>
      <w:bookmarkEnd w:id="38"/>
      <w:bookmarkEnd w:id="39"/>
      <w:bookmarkEnd w:id="40"/>
      <w:r>
        <w:rPr>
          <w:rFonts w:hint="eastAsia" w:ascii="宋体" w:hAnsi="宋体" w:eastAsia="宋体" w:cs="宋体"/>
          <w:b/>
          <w:bCs/>
          <w:i w:val="0"/>
          <w:iCs w:val="0"/>
          <w:color w:val="auto"/>
          <w:kern w:val="2"/>
          <w:sz w:val="24"/>
          <w:szCs w:val="24"/>
          <w:highlight w:val="none"/>
          <w:lang w:val="hr-HR" w:eastAsia="zh-CN" w:bidi="ar-SA"/>
        </w:rPr>
        <w:t xml:space="preserve"> </w:t>
      </w:r>
    </w:p>
    <w:p w14:paraId="2F75FC23">
      <w:pPr>
        <w:spacing w:line="360" w:lineRule="auto"/>
        <w:ind w:left="0" w:leftChars="0" w:firstLine="480" w:firstLineChars="0"/>
        <w:rPr>
          <w:rFonts w:hint="eastAsia" w:ascii="宋体" w:hAnsi="宋体" w:eastAsia="宋体" w:cs="宋体"/>
          <w:i w:val="0"/>
          <w:iCs w:val="0"/>
          <w:color w:val="auto"/>
          <w:sz w:val="24"/>
          <w:szCs w:val="24"/>
          <w:highlight w:val="none"/>
          <w:lang w:val="hr-HR" w:eastAsia="zh-CN"/>
        </w:rPr>
      </w:pPr>
      <w:bookmarkStart w:id="41" w:name="_Hlk130457234"/>
      <w:bookmarkStart w:id="42" w:name="_Toc35393632"/>
      <w:bookmarkStart w:id="43" w:name="_Toc35393801"/>
      <w:bookmarkStart w:id="44" w:name="_Toc28359092"/>
      <w:bookmarkStart w:id="45" w:name="_Hlk130457261"/>
      <w:bookmarkStart w:id="46" w:name="_Toc28359015"/>
      <w:bookmarkStart w:id="47" w:name="_Hlk130457327"/>
      <w:r>
        <w:rPr>
          <w:rFonts w:hint="eastAsia" w:ascii="宋体" w:hAnsi="宋体" w:eastAsia="宋体" w:cs="宋体"/>
          <w:i w:val="0"/>
          <w:iCs w:val="0"/>
          <w:color w:val="auto"/>
          <w:sz w:val="24"/>
          <w:szCs w:val="24"/>
          <w:highlight w:val="none"/>
          <w:lang w:val="hr-HR"/>
        </w:rPr>
        <w:t>1.时间：</w:t>
      </w:r>
      <w:r>
        <w:rPr>
          <w:rFonts w:hint="eastAsia" w:cs="宋体"/>
          <w:i w:val="0"/>
          <w:iCs w:val="0"/>
          <w:color w:val="auto"/>
          <w:sz w:val="24"/>
          <w:szCs w:val="24"/>
          <w:highlight w:val="none"/>
          <w:u w:val="single"/>
          <w:lang w:val="en-US" w:eastAsia="zh-CN"/>
        </w:rPr>
        <w:t>2026</w:t>
      </w:r>
      <w:r>
        <w:rPr>
          <w:rFonts w:hint="eastAsia" w:ascii="宋体" w:hAnsi="宋体" w:eastAsia="宋体" w:cs="宋体"/>
          <w:i w:val="0"/>
          <w:iCs w:val="0"/>
          <w:color w:val="auto"/>
          <w:sz w:val="24"/>
          <w:szCs w:val="24"/>
          <w:highlight w:val="none"/>
          <w:u w:val="single"/>
        </w:rPr>
        <w:t>年</w:t>
      </w:r>
      <w:r>
        <w:rPr>
          <w:rFonts w:hint="eastAsia" w:cs="宋体"/>
          <w:i w:val="0"/>
          <w:iCs w:val="0"/>
          <w:color w:val="auto"/>
          <w:sz w:val="24"/>
          <w:szCs w:val="24"/>
          <w:highlight w:val="none"/>
          <w:u w:val="single"/>
          <w:lang w:val="en-US" w:eastAsia="zh-CN"/>
        </w:rPr>
        <w:t>11</w:t>
      </w:r>
      <w:r>
        <w:rPr>
          <w:rFonts w:hint="eastAsia" w:ascii="宋体" w:hAnsi="宋体" w:eastAsia="宋体" w:cs="宋体"/>
          <w:i w:val="0"/>
          <w:iCs w:val="0"/>
          <w:color w:val="auto"/>
          <w:sz w:val="24"/>
          <w:szCs w:val="24"/>
          <w:highlight w:val="none"/>
          <w:u w:val="single"/>
        </w:rPr>
        <w:t>月</w:t>
      </w:r>
      <w:r>
        <w:rPr>
          <w:rFonts w:hint="eastAsia" w:cs="宋体"/>
          <w:i w:val="0"/>
          <w:iCs w:val="0"/>
          <w:color w:val="auto"/>
          <w:sz w:val="24"/>
          <w:szCs w:val="24"/>
          <w:highlight w:val="none"/>
          <w:u w:val="single"/>
          <w:lang w:val="en-US" w:eastAsia="zh-CN"/>
        </w:rPr>
        <w:t>03</w:t>
      </w:r>
      <w:r>
        <w:rPr>
          <w:rFonts w:hint="eastAsia" w:ascii="宋体" w:hAnsi="宋体" w:eastAsia="宋体" w:cs="宋体"/>
          <w:i w:val="0"/>
          <w:iCs w:val="0"/>
          <w:color w:val="auto"/>
          <w:sz w:val="24"/>
          <w:szCs w:val="24"/>
          <w:highlight w:val="none"/>
          <w:u w:val="single"/>
        </w:rPr>
        <w:t>日</w:t>
      </w:r>
      <w:r>
        <w:rPr>
          <w:rFonts w:hint="eastAsia" w:ascii="宋体" w:hAnsi="宋体" w:eastAsia="宋体" w:cs="宋体"/>
          <w:i w:val="0"/>
          <w:iCs w:val="0"/>
          <w:color w:val="auto"/>
          <w:sz w:val="24"/>
          <w:szCs w:val="24"/>
          <w:highlight w:val="none"/>
          <w:u w:val="none"/>
        </w:rPr>
        <w:t>至</w:t>
      </w:r>
      <w:r>
        <w:rPr>
          <w:rFonts w:hint="eastAsia" w:cs="宋体"/>
          <w:i w:val="0"/>
          <w:iCs w:val="0"/>
          <w:color w:val="auto"/>
          <w:sz w:val="24"/>
          <w:szCs w:val="24"/>
          <w:highlight w:val="none"/>
          <w:u w:val="single"/>
          <w:lang w:val="en-US" w:eastAsia="zh-CN"/>
        </w:rPr>
        <w:t>2026</w:t>
      </w:r>
      <w:r>
        <w:rPr>
          <w:rFonts w:hint="eastAsia" w:ascii="宋体" w:hAnsi="宋体" w:eastAsia="宋体" w:cs="宋体"/>
          <w:i w:val="0"/>
          <w:iCs w:val="0"/>
          <w:color w:val="auto"/>
          <w:sz w:val="24"/>
          <w:szCs w:val="24"/>
          <w:highlight w:val="none"/>
          <w:u w:val="single"/>
        </w:rPr>
        <w:t>年</w:t>
      </w:r>
      <w:r>
        <w:rPr>
          <w:rFonts w:hint="eastAsia" w:cs="宋体"/>
          <w:i w:val="0"/>
          <w:iCs w:val="0"/>
          <w:color w:val="auto"/>
          <w:sz w:val="24"/>
          <w:szCs w:val="24"/>
          <w:highlight w:val="none"/>
          <w:u w:val="single"/>
          <w:lang w:val="en-US" w:eastAsia="zh-CN"/>
        </w:rPr>
        <w:t>11</w:t>
      </w:r>
      <w:r>
        <w:rPr>
          <w:rFonts w:hint="eastAsia" w:ascii="宋体" w:hAnsi="宋体" w:eastAsia="宋体" w:cs="宋体"/>
          <w:i w:val="0"/>
          <w:iCs w:val="0"/>
          <w:color w:val="auto"/>
          <w:sz w:val="24"/>
          <w:szCs w:val="24"/>
          <w:highlight w:val="none"/>
          <w:u w:val="single"/>
        </w:rPr>
        <w:t>月</w:t>
      </w:r>
      <w:r>
        <w:rPr>
          <w:rFonts w:hint="eastAsia" w:cs="宋体"/>
          <w:i w:val="0"/>
          <w:iCs w:val="0"/>
          <w:color w:val="auto"/>
          <w:sz w:val="24"/>
          <w:szCs w:val="24"/>
          <w:highlight w:val="none"/>
          <w:u w:val="single"/>
          <w:lang w:val="en-US" w:eastAsia="zh-CN"/>
        </w:rPr>
        <w:t>12</w:t>
      </w:r>
      <w:r>
        <w:rPr>
          <w:rFonts w:hint="eastAsia" w:ascii="宋体" w:hAnsi="宋体" w:eastAsia="宋体" w:cs="宋体"/>
          <w:i w:val="0"/>
          <w:iCs w:val="0"/>
          <w:color w:val="auto"/>
          <w:sz w:val="24"/>
          <w:szCs w:val="24"/>
          <w:highlight w:val="none"/>
          <w:u w:val="single"/>
        </w:rPr>
        <w:t>日</w:t>
      </w:r>
      <w:r>
        <w:rPr>
          <w:rFonts w:hint="eastAsia" w:ascii="宋体" w:hAnsi="宋体" w:eastAsia="宋体" w:cs="宋体"/>
          <w:i w:val="0"/>
          <w:iCs w:val="0"/>
          <w:color w:val="auto"/>
          <w:sz w:val="24"/>
          <w:szCs w:val="24"/>
          <w:highlight w:val="none"/>
          <w:u w:val="none"/>
        </w:rPr>
        <w:t>，每天上午</w:t>
      </w:r>
      <w:r>
        <w:rPr>
          <w:rFonts w:hint="eastAsia" w:ascii="宋体" w:hAnsi="宋体" w:eastAsia="宋体" w:cs="宋体"/>
          <w:color w:val="auto"/>
          <w:sz w:val="24"/>
          <w:szCs w:val="24"/>
          <w:highlight w:val="none"/>
          <w:u w:val="single"/>
          <w:lang w:val="hr-HR"/>
        </w:rPr>
        <w:t>00:00</w:t>
      </w:r>
      <w:r>
        <w:rPr>
          <w:rFonts w:hint="eastAsia" w:ascii="宋体" w:hAnsi="宋体" w:eastAsia="宋体" w:cs="宋体"/>
          <w:color w:val="auto"/>
          <w:sz w:val="24"/>
          <w:szCs w:val="24"/>
          <w:highlight w:val="none"/>
          <w:lang w:val="hr-HR"/>
        </w:rPr>
        <w:t>至</w:t>
      </w:r>
      <w:r>
        <w:rPr>
          <w:rFonts w:hint="eastAsia" w:ascii="宋体" w:hAnsi="宋体" w:eastAsia="宋体" w:cs="宋体"/>
          <w:color w:val="auto"/>
          <w:sz w:val="24"/>
          <w:szCs w:val="24"/>
          <w:highlight w:val="none"/>
          <w:u w:val="single"/>
          <w:lang w:val="hr-HR"/>
        </w:rPr>
        <w:t>1</w:t>
      </w:r>
      <w:r>
        <w:rPr>
          <w:rFonts w:hint="eastAsia" w:ascii="宋体" w:hAnsi="宋体" w:eastAsia="宋体" w:cs="宋体"/>
          <w:color w:val="auto"/>
          <w:sz w:val="24"/>
          <w:szCs w:val="24"/>
          <w:highlight w:val="none"/>
          <w:u w:val="single"/>
          <w:lang w:val="en-US"/>
        </w:rPr>
        <w:t>4</w:t>
      </w:r>
      <w:r>
        <w:rPr>
          <w:rFonts w:hint="eastAsia" w:ascii="宋体" w:hAnsi="宋体" w:eastAsia="宋体" w:cs="宋体"/>
          <w:color w:val="auto"/>
          <w:sz w:val="24"/>
          <w:szCs w:val="24"/>
          <w:highlight w:val="none"/>
          <w:u w:val="single"/>
          <w:lang w:val="hr-HR"/>
        </w:rPr>
        <w:t>:00</w:t>
      </w:r>
      <w:r>
        <w:rPr>
          <w:rFonts w:hint="eastAsia" w:ascii="宋体" w:hAnsi="宋体" w:eastAsia="宋体" w:cs="宋体"/>
          <w:i w:val="0"/>
          <w:iCs w:val="0"/>
          <w:color w:val="auto"/>
          <w:sz w:val="24"/>
          <w:szCs w:val="24"/>
          <w:highlight w:val="none"/>
          <w:u w:val="none"/>
        </w:rPr>
        <w:t>，下午</w:t>
      </w:r>
      <w:r>
        <w:rPr>
          <w:rFonts w:hint="eastAsia" w:ascii="宋体" w:hAnsi="宋体" w:eastAsia="宋体" w:cs="宋体"/>
          <w:i w:val="0"/>
          <w:iCs w:val="0"/>
          <w:color w:val="auto"/>
          <w:sz w:val="24"/>
          <w:szCs w:val="24"/>
          <w:highlight w:val="none"/>
          <w:u w:val="single"/>
        </w:rPr>
        <w:t>14:00</w:t>
      </w:r>
      <w:r>
        <w:rPr>
          <w:rFonts w:hint="eastAsia" w:ascii="宋体" w:hAnsi="宋体" w:eastAsia="宋体" w:cs="宋体"/>
          <w:i w:val="0"/>
          <w:iCs w:val="0"/>
          <w:color w:val="auto"/>
          <w:sz w:val="24"/>
          <w:szCs w:val="24"/>
          <w:highlight w:val="none"/>
          <w:u w:val="none"/>
        </w:rPr>
        <w:t>至</w:t>
      </w:r>
      <w:r>
        <w:rPr>
          <w:rFonts w:hint="eastAsia" w:ascii="宋体" w:hAnsi="宋体" w:eastAsia="宋体" w:cs="宋体"/>
          <w:i w:val="0"/>
          <w:iCs w:val="0"/>
          <w:color w:val="auto"/>
          <w:sz w:val="24"/>
          <w:szCs w:val="24"/>
          <w:highlight w:val="none"/>
          <w:u w:val="single"/>
        </w:rPr>
        <w:t>23:59</w:t>
      </w:r>
      <w:r>
        <w:rPr>
          <w:rFonts w:hint="eastAsia" w:ascii="宋体" w:hAnsi="宋体" w:eastAsia="宋体" w:cs="宋体"/>
          <w:i w:val="0"/>
          <w:iCs w:val="0"/>
          <w:color w:val="auto"/>
          <w:sz w:val="24"/>
          <w:szCs w:val="24"/>
          <w:highlight w:val="none"/>
          <w:u w:val="none"/>
        </w:rPr>
        <w:t>（北京时间）</w:t>
      </w:r>
      <w:r>
        <w:rPr>
          <w:rFonts w:hint="eastAsia" w:ascii="宋体" w:hAnsi="宋体" w:eastAsia="宋体" w:cs="宋体"/>
          <w:i w:val="0"/>
          <w:iCs w:val="0"/>
          <w:color w:val="auto"/>
          <w:sz w:val="24"/>
          <w:szCs w:val="24"/>
          <w:highlight w:val="none"/>
          <w:lang w:eastAsia="zh-CN"/>
        </w:rPr>
        <w:t>。</w:t>
      </w:r>
    </w:p>
    <w:bookmarkEnd w:id="41"/>
    <w:p w14:paraId="6EED961F">
      <w:pPr>
        <w:pStyle w:val="38"/>
        <w:rPr>
          <w:rFonts w:hint="eastAsia" w:ascii="宋体" w:hAnsi="宋体" w:eastAsia="宋体" w:cs="宋体"/>
          <w:i w:val="0"/>
          <w:iCs w:val="0"/>
          <w:color w:val="auto"/>
          <w:sz w:val="24"/>
          <w:szCs w:val="24"/>
          <w:highlight w:val="none"/>
          <w:lang w:val="hr-HR"/>
        </w:rPr>
      </w:pPr>
      <w:r>
        <w:rPr>
          <w:rFonts w:hint="eastAsia" w:ascii="宋体" w:hAnsi="宋体" w:eastAsia="宋体" w:cs="宋体"/>
          <w:i w:val="0"/>
          <w:iCs w:val="0"/>
          <w:color w:val="auto"/>
          <w:sz w:val="24"/>
          <w:szCs w:val="24"/>
          <w:highlight w:val="none"/>
          <w:lang w:val="hr-HR"/>
        </w:rPr>
        <w:t>2.</w:t>
      </w:r>
      <w:r>
        <w:rPr>
          <w:rFonts w:hint="eastAsia" w:ascii="宋体" w:hAnsi="宋体" w:eastAsia="宋体" w:cs="宋体"/>
          <w:i w:val="0"/>
          <w:iCs w:val="0"/>
          <w:color w:val="auto"/>
          <w:sz w:val="24"/>
          <w:szCs w:val="24"/>
          <w:highlight w:val="none"/>
        </w:rPr>
        <w:t>地点</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eastAsia="zh-CN"/>
        </w:rPr>
        <w:t>政采云平台线上</w:t>
      </w:r>
    </w:p>
    <w:p w14:paraId="43E0FED8">
      <w:pPr>
        <w:pStyle w:val="38"/>
        <w:rPr>
          <w:rFonts w:hint="eastAsia" w:ascii="宋体" w:hAnsi="宋体" w:eastAsia="宋体" w:cs="宋体"/>
          <w:i w:val="0"/>
          <w:iCs w:val="0"/>
          <w:color w:val="auto"/>
          <w:sz w:val="24"/>
          <w:szCs w:val="24"/>
          <w:highlight w:val="none"/>
          <w:lang w:val="hr-HR"/>
        </w:rPr>
      </w:pPr>
      <w:r>
        <w:rPr>
          <w:rFonts w:hint="eastAsia" w:ascii="宋体" w:hAnsi="宋体" w:eastAsia="宋体" w:cs="宋体"/>
          <w:i w:val="0"/>
          <w:iCs w:val="0"/>
          <w:color w:val="auto"/>
          <w:sz w:val="24"/>
          <w:szCs w:val="24"/>
          <w:highlight w:val="none"/>
          <w:lang w:val="hr-HR"/>
        </w:rPr>
        <w:t>3.</w:t>
      </w:r>
      <w:r>
        <w:rPr>
          <w:rFonts w:hint="eastAsia" w:ascii="宋体" w:hAnsi="宋体" w:eastAsia="宋体" w:cs="宋体"/>
          <w:i w:val="0"/>
          <w:iCs w:val="0"/>
          <w:color w:val="auto"/>
          <w:sz w:val="24"/>
          <w:szCs w:val="24"/>
          <w:highlight w:val="none"/>
        </w:rPr>
        <w:t>方式</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rPr>
        <w:t>供应商登录政采云平台</w:t>
      </w:r>
      <w:r>
        <w:rPr>
          <w:rFonts w:hint="eastAsia" w:ascii="宋体" w:hAnsi="宋体" w:eastAsia="宋体" w:cs="宋体"/>
          <w:i w:val="0"/>
          <w:iCs w:val="0"/>
          <w:color w:val="auto"/>
          <w:sz w:val="24"/>
          <w:szCs w:val="24"/>
          <w:highlight w:val="none"/>
          <w:lang w:val="hr-HR"/>
        </w:rPr>
        <w:t>https://www.zcygov.cn/</w:t>
      </w:r>
      <w:r>
        <w:rPr>
          <w:rFonts w:hint="eastAsia" w:ascii="宋体" w:hAnsi="宋体" w:eastAsia="宋体" w:cs="宋体"/>
          <w:i w:val="0"/>
          <w:iCs w:val="0"/>
          <w:color w:val="auto"/>
          <w:sz w:val="24"/>
          <w:szCs w:val="24"/>
          <w:highlight w:val="none"/>
          <w:lang w:val="en-US"/>
        </w:rPr>
        <w:t>在线申请</w:t>
      </w:r>
      <w:r>
        <w:rPr>
          <w:rFonts w:hint="eastAsia" w:ascii="宋体" w:hAnsi="宋体" w:eastAsia="宋体" w:cs="宋体"/>
          <w:i w:val="0"/>
          <w:iCs w:val="0"/>
          <w:color w:val="auto"/>
          <w:sz w:val="24"/>
          <w:szCs w:val="24"/>
          <w:highlight w:val="none"/>
          <w:lang w:val="en-US" w:eastAsia="zh-CN"/>
        </w:rPr>
        <w:t>，免费</w:t>
      </w:r>
      <w:r>
        <w:rPr>
          <w:rFonts w:hint="eastAsia" w:ascii="宋体" w:hAnsi="宋体" w:eastAsia="宋体" w:cs="宋体"/>
          <w:i w:val="0"/>
          <w:iCs w:val="0"/>
          <w:color w:val="auto"/>
          <w:sz w:val="24"/>
          <w:szCs w:val="24"/>
          <w:highlight w:val="none"/>
          <w:lang w:val="en-US"/>
        </w:rPr>
        <w:t>获取</w:t>
      </w:r>
      <w:r>
        <w:rPr>
          <w:rFonts w:hint="eastAsia" w:ascii="宋体" w:hAnsi="宋体" w:eastAsia="宋体" w:cs="宋体"/>
          <w:i w:val="0"/>
          <w:iCs w:val="0"/>
          <w:color w:val="auto"/>
          <w:sz w:val="24"/>
          <w:szCs w:val="24"/>
          <w:highlight w:val="none"/>
          <w:lang w:val="en-US" w:eastAsia="zh-CN"/>
        </w:rPr>
        <w:t>电子</w:t>
      </w:r>
      <w:r>
        <w:rPr>
          <w:rFonts w:hint="eastAsia" w:ascii="宋体" w:hAnsi="宋体" w:eastAsia="宋体" w:cs="宋体"/>
          <w:i w:val="0"/>
          <w:iCs w:val="0"/>
          <w:color w:val="auto"/>
          <w:sz w:val="24"/>
          <w:szCs w:val="24"/>
          <w:highlight w:val="none"/>
          <w:lang w:val="en-US"/>
        </w:rPr>
        <w:t>采购文件</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rPr>
        <w:t>进入</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rPr>
        <w:t>项目采购</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rPr>
        <w:t>应用</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rPr>
        <w:t>在获取采购文件菜单中选择项目</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rPr>
        <w:t>申请获取采购文件</w:t>
      </w:r>
      <w:r>
        <w:rPr>
          <w:rFonts w:hint="eastAsia" w:ascii="宋体" w:hAnsi="宋体" w:eastAsia="宋体" w:cs="宋体"/>
          <w:i w:val="0"/>
          <w:iCs w:val="0"/>
          <w:color w:val="auto"/>
          <w:sz w:val="24"/>
          <w:szCs w:val="24"/>
          <w:highlight w:val="none"/>
          <w:lang w:val="hr-HR"/>
        </w:rPr>
        <w:t>）或者点击采购公告底部潜在供应商“获取采购文件”，页面跳转后登陆，直接获取采购文件。</w:t>
      </w:r>
    </w:p>
    <w:p w14:paraId="0197E030">
      <w:pPr>
        <w:pStyle w:val="38"/>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lang w:val="en-US"/>
        </w:rPr>
        <w:t>售价：</w:t>
      </w:r>
      <w:r>
        <w:rPr>
          <w:rFonts w:hint="eastAsia" w:ascii="宋体" w:hAnsi="宋体" w:eastAsia="宋体" w:cs="宋体"/>
          <w:i w:val="0"/>
          <w:iCs w:val="0"/>
          <w:color w:val="auto"/>
          <w:sz w:val="24"/>
          <w:szCs w:val="24"/>
          <w:highlight w:val="none"/>
          <w:lang w:val="en-US" w:eastAsia="zh-CN"/>
        </w:rPr>
        <w:t>0元。</w:t>
      </w:r>
      <w:bookmarkEnd w:id="42"/>
      <w:bookmarkEnd w:id="43"/>
      <w:bookmarkEnd w:id="44"/>
      <w:bookmarkEnd w:id="45"/>
      <w:bookmarkEnd w:id="46"/>
      <w:bookmarkEnd w:id="47"/>
      <w:bookmarkStart w:id="48" w:name="_Toc155185863"/>
      <w:bookmarkStart w:id="49" w:name="_Toc163492815"/>
      <w:bookmarkStart w:id="50" w:name="_Toc109899832"/>
      <w:bookmarkStart w:id="51" w:name="_Toc109900251"/>
      <w:bookmarkStart w:id="52" w:name="_Toc109899413"/>
      <w:bookmarkStart w:id="53" w:name="_Toc140132748"/>
      <w:bookmarkStart w:id="54" w:name="_Toc646"/>
    </w:p>
    <w:p w14:paraId="2E87BEEE">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hr-HR" w:eastAsia="zh-CN" w:bidi="ar-SA"/>
        </w:rPr>
      </w:pPr>
      <w:r>
        <w:rPr>
          <w:rFonts w:hint="eastAsia" w:ascii="宋体" w:hAnsi="宋体" w:eastAsia="宋体" w:cs="宋体"/>
          <w:b/>
          <w:bCs/>
          <w:i w:val="0"/>
          <w:iCs w:val="0"/>
          <w:color w:val="auto"/>
          <w:kern w:val="2"/>
          <w:sz w:val="24"/>
          <w:szCs w:val="24"/>
          <w:highlight w:val="none"/>
          <w:lang w:val="en-US" w:eastAsia="zh-CN" w:bidi="ar-SA"/>
        </w:rPr>
        <w:t>四、</w:t>
      </w:r>
      <w:bookmarkEnd w:id="48"/>
      <w:bookmarkEnd w:id="49"/>
      <w:bookmarkEnd w:id="50"/>
      <w:bookmarkEnd w:id="51"/>
      <w:bookmarkEnd w:id="52"/>
      <w:bookmarkEnd w:id="53"/>
      <w:r>
        <w:rPr>
          <w:rFonts w:hint="eastAsia" w:ascii="宋体" w:hAnsi="宋体" w:eastAsia="宋体" w:cs="宋体"/>
          <w:b/>
          <w:bCs/>
          <w:i w:val="0"/>
          <w:iCs w:val="0"/>
          <w:color w:val="auto"/>
          <w:kern w:val="2"/>
          <w:sz w:val="24"/>
          <w:szCs w:val="24"/>
          <w:highlight w:val="none"/>
          <w:lang w:val="hr-HR" w:eastAsia="zh-CN" w:bidi="ar-SA"/>
        </w:rPr>
        <w:t>响应文件提交</w:t>
      </w:r>
      <w:bookmarkEnd w:id="54"/>
    </w:p>
    <w:p w14:paraId="2EEE2DD1">
      <w:pPr>
        <w:pStyle w:val="38"/>
        <w:rPr>
          <w:rFonts w:hint="eastAsia" w:ascii="宋体" w:hAnsi="宋体" w:eastAsia="宋体" w:cs="宋体"/>
          <w:i w:val="0"/>
          <w:iCs w:val="0"/>
          <w:color w:val="auto"/>
          <w:sz w:val="24"/>
          <w:szCs w:val="24"/>
          <w:highlight w:val="none"/>
        </w:rPr>
      </w:pPr>
      <w:bookmarkStart w:id="55" w:name="_Hlk130457395"/>
      <w:bookmarkStart w:id="56" w:name="_Toc35393803"/>
      <w:bookmarkStart w:id="57" w:name="_Toc28359094"/>
      <w:bookmarkStart w:id="58" w:name="_Toc35393634"/>
      <w:bookmarkStart w:id="59" w:name="_Toc28359017"/>
      <w:bookmarkStart w:id="60" w:name="_Toc44583633"/>
      <w:r>
        <w:rPr>
          <w:rFonts w:hint="eastAsia" w:ascii="宋体" w:hAnsi="宋体" w:eastAsia="宋体" w:cs="宋体"/>
          <w:i w:val="0"/>
          <w:iCs w:val="0"/>
          <w:color w:val="auto"/>
          <w:sz w:val="24"/>
          <w:szCs w:val="24"/>
          <w:highlight w:val="none"/>
        </w:rPr>
        <w:t>1.截止时间</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2026年11月13日</w:t>
      </w:r>
      <w:r>
        <w:rPr>
          <w:rFonts w:hint="eastAsia" w:cs="宋体"/>
          <w:i w:val="0"/>
          <w:iCs w:val="0"/>
          <w:color w:val="auto"/>
          <w:sz w:val="24"/>
          <w:szCs w:val="24"/>
          <w:highlight w:val="none"/>
          <w:u w:val="single"/>
          <w:lang w:val="en-US" w:eastAsia="zh-CN"/>
        </w:rPr>
        <w:t>11时00分</w:t>
      </w:r>
      <w:r>
        <w:rPr>
          <w:rFonts w:hint="eastAsia" w:ascii="宋体" w:hAnsi="宋体" w:eastAsia="宋体" w:cs="宋体"/>
          <w:i w:val="0"/>
          <w:iCs w:val="0"/>
          <w:color w:val="auto"/>
          <w:sz w:val="24"/>
          <w:szCs w:val="24"/>
          <w:highlight w:val="none"/>
        </w:rPr>
        <w:t>（北京时间）</w:t>
      </w:r>
    </w:p>
    <w:p w14:paraId="22309C21">
      <w:pPr>
        <w:pStyle w:val="38"/>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rPr>
        <w:t>地点</w:t>
      </w:r>
      <w:r>
        <w:rPr>
          <w:rFonts w:hint="eastAsia" w:ascii="宋体" w:hAnsi="宋体" w:eastAsia="宋体" w:cs="宋体"/>
          <w:i w:val="0"/>
          <w:iCs w:val="0"/>
          <w:color w:val="auto"/>
          <w:sz w:val="24"/>
          <w:szCs w:val="24"/>
          <w:highlight w:val="none"/>
        </w:rPr>
        <w:t>：</w:t>
      </w:r>
      <w:r>
        <w:rPr>
          <w:rFonts w:hint="eastAsia" w:ascii="宋体" w:hAnsi="宋体" w:cs="宋体"/>
          <w:bCs/>
          <w:kern w:val="0"/>
          <w:sz w:val="24"/>
          <w:highlight w:val="none"/>
        </w:rPr>
        <w:t>线上递交，通过</w:t>
      </w:r>
      <w:r>
        <w:rPr>
          <w:rFonts w:ascii="宋体" w:hAnsi="宋体" w:cs="宋体"/>
          <w:sz w:val="24"/>
          <w:highlight w:val="none"/>
        </w:rPr>
        <w:t>政采云平台https://www.zcygov.cn/</w:t>
      </w:r>
      <w:r>
        <w:rPr>
          <w:rFonts w:hint="eastAsia" w:ascii="宋体" w:hAnsi="宋体" w:cs="宋体"/>
          <w:bCs/>
          <w:kern w:val="0"/>
          <w:sz w:val="24"/>
          <w:highlight w:val="none"/>
        </w:rPr>
        <w:t>登录后，将</w:t>
      </w:r>
      <w:r>
        <w:rPr>
          <w:rFonts w:hint="eastAsia" w:ascii="宋体" w:hAnsi="宋体" w:cs="宋体"/>
          <w:bCs/>
          <w:kern w:val="0"/>
          <w:sz w:val="24"/>
          <w:highlight w:val="none"/>
          <w:lang w:val="zh-CN"/>
        </w:rPr>
        <w:t>电子</w:t>
      </w:r>
      <w:r>
        <w:rPr>
          <w:rFonts w:hint="eastAsia" w:ascii="宋体" w:hAnsi="宋体" w:cs="宋体"/>
          <w:bCs/>
          <w:kern w:val="0"/>
          <w:sz w:val="24"/>
          <w:highlight w:val="none"/>
        </w:rPr>
        <w:t>投标文件上</w:t>
      </w:r>
      <w:r>
        <w:rPr>
          <w:rFonts w:hint="eastAsia" w:ascii="宋体" w:hAnsi="宋体" w:cs="宋体"/>
          <w:bCs/>
          <w:kern w:val="0"/>
          <w:sz w:val="24"/>
          <w:highlight w:val="none"/>
          <w:lang w:val="zh-CN"/>
        </w:rPr>
        <w:t>传到</w:t>
      </w:r>
      <w:r>
        <w:rPr>
          <w:rFonts w:hint="eastAsia" w:ascii="宋体" w:hAnsi="宋体" w:cs="宋体"/>
          <w:bCs/>
          <w:kern w:val="0"/>
          <w:sz w:val="24"/>
          <w:highlight w:val="none"/>
        </w:rPr>
        <w:t>对应项目的的</w:t>
      </w:r>
      <w:r>
        <w:rPr>
          <w:rFonts w:hint="eastAsia" w:ascii="宋体" w:hAnsi="宋体" w:cs="宋体"/>
          <w:bCs/>
          <w:kern w:val="0"/>
          <w:sz w:val="24"/>
          <w:highlight w:val="none"/>
          <w:lang w:val="zh-CN"/>
        </w:rPr>
        <w:t>指定</w:t>
      </w:r>
      <w:r>
        <w:rPr>
          <w:rFonts w:hint="eastAsia" w:ascii="宋体" w:hAnsi="宋体" w:cs="宋体"/>
          <w:bCs/>
          <w:kern w:val="0"/>
          <w:sz w:val="24"/>
          <w:highlight w:val="none"/>
        </w:rPr>
        <w:t>位置</w:t>
      </w:r>
      <w:r>
        <w:rPr>
          <w:rFonts w:hint="eastAsia" w:ascii="宋体" w:hAnsi="宋体" w:eastAsia="宋体" w:cs="宋体"/>
          <w:i w:val="0"/>
          <w:iCs w:val="0"/>
          <w:color w:val="auto"/>
          <w:sz w:val="24"/>
          <w:szCs w:val="24"/>
          <w:highlight w:val="none"/>
        </w:rPr>
        <w:t>。</w:t>
      </w:r>
    </w:p>
    <w:bookmarkEnd w:id="55"/>
    <w:p w14:paraId="7CFFE3D5">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en-US" w:eastAsia="zh-CN" w:bidi="ar-SA"/>
        </w:rPr>
      </w:pPr>
      <w:bookmarkStart w:id="61" w:name="_Toc25642"/>
      <w:bookmarkStart w:id="62" w:name="_Toc163492816"/>
      <w:bookmarkStart w:id="63" w:name="_Toc109899414"/>
      <w:bookmarkStart w:id="64" w:name="_Toc109899833"/>
      <w:bookmarkStart w:id="65" w:name="_Toc155185864"/>
      <w:bookmarkStart w:id="66" w:name="_Toc140132749"/>
      <w:bookmarkStart w:id="67" w:name="_Toc109900252"/>
      <w:r>
        <w:rPr>
          <w:rFonts w:hint="eastAsia" w:ascii="宋体" w:hAnsi="宋体" w:eastAsia="宋体" w:cs="宋体"/>
          <w:b/>
          <w:bCs/>
          <w:i w:val="0"/>
          <w:iCs w:val="0"/>
          <w:color w:val="auto"/>
          <w:kern w:val="2"/>
          <w:sz w:val="24"/>
          <w:szCs w:val="24"/>
          <w:highlight w:val="none"/>
          <w:lang w:val="en-US" w:eastAsia="zh-CN" w:bidi="ar-SA"/>
        </w:rPr>
        <w:t>五、</w:t>
      </w:r>
      <w:r>
        <w:rPr>
          <w:rFonts w:hint="eastAsia" w:ascii="宋体" w:hAnsi="宋体" w:cs="宋体"/>
          <w:b/>
          <w:bCs/>
          <w:i w:val="0"/>
          <w:iCs w:val="0"/>
          <w:color w:val="auto"/>
          <w:kern w:val="2"/>
          <w:sz w:val="24"/>
          <w:szCs w:val="24"/>
          <w:highlight w:val="none"/>
          <w:lang w:val="en-US" w:eastAsia="zh-CN" w:bidi="ar-SA"/>
        </w:rPr>
        <w:t>响应文件</w:t>
      </w:r>
      <w:r>
        <w:rPr>
          <w:rFonts w:hint="eastAsia" w:ascii="宋体" w:hAnsi="宋体" w:eastAsia="宋体" w:cs="宋体"/>
          <w:b/>
          <w:bCs/>
          <w:i w:val="0"/>
          <w:iCs w:val="0"/>
          <w:color w:val="auto"/>
          <w:kern w:val="2"/>
          <w:sz w:val="24"/>
          <w:szCs w:val="24"/>
          <w:highlight w:val="none"/>
          <w:lang w:val="en-US" w:eastAsia="zh-CN" w:bidi="ar-SA"/>
        </w:rPr>
        <w:t>开启</w:t>
      </w:r>
      <w:bookmarkEnd w:id="61"/>
    </w:p>
    <w:p w14:paraId="5E8B16C4">
      <w:pPr>
        <w:pStyle w:val="38"/>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cs="宋体"/>
          <w:i w:val="0"/>
          <w:iCs w:val="0"/>
          <w:color w:val="auto"/>
          <w:sz w:val="24"/>
          <w:szCs w:val="24"/>
          <w:highlight w:val="none"/>
          <w:lang w:val="en-US" w:eastAsia="zh-CN"/>
        </w:rPr>
        <w:t>开启</w:t>
      </w:r>
      <w:r>
        <w:rPr>
          <w:rFonts w:hint="eastAsia" w:ascii="宋体" w:hAnsi="宋体" w:eastAsia="宋体" w:cs="宋体"/>
          <w:i w:val="0"/>
          <w:iCs w:val="0"/>
          <w:color w:val="auto"/>
          <w:sz w:val="24"/>
          <w:szCs w:val="24"/>
          <w:highlight w:val="none"/>
        </w:rPr>
        <w:t>时间：</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2026年11月13日</w:t>
      </w:r>
      <w:r>
        <w:rPr>
          <w:rFonts w:hint="eastAsia" w:cs="宋体"/>
          <w:i w:val="0"/>
          <w:iCs w:val="0"/>
          <w:color w:val="auto"/>
          <w:sz w:val="24"/>
          <w:szCs w:val="24"/>
          <w:highlight w:val="none"/>
          <w:u w:val="single"/>
          <w:lang w:val="en-US" w:eastAsia="zh-CN"/>
        </w:rPr>
        <w:t>11时00分</w:t>
      </w:r>
      <w:r>
        <w:rPr>
          <w:rFonts w:hint="eastAsia" w:ascii="宋体" w:hAnsi="宋体" w:eastAsia="宋体" w:cs="宋体"/>
          <w:i w:val="0"/>
          <w:iCs w:val="0"/>
          <w:color w:val="auto"/>
          <w:sz w:val="24"/>
          <w:szCs w:val="24"/>
          <w:highlight w:val="none"/>
        </w:rPr>
        <w:t>（北京时间）</w:t>
      </w:r>
    </w:p>
    <w:p w14:paraId="65E2D6A2">
      <w:pPr>
        <w:pStyle w:val="38"/>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rPr>
        <w:t>地点</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rPr>
        <w:t>供应商登录政采云平台https</w:t>
      </w:r>
      <w:r>
        <w:rPr>
          <w:rFonts w:hint="eastAsia" w:ascii="宋体" w:hAnsi="宋体" w:eastAsia="宋体" w:cs="宋体"/>
          <w:i w:val="0"/>
          <w:iCs w:val="0"/>
          <w:color w:val="auto"/>
          <w:sz w:val="24"/>
          <w:szCs w:val="24"/>
          <w:highlight w:val="none"/>
          <w:lang w:val="hr-HR"/>
        </w:rPr>
        <w:t>:</w:t>
      </w:r>
      <w:r>
        <w:rPr>
          <w:rFonts w:hint="eastAsia" w:ascii="宋体" w:hAnsi="宋体" w:eastAsia="宋体" w:cs="宋体"/>
          <w:i w:val="0"/>
          <w:iCs w:val="0"/>
          <w:color w:val="auto"/>
          <w:sz w:val="24"/>
          <w:szCs w:val="24"/>
          <w:highlight w:val="none"/>
          <w:lang w:val="en-US"/>
        </w:rPr>
        <w:t>//www.zcygov.cn/，进入“项目采购-开评标管理-右边选择对应项目点击“进入项目”进入开标大厅</w:t>
      </w:r>
      <w:r>
        <w:rPr>
          <w:rFonts w:hint="eastAsia" w:ascii="宋体" w:hAnsi="宋体" w:eastAsia="宋体" w:cs="宋体"/>
          <w:i w:val="0"/>
          <w:iCs w:val="0"/>
          <w:color w:val="auto"/>
          <w:sz w:val="24"/>
          <w:szCs w:val="24"/>
          <w:highlight w:val="none"/>
        </w:rPr>
        <w:t>。</w:t>
      </w:r>
    </w:p>
    <w:p w14:paraId="074E2FCF">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hr-HR" w:eastAsia="zh-CN" w:bidi="ar-SA"/>
        </w:rPr>
      </w:pPr>
      <w:bookmarkStart w:id="68" w:name="_Toc2566"/>
      <w:r>
        <w:rPr>
          <w:rFonts w:hint="eastAsia" w:ascii="宋体" w:hAnsi="宋体" w:eastAsia="宋体" w:cs="宋体"/>
          <w:b/>
          <w:bCs/>
          <w:i w:val="0"/>
          <w:iCs w:val="0"/>
          <w:color w:val="auto"/>
          <w:kern w:val="2"/>
          <w:sz w:val="24"/>
          <w:szCs w:val="24"/>
          <w:highlight w:val="none"/>
          <w:lang w:val="en-US" w:eastAsia="zh-CN" w:bidi="ar-SA"/>
        </w:rPr>
        <w:t>六、</w:t>
      </w:r>
      <w:r>
        <w:rPr>
          <w:rFonts w:hint="eastAsia" w:ascii="宋体" w:hAnsi="宋体" w:eastAsia="宋体" w:cs="宋体"/>
          <w:b/>
          <w:bCs/>
          <w:i w:val="0"/>
          <w:iCs w:val="0"/>
          <w:color w:val="auto"/>
          <w:kern w:val="2"/>
          <w:sz w:val="24"/>
          <w:szCs w:val="24"/>
          <w:highlight w:val="none"/>
          <w:lang w:val="hr-HR" w:eastAsia="zh-CN" w:bidi="ar-SA"/>
        </w:rPr>
        <w:t>公告期限</w:t>
      </w:r>
      <w:bookmarkEnd w:id="56"/>
      <w:bookmarkEnd w:id="57"/>
      <w:bookmarkEnd w:id="58"/>
      <w:bookmarkEnd w:id="59"/>
      <w:bookmarkEnd w:id="60"/>
      <w:bookmarkEnd w:id="62"/>
      <w:bookmarkEnd w:id="63"/>
      <w:bookmarkEnd w:id="64"/>
      <w:bookmarkEnd w:id="65"/>
      <w:bookmarkEnd w:id="66"/>
      <w:bookmarkEnd w:id="67"/>
      <w:bookmarkEnd w:id="68"/>
    </w:p>
    <w:p w14:paraId="2E7182EC">
      <w:pPr>
        <w:pageBreakBefore w:val="0"/>
        <w:kinsoku/>
        <w:wordWrap/>
        <w:overflowPunct/>
        <w:topLinePunct w:val="0"/>
        <w:bidi w:val="0"/>
        <w:snapToGrid w:val="0"/>
        <w:spacing w:line="348" w:lineRule="auto"/>
        <w:ind w:left="0" w:leftChars="0" w:firstLine="480" w:firstLineChars="200"/>
        <w:jc w:val="both"/>
        <w:outlineLvl w:val="9"/>
        <w:rPr>
          <w:rFonts w:hint="eastAsia" w:ascii="宋体" w:hAnsi="宋体" w:eastAsia="宋体" w:cs="宋体"/>
          <w:b/>
          <w:bCs/>
          <w:i w:val="0"/>
          <w:iCs w:val="0"/>
          <w:color w:val="auto"/>
          <w:kern w:val="2"/>
          <w:sz w:val="24"/>
          <w:szCs w:val="24"/>
          <w:highlight w:val="none"/>
          <w:lang w:val="hr-HR" w:eastAsia="zh-CN" w:bidi="ar-SA"/>
        </w:rPr>
      </w:pPr>
      <w:r>
        <w:rPr>
          <w:rFonts w:hint="eastAsia" w:ascii="宋体" w:hAnsi="宋体" w:eastAsia="宋体" w:cs="宋体"/>
          <w:i w:val="0"/>
          <w:iCs w:val="0"/>
          <w:color w:val="auto"/>
          <w:kern w:val="2"/>
          <w:sz w:val="24"/>
          <w:szCs w:val="24"/>
          <w:highlight w:val="none"/>
          <w:lang w:val="en-US" w:eastAsia="zh-CN" w:bidi="ar-SA"/>
        </w:rPr>
        <w:t>自本公告发布之日起</w:t>
      </w:r>
      <w:r>
        <w:rPr>
          <w:rFonts w:hint="eastAsia" w:cs="宋体"/>
          <w:i w:val="0"/>
          <w:iCs w:val="0"/>
          <w:color w:val="auto"/>
          <w:kern w:val="2"/>
          <w:sz w:val="24"/>
          <w:szCs w:val="24"/>
          <w:highlight w:val="none"/>
          <w:lang w:val="en-US" w:eastAsia="zh-CN" w:bidi="ar-SA"/>
        </w:rPr>
        <w:t xml:space="preserve"> </w:t>
      </w:r>
      <w:r>
        <w:rPr>
          <w:rFonts w:hint="eastAsia" w:ascii="宋体" w:hAnsi="宋体" w:eastAsia="宋体" w:cs="宋体"/>
          <w:i w:val="0"/>
          <w:iCs w:val="0"/>
          <w:color w:val="auto"/>
          <w:kern w:val="2"/>
          <w:sz w:val="24"/>
          <w:szCs w:val="24"/>
          <w:highlight w:val="none"/>
          <w:lang w:val="en-US" w:eastAsia="zh-CN" w:bidi="ar-SA"/>
        </w:rPr>
        <w:t>3个工作日。</w:t>
      </w:r>
      <w:bookmarkStart w:id="69" w:name="_Toc44583634"/>
      <w:bookmarkStart w:id="70" w:name="_Toc140132750"/>
      <w:bookmarkStart w:id="71" w:name="_Toc163492817"/>
      <w:bookmarkStart w:id="72" w:name="_Toc35393804"/>
      <w:bookmarkStart w:id="73" w:name="_Toc109899834"/>
      <w:bookmarkStart w:id="74" w:name="_Toc35393635"/>
      <w:bookmarkStart w:id="75" w:name="_Toc155185865"/>
      <w:bookmarkStart w:id="76" w:name="_Toc109900253"/>
      <w:bookmarkStart w:id="77" w:name="_Toc109899415"/>
    </w:p>
    <w:p w14:paraId="21DAE0D9">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hr-HR" w:eastAsia="zh-CN" w:bidi="ar-SA"/>
        </w:rPr>
      </w:pPr>
      <w:r>
        <w:rPr>
          <w:rFonts w:hint="eastAsia" w:ascii="宋体" w:hAnsi="宋体" w:eastAsia="宋体" w:cs="宋体"/>
          <w:b/>
          <w:bCs/>
          <w:i w:val="0"/>
          <w:iCs w:val="0"/>
          <w:color w:val="auto"/>
          <w:kern w:val="2"/>
          <w:sz w:val="24"/>
          <w:szCs w:val="24"/>
          <w:highlight w:val="none"/>
          <w:lang w:val="hr-HR" w:eastAsia="zh-CN" w:bidi="ar-SA"/>
        </w:rPr>
        <w:t>七、其他补充事宜</w:t>
      </w:r>
      <w:bookmarkEnd w:id="69"/>
      <w:bookmarkEnd w:id="70"/>
      <w:bookmarkEnd w:id="71"/>
      <w:bookmarkEnd w:id="72"/>
      <w:bookmarkEnd w:id="73"/>
      <w:bookmarkEnd w:id="74"/>
      <w:bookmarkEnd w:id="75"/>
      <w:bookmarkEnd w:id="76"/>
      <w:bookmarkEnd w:id="77"/>
    </w:p>
    <w:p w14:paraId="0BE3F5E9">
      <w:pPr>
        <w:pStyle w:val="38"/>
        <w:ind w:left="0" w:leftChars="0" w:firstLine="480" w:firstLineChars="200"/>
        <w:rPr>
          <w:rFonts w:hint="eastAsia" w:ascii="宋体" w:hAnsi="宋体" w:eastAsia="宋体" w:cs="宋体"/>
          <w:color w:val="auto"/>
          <w:sz w:val="24"/>
          <w:szCs w:val="24"/>
          <w:highlight w:val="none"/>
          <w:lang w:val="hr-HR" w:eastAsia="zh-CN"/>
        </w:rPr>
      </w:pPr>
      <w:bookmarkStart w:id="78" w:name="_Toc30600"/>
      <w:r>
        <w:rPr>
          <w:rFonts w:hint="eastAsia" w:ascii="宋体" w:hAnsi="宋体" w:eastAsia="宋体" w:cs="宋体"/>
          <w:color w:val="auto"/>
          <w:sz w:val="24"/>
          <w:szCs w:val="24"/>
          <w:highlight w:val="none"/>
          <w:lang w:val="hr-HR" w:eastAsia="zh-CN"/>
        </w:rPr>
        <w:t>1、本项目实行网上</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lang w:val="hr-HR" w:eastAsia="zh-CN"/>
        </w:rPr>
        <w:t>，采用电子响应文件。</w:t>
      </w:r>
    </w:p>
    <w:p w14:paraId="43DDAAAB">
      <w:pPr>
        <w:pStyle w:val="38"/>
        <w:ind w:left="0" w:leftChars="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78B84714">
      <w:pPr>
        <w:pStyle w:val="38"/>
        <w:ind w:left="0" w:leftChars="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0B6A28C3">
      <w:pPr>
        <w:pStyle w:val="38"/>
        <w:ind w:left="0" w:leftChars="0"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4、其他事项：</w:t>
      </w:r>
      <w:r>
        <w:rPr>
          <w:rFonts w:hint="eastAsia" w:cs="宋体"/>
          <w:kern w:val="0"/>
          <w:szCs w:val="24"/>
          <w:highlight w:val="none"/>
        </w:rPr>
        <w:t>①如需咨询，可联系新疆CA服务热线 0991-2819290；②供应商须注意事项：1)本项目实行电子招投标，供应商须登录政采云平台https://www.zcygov.cn/申请获取招标文件，并通过政采云电子投标客户端制作响应文件，同时自行承担与投标有关的一切费用；2）根据国办函〔2019〕41号文促进数字证书（CA）跨平台、跨部门、跨区域互认要求，政府采购云平台目前已支持包括新疆CA、翔晟CA及汇信CA等多家CA的办理及使用。供应商可通过政府采购网-办理指南—供应商—CA证书办理操作指南-进入CA办理界面，按需选择办理任意一家CA厂商的数字证书。CA证书办理操作指南链接：http://u3v.cn/5F3afc；3）客户端请至政采云平台https://www.zcygov.cn/下载专区查看，如有问题可拨打政采云客户服务热线95763进行咨询。如因供应商自身原因导致在规定时间内无法正常解密的（如：浏览器故障、未安装相关驱动、网络故障、加密CA与解密CA不一致等），采购代理机构不予异常处理，视为供应商自动弃标。1）本项目采用不见面开标，供应商须在投标截止时间前通过CA在政采云平台上传加密的电子响应文件。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w:t>
      </w:r>
    </w:p>
    <w:p w14:paraId="18362246">
      <w:pPr>
        <w:pStyle w:val="28"/>
        <w:keepNext w:val="0"/>
        <w:keepLines w:val="0"/>
        <w:widowControl/>
        <w:suppressLineNumbers w:val="0"/>
        <w:wordWrap w:val="0"/>
        <w:spacing w:before="60" w:beforeAutospacing="0" w:after="60" w:afterAutospacing="0"/>
        <w:ind w:left="0" w:right="0" w:firstLine="0"/>
        <w:rPr>
          <w:rFonts w:hint="eastAsia" w:ascii="Noto Sans SC" w:hAnsi="Noto Sans SC" w:eastAsia="Noto Sans SC" w:cs="Noto Sans SC"/>
          <w:i w:val="0"/>
          <w:iCs w:val="0"/>
          <w:caps w:val="0"/>
          <w:color w:val="000000"/>
          <w:spacing w:val="0"/>
          <w:sz w:val="24"/>
          <w:szCs w:val="24"/>
          <w:highlight w:val="none"/>
        </w:rPr>
      </w:pPr>
    </w:p>
    <w:p w14:paraId="647C731C">
      <w:pPr>
        <w:pStyle w:val="2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firstLine="0"/>
        <w:textAlignment w:val="auto"/>
        <w:rPr>
          <w:rFonts w:hint="eastAsia" w:ascii="黑体" w:hAnsi="黑体" w:eastAsia="黑体" w:cs="黑体"/>
          <w:i w:val="0"/>
          <w:iCs w:val="0"/>
          <w:caps w:val="0"/>
          <w:color w:val="auto"/>
          <w:spacing w:val="0"/>
          <w:sz w:val="24"/>
          <w:szCs w:val="24"/>
          <w:highlight w:val="none"/>
        </w:rPr>
      </w:pPr>
      <w:r>
        <w:rPr>
          <w:rFonts w:hint="eastAsia" w:ascii="黑体" w:hAnsi="黑体" w:eastAsia="黑体" w:cs="黑体"/>
          <w:i w:val="0"/>
          <w:iCs w:val="0"/>
          <w:caps w:val="0"/>
          <w:color w:val="auto"/>
          <w:spacing w:val="0"/>
          <w:sz w:val="24"/>
          <w:szCs w:val="24"/>
          <w:highlight w:val="none"/>
        </w:rPr>
        <w:t>特别提示：</w:t>
      </w:r>
    </w:p>
    <w:p w14:paraId="71CF936F">
      <w:pPr>
        <w:pStyle w:val="2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firstLine="480" w:firstLineChars="200"/>
        <w:textAlignment w:val="auto"/>
        <w:rPr>
          <w:rFonts w:hint="eastAsia" w:ascii="黑体" w:hAnsi="黑体" w:eastAsia="黑体" w:cs="黑体"/>
          <w:i w:val="0"/>
          <w:iCs w:val="0"/>
          <w:caps w:val="0"/>
          <w:color w:val="auto"/>
          <w:spacing w:val="0"/>
          <w:sz w:val="24"/>
          <w:szCs w:val="24"/>
          <w:highlight w:val="none"/>
        </w:rPr>
      </w:pPr>
      <w:r>
        <w:rPr>
          <w:rFonts w:hint="eastAsia" w:ascii="黑体" w:hAnsi="黑体" w:eastAsia="黑体" w:cs="黑体"/>
          <w:i w:val="0"/>
          <w:iCs w:val="0"/>
          <w:caps w:val="0"/>
          <w:color w:val="auto"/>
          <w:spacing w:val="0"/>
          <w:sz w:val="24"/>
          <w:szCs w:val="24"/>
          <w:highlight w:val="none"/>
        </w:rPr>
        <w:t>1、采购限额标准以上，200万元以下的货物和服务采购项目、400万元以下的工程采购项目，适宜由中小企业提供的，采购人应当专门面向中小企业采购。</w:t>
      </w:r>
    </w:p>
    <w:p w14:paraId="22C3AF1E">
      <w:pPr>
        <w:pStyle w:val="2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firstLine="480" w:firstLineChars="200"/>
        <w:textAlignment w:val="auto"/>
        <w:rPr>
          <w:rFonts w:hint="eastAsia" w:ascii="黑体" w:hAnsi="黑体" w:eastAsia="黑体" w:cs="黑体"/>
          <w:i w:val="0"/>
          <w:iCs w:val="0"/>
          <w:caps w:val="0"/>
          <w:color w:val="auto"/>
          <w:spacing w:val="0"/>
          <w:sz w:val="24"/>
          <w:szCs w:val="24"/>
          <w:highlight w:val="none"/>
        </w:rPr>
      </w:pPr>
      <w:r>
        <w:rPr>
          <w:rFonts w:hint="eastAsia" w:ascii="黑体" w:hAnsi="黑体" w:eastAsia="黑体" w:cs="黑体"/>
          <w:i w:val="0"/>
          <w:iCs w:val="0"/>
          <w:caps w:val="0"/>
          <w:color w:val="auto"/>
          <w:spacing w:val="0"/>
          <w:sz w:val="24"/>
          <w:szCs w:val="24"/>
          <w:highlight w:val="none"/>
        </w:rPr>
        <w:t>2、超过200万元的货物和服务采购项目，预留该部分采购项目预算总额的30%以上专门面向中小企业采购，其中预留给小微企业的比例不低于60%。</w:t>
      </w:r>
    </w:p>
    <w:p w14:paraId="215DE980">
      <w:pPr>
        <w:pStyle w:val="2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firstLine="480" w:firstLineChars="200"/>
        <w:textAlignment w:val="auto"/>
        <w:rPr>
          <w:rFonts w:hint="eastAsia" w:ascii="黑体" w:hAnsi="黑体" w:eastAsia="黑体" w:cs="黑体"/>
          <w:i w:val="0"/>
          <w:iCs w:val="0"/>
          <w:caps w:val="0"/>
          <w:color w:val="auto"/>
          <w:spacing w:val="0"/>
          <w:sz w:val="24"/>
          <w:szCs w:val="24"/>
          <w:highlight w:val="none"/>
        </w:rPr>
      </w:pPr>
      <w:r>
        <w:rPr>
          <w:rFonts w:hint="eastAsia" w:ascii="黑体" w:hAnsi="黑体" w:eastAsia="黑体" w:cs="黑体"/>
          <w:i w:val="0"/>
          <w:iCs w:val="0"/>
          <w:caps w:val="0"/>
          <w:color w:val="auto"/>
          <w:spacing w:val="0"/>
          <w:sz w:val="24"/>
          <w:szCs w:val="24"/>
          <w:highlight w:val="none"/>
        </w:rPr>
        <w:t>3、超过400万元的工程采购项目中适宜由中小企业提供的，预留该部分采购项目预算总额的40%以上专门面向中小企业采购，其中预留给小微企业的比例不低于60%。</w:t>
      </w:r>
    </w:p>
    <w:p w14:paraId="72419989">
      <w:pPr>
        <w:pStyle w:val="2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firstLine="480" w:firstLineChars="200"/>
        <w:textAlignment w:val="auto"/>
        <w:rPr>
          <w:rFonts w:hint="eastAsia" w:ascii="黑体" w:hAnsi="黑体" w:eastAsia="黑体" w:cs="黑体"/>
          <w:i w:val="0"/>
          <w:iCs w:val="0"/>
          <w:caps w:val="0"/>
          <w:color w:val="auto"/>
          <w:spacing w:val="0"/>
          <w:sz w:val="24"/>
          <w:szCs w:val="24"/>
          <w:highlight w:val="none"/>
        </w:rPr>
      </w:pPr>
      <w:r>
        <w:rPr>
          <w:rFonts w:hint="eastAsia" w:ascii="黑体" w:hAnsi="黑体" w:eastAsia="黑体" w:cs="黑体"/>
          <w:i w:val="0"/>
          <w:iCs w:val="0"/>
          <w:caps w:val="0"/>
          <w:color w:val="auto"/>
          <w:spacing w:val="0"/>
          <w:sz w:val="24"/>
          <w:szCs w:val="24"/>
          <w:highlight w:val="none"/>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w:t>
      </w:r>
      <w:r>
        <w:rPr>
          <w:rFonts w:hint="eastAsia" w:ascii="黑体" w:hAnsi="黑体" w:eastAsia="黑体" w:cs="黑体"/>
          <w:i w:val="0"/>
          <w:iCs w:val="0"/>
          <w:caps w:val="0"/>
          <w:color w:val="auto"/>
          <w:spacing w:val="0"/>
          <w:sz w:val="24"/>
          <w:szCs w:val="24"/>
          <w:highlight w:val="none"/>
          <w:lang w:val="en-US" w:eastAsia="zh-CN"/>
        </w:rPr>
        <w:t>分</w:t>
      </w:r>
      <w:r>
        <w:rPr>
          <w:rFonts w:hint="eastAsia" w:ascii="黑体" w:hAnsi="黑体" w:eastAsia="黑体" w:cs="黑体"/>
          <w:i w:val="0"/>
          <w:iCs w:val="0"/>
          <w:caps w:val="0"/>
          <w:color w:val="auto"/>
          <w:spacing w:val="0"/>
          <w:sz w:val="24"/>
          <w:szCs w:val="24"/>
          <w:highlight w:val="none"/>
        </w:rPr>
        <w:t>法但未采用低价优先法计算价格分的，评标时应当在采用原报价进行评分的基础上增加其价格得分的3%~5%作为其价格分。</w:t>
      </w:r>
    </w:p>
    <w:p w14:paraId="77B0969E">
      <w:pPr>
        <w:pStyle w:val="28"/>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firstLine="480" w:firstLineChars="200"/>
        <w:textAlignment w:val="auto"/>
        <w:rPr>
          <w:rFonts w:hint="eastAsia" w:ascii="黑体" w:hAnsi="黑体" w:eastAsia="黑体" w:cs="黑体"/>
          <w:i w:val="0"/>
          <w:iCs w:val="0"/>
          <w:caps w:val="0"/>
          <w:color w:val="auto"/>
          <w:spacing w:val="0"/>
          <w:sz w:val="24"/>
          <w:szCs w:val="24"/>
          <w:highlight w:val="none"/>
        </w:rPr>
      </w:pPr>
      <w:r>
        <w:rPr>
          <w:rFonts w:hint="eastAsia" w:ascii="黑体" w:hAnsi="黑体" w:eastAsia="黑体" w:cs="黑体"/>
          <w:i w:val="0"/>
          <w:iCs w:val="0"/>
          <w:caps w:val="0"/>
          <w:color w:val="auto"/>
          <w:spacing w:val="0"/>
          <w:sz w:val="24"/>
          <w:szCs w:val="24"/>
          <w:highlight w:val="none"/>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w:t>
      </w:r>
      <w:r>
        <w:rPr>
          <w:rFonts w:hint="eastAsia" w:ascii="黑体" w:hAnsi="黑体" w:eastAsia="黑体" w:cs="黑体"/>
          <w:i w:val="0"/>
          <w:iCs w:val="0"/>
          <w:caps w:val="0"/>
          <w:color w:val="auto"/>
          <w:spacing w:val="0"/>
          <w:sz w:val="24"/>
          <w:szCs w:val="24"/>
          <w:highlight w:val="none"/>
          <w:lang w:val="en-US" w:eastAsia="zh-CN"/>
        </w:rPr>
        <w:t>分</w:t>
      </w:r>
      <w:r>
        <w:rPr>
          <w:rFonts w:hint="eastAsia" w:ascii="黑体" w:hAnsi="黑体" w:eastAsia="黑体" w:cs="黑体"/>
          <w:i w:val="0"/>
          <w:iCs w:val="0"/>
          <w:caps w:val="0"/>
          <w:color w:val="auto"/>
          <w:spacing w:val="0"/>
          <w:sz w:val="24"/>
          <w:szCs w:val="24"/>
          <w:highlight w:val="none"/>
        </w:rPr>
        <w:t>法但未采用低价优先法计算价格分的，评标时应当在采用原报价进行评分的基础上增加其价格得分的1%~2%作为其价格分。</w:t>
      </w:r>
    </w:p>
    <w:p w14:paraId="2BCB902A">
      <w:pPr>
        <w:pStyle w:val="5"/>
        <w:keepNext/>
        <w:keepLines/>
        <w:pageBreakBefore w:val="0"/>
        <w:widowControl w:val="0"/>
        <w:numPr>
          <w:ilvl w:val="0"/>
          <w:numId w:val="0"/>
        </w:numPr>
        <w:kinsoku/>
        <w:wordWrap/>
        <w:overflowPunct/>
        <w:topLinePunct w:val="0"/>
        <w:autoSpaceDE/>
        <w:autoSpaceDN/>
        <w:bidi w:val="0"/>
        <w:adjustRightInd/>
        <w:snapToGrid/>
        <w:spacing w:before="300" w:after="6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hr-HR" w:eastAsia="zh-CN" w:bidi="ar-SA"/>
        </w:rPr>
      </w:pPr>
      <w:r>
        <w:rPr>
          <w:rFonts w:hint="eastAsia" w:ascii="宋体" w:hAnsi="宋体" w:eastAsia="宋体" w:cs="宋体"/>
          <w:b/>
          <w:bCs/>
          <w:i w:val="0"/>
          <w:iCs w:val="0"/>
          <w:color w:val="auto"/>
          <w:kern w:val="2"/>
          <w:sz w:val="24"/>
          <w:szCs w:val="24"/>
          <w:highlight w:val="none"/>
          <w:lang w:val="en-US" w:eastAsia="zh-CN" w:bidi="ar-SA"/>
        </w:rPr>
        <w:t>八、</w:t>
      </w:r>
      <w:r>
        <w:rPr>
          <w:rFonts w:hint="eastAsia" w:ascii="宋体" w:hAnsi="宋体" w:eastAsia="宋体" w:cs="宋体"/>
          <w:b/>
          <w:bCs/>
          <w:i w:val="0"/>
          <w:iCs w:val="0"/>
          <w:color w:val="auto"/>
          <w:kern w:val="2"/>
          <w:sz w:val="24"/>
          <w:szCs w:val="24"/>
          <w:highlight w:val="none"/>
          <w:lang w:val="hr-HR" w:eastAsia="zh-CN" w:bidi="ar-SA"/>
        </w:rPr>
        <w:t>凡对本次采购提出询问，请按以下方式联系</w:t>
      </w:r>
      <w:bookmarkEnd w:id="78"/>
    </w:p>
    <w:p w14:paraId="072E1612">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rPr>
      </w:pPr>
      <w:bookmarkStart w:id="79" w:name="_Toc35393637"/>
      <w:bookmarkStart w:id="80" w:name="_Toc35393806"/>
      <w:bookmarkStart w:id="81" w:name="_Toc28359019"/>
      <w:bookmarkStart w:id="82" w:name="_Toc28359096"/>
      <w:r>
        <w:rPr>
          <w:rFonts w:hint="eastAsia" w:ascii="宋体" w:hAnsi="宋体" w:eastAsia="宋体" w:cs="宋体"/>
          <w:i w:val="0"/>
          <w:iCs w:val="0"/>
          <w:color w:val="auto"/>
          <w:sz w:val="24"/>
          <w:szCs w:val="24"/>
          <w:highlight w:val="none"/>
        </w:rPr>
        <w:t>1.采购人信息</w:t>
      </w:r>
      <w:bookmarkEnd w:id="79"/>
      <w:bookmarkEnd w:id="80"/>
      <w:bookmarkEnd w:id="81"/>
      <w:bookmarkEnd w:id="82"/>
    </w:p>
    <w:p w14:paraId="6E31A044">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 xml:space="preserve">名称： </w:t>
      </w:r>
      <w:r>
        <w:rPr>
          <w:rFonts w:hint="eastAsia" w:cs="宋体"/>
          <w:i w:val="0"/>
          <w:iCs w:val="0"/>
          <w:color w:val="auto"/>
          <w:sz w:val="24"/>
          <w:szCs w:val="24"/>
          <w:highlight w:val="none"/>
          <w:u w:val="none"/>
          <w:lang w:eastAsia="zh-CN"/>
        </w:rPr>
        <w:t>墨玉县人力资源和社会保障局</w:t>
      </w:r>
      <w:r>
        <w:rPr>
          <w:rFonts w:hint="eastAsia" w:ascii="宋体" w:hAnsi="宋体" w:eastAsia="宋体" w:cs="宋体"/>
          <w:i w:val="0"/>
          <w:iCs w:val="0"/>
          <w:color w:val="auto"/>
          <w:sz w:val="24"/>
          <w:szCs w:val="24"/>
          <w:highlight w:val="none"/>
          <w:u w:val="none"/>
        </w:rPr>
        <w:t xml:space="preserve"> </w:t>
      </w:r>
    </w:p>
    <w:p w14:paraId="061706DE">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 xml:space="preserve">地址： 墨玉县同心路49号 </w:t>
      </w:r>
    </w:p>
    <w:p w14:paraId="61D6B289">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default"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sz w:val="24"/>
          <w:szCs w:val="24"/>
          <w:highlight w:val="none"/>
          <w:u w:val="none"/>
        </w:rPr>
        <w:t>联系方式：</w:t>
      </w:r>
      <w:bookmarkStart w:id="83" w:name="_Hlk46775675"/>
      <w:r>
        <w:rPr>
          <w:rFonts w:hint="eastAsia" w:cs="宋体"/>
          <w:i w:val="0"/>
          <w:iCs w:val="0"/>
          <w:color w:val="auto"/>
          <w:sz w:val="24"/>
          <w:szCs w:val="24"/>
          <w:highlight w:val="none"/>
          <w:u w:val="none"/>
          <w:lang w:val="en-US" w:eastAsia="zh-CN"/>
        </w:rPr>
        <w:t>13999052101</w:t>
      </w:r>
    </w:p>
    <w:bookmarkEnd w:id="83"/>
    <w:p w14:paraId="2D6AB798">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rPr>
      </w:pPr>
      <w:bookmarkStart w:id="84" w:name="_Toc28359020"/>
      <w:bookmarkStart w:id="85" w:name="_Toc35393638"/>
      <w:bookmarkStart w:id="86" w:name="_Toc35393807"/>
      <w:bookmarkStart w:id="87" w:name="_Toc28359097"/>
      <w:r>
        <w:rPr>
          <w:rFonts w:hint="eastAsia" w:ascii="宋体" w:hAnsi="宋体" w:eastAsia="宋体" w:cs="宋体"/>
          <w:i w:val="0"/>
          <w:iCs w:val="0"/>
          <w:color w:val="auto"/>
          <w:sz w:val="24"/>
          <w:szCs w:val="24"/>
          <w:highlight w:val="none"/>
          <w:u w:val="none"/>
        </w:rPr>
        <w:t>2.采购代理机构信息</w:t>
      </w:r>
      <w:bookmarkEnd w:id="84"/>
      <w:bookmarkEnd w:id="85"/>
      <w:bookmarkEnd w:id="86"/>
      <w:bookmarkEnd w:id="87"/>
    </w:p>
    <w:p w14:paraId="3B71EB6B">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 xml:space="preserve">名称： </w:t>
      </w:r>
      <w:r>
        <w:rPr>
          <w:rFonts w:hint="eastAsia" w:cs="宋体"/>
          <w:i w:val="0"/>
          <w:iCs w:val="0"/>
          <w:color w:val="auto"/>
          <w:sz w:val="24"/>
          <w:szCs w:val="24"/>
          <w:highlight w:val="none"/>
          <w:u w:val="none"/>
          <w:lang w:eastAsia="zh-CN"/>
        </w:rPr>
        <w:t>新疆悦隆项目管理有限公司</w:t>
      </w:r>
      <w:r>
        <w:rPr>
          <w:rFonts w:hint="eastAsia" w:ascii="宋体" w:hAnsi="宋体" w:eastAsia="宋体" w:cs="宋体"/>
          <w:i w:val="0"/>
          <w:iCs w:val="0"/>
          <w:color w:val="auto"/>
          <w:sz w:val="24"/>
          <w:szCs w:val="24"/>
          <w:highlight w:val="none"/>
          <w:u w:val="none"/>
        </w:rPr>
        <w:t xml:space="preserve"> </w:t>
      </w:r>
    </w:p>
    <w:p w14:paraId="14B30445">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lang w:eastAsia="zh-CN"/>
        </w:rPr>
      </w:pPr>
      <w:r>
        <w:rPr>
          <w:rFonts w:hint="eastAsia" w:ascii="宋体" w:hAnsi="宋体" w:eastAsia="宋体" w:cs="宋体"/>
          <w:i w:val="0"/>
          <w:iCs w:val="0"/>
          <w:color w:val="auto"/>
          <w:sz w:val="24"/>
          <w:szCs w:val="24"/>
          <w:highlight w:val="none"/>
          <w:u w:val="none"/>
        </w:rPr>
        <w:t>地址：</w:t>
      </w:r>
      <w:r>
        <w:rPr>
          <w:rFonts w:hint="eastAsia" w:ascii="宋体" w:hAnsi="宋体" w:eastAsia="宋体" w:cs="宋体"/>
          <w:b w:val="0"/>
          <w:bCs w:val="0"/>
          <w:i w:val="0"/>
          <w:iCs w:val="0"/>
          <w:color w:val="auto"/>
          <w:sz w:val="24"/>
          <w:szCs w:val="24"/>
          <w:highlight w:val="none"/>
          <w:u w:val="none"/>
        </w:rPr>
        <w:t xml:space="preserve"> </w:t>
      </w:r>
      <w:r>
        <w:rPr>
          <w:rFonts w:hint="eastAsia" w:asciiTheme="minorEastAsia" w:hAnsiTheme="minorEastAsia" w:eastAsiaTheme="minorEastAsia" w:cstheme="minorEastAsia"/>
          <w:b w:val="0"/>
          <w:bCs w:val="0"/>
          <w:color w:val="auto"/>
          <w:sz w:val="24"/>
          <w:highlight w:val="none"/>
          <w:u w:val="none"/>
          <w:lang w:eastAsia="zh-CN"/>
        </w:rPr>
        <w:t>新疆乌鲁木齐市水磨沟区红光山路888号绿城广场01栋1#商业综合楼（A、B座)A单元商务办公2003室-2号房（中国（新疆）自由贸易试验区）</w:t>
      </w:r>
    </w:p>
    <w:p w14:paraId="54D7946E">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联系方式：</w:t>
      </w:r>
      <w:r>
        <w:rPr>
          <w:rFonts w:hint="eastAsia" w:cs="宋体"/>
          <w:i w:val="0"/>
          <w:iCs w:val="0"/>
          <w:color w:val="auto"/>
          <w:sz w:val="24"/>
          <w:szCs w:val="24"/>
          <w:highlight w:val="none"/>
          <w:u w:val="none"/>
          <w:lang w:val="en-US" w:eastAsia="zh-CN"/>
        </w:rPr>
        <w:t>0991-4826287</w:t>
      </w:r>
    </w:p>
    <w:p w14:paraId="5D6ADA4E">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lang w:val="en-US" w:eastAsia="zh-CN"/>
        </w:rPr>
      </w:pPr>
      <w:bookmarkStart w:id="88" w:name="_Toc35393639"/>
      <w:bookmarkStart w:id="89" w:name="_Toc28359098"/>
      <w:bookmarkStart w:id="90" w:name="_Toc28359021"/>
      <w:bookmarkStart w:id="91" w:name="_Toc35393808"/>
      <w:r>
        <w:rPr>
          <w:rFonts w:hint="eastAsia" w:ascii="宋体" w:hAnsi="宋体" w:eastAsia="宋体" w:cs="宋体"/>
          <w:i w:val="0"/>
          <w:iCs w:val="0"/>
          <w:color w:val="auto"/>
          <w:sz w:val="24"/>
          <w:szCs w:val="24"/>
          <w:highlight w:val="none"/>
          <w:u w:val="none"/>
          <w:lang w:val="en-US" w:eastAsia="zh-CN"/>
        </w:rPr>
        <w:t>3</w:t>
      </w:r>
      <w:r>
        <w:rPr>
          <w:rFonts w:hint="eastAsia" w:ascii="宋体" w:hAnsi="宋体" w:eastAsia="宋体" w:cs="宋体"/>
          <w:i w:val="0"/>
          <w:iCs w:val="0"/>
          <w:color w:val="auto"/>
          <w:sz w:val="24"/>
          <w:szCs w:val="24"/>
          <w:highlight w:val="none"/>
          <w:u w:val="none"/>
        </w:rPr>
        <w:t>.</w:t>
      </w:r>
      <w:r>
        <w:rPr>
          <w:rFonts w:hint="eastAsia" w:ascii="宋体" w:hAnsi="宋体" w:eastAsia="宋体" w:cs="宋体"/>
          <w:i w:val="0"/>
          <w:iCs w:val="0"/>
          <w:color w:val="auto"/>
          <w:sz w:val="24"/>
          <w:szCs w:val="24"/>
          <w:highlight w:val="none"/>
          <w:u w:val="none"/>
          <w:lang w:val="en-US" w:eastAsia="zh-CN"/>
        </w:rPr>
        <w:t>项目联系方式</w:t>
      </w:r>
    </w:p>
    <w:p w14:paraId="71F25CD0">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项目</w:t>
      </w:r>
      <w:r>
        <w:rPr>
          <w:rFonts w:hint="eastAsia" w:ascii="宋体" w:hAnsi="宋体" w:eastAsia="宋体" w:cs="宋体"/>
          <w:i w:val="0"/>
          <w:iCs w:val="0"/>
          <w:color w:val="auto"/>
          <w:sz w:val="24"/>
          <w:szCs w:val="24"/>
          <w:highlight w:val="none"/>
          <w:u w:val="none"/>
        </w:rPr>
        <w:t>联系人：</w:t>
      </w:r>
      <w:r>
        <w:rPr>
          <w:rFonts w:hint="eastAsia" w:cs="宋体"/>
          <w:i w:val="0"/>
          <w:iCs w:val="0"/>
          <w:color w:val="auto"/>
          <w:sz w:val="24"/>
          <w:szCs w:val="24"/>
          <w:highlight w:val="none"/>
          <w:u w:val="none"/>
          <w:lang w:val="en-US" w:eastAsia="zh-CN"/>
        </w:rPr>
        <w:t>白露</w:t>
      </w:r>
    </w:p>
    <w:bookmarkEnd w:id="88"/>
    <w:bookmarkEnd w:id="89"/>
    <w:bookmarkEnd w:id="90"/>
    <w:bookmarkEnd w:id="91"/>
    <w:p w14:paraId="27F658AE">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电话：</w:t>
      </w:r>
      <w:r>
        <w:rPr>
          <w:rFonts w:hint="eastAsia" w:cs="宋体"/>
          <w:i w:val="0"/>
          <w:iCs w:val="0"/>
          <w:color w:val="auto"/>
          <w:sz w:val="24"/>
          <w:szCs w:val="24"/>
          <w:highlight w:val="none"/>
          <w:u w:val="none"/>
          <w:lang w:val="en-US" w:eastAsia="zh-CN"/>
        </w:rPr>
        <w:t>17726895071</w:t>
      </w:r>
      <w:r>
        <w:rPr>
          <w:rFonts w:hint="eastAsia" w:ascii="宋体" w:hAnsi="宋体" w:eastAsia="宋体" w:cs="宋体"/>
          <w:i w:val="0"/>
          <w:iCs w:val="0"/>
          <w:color w:val="auto"/>
          <w:sz w:val="24"/>
          <w:szCs w:val="24"/>
          <w:highlight w:val="none"/>
          <w:u w:val="none"/>
          <w:lang w:val="en-US" w:eastAsia="zh-CN"/>
        </w:rPr>
        <w:t xml:space="preserve">  </w:t>
      </w:r>
    </w:p>
    <w:p w14:paraId="47182439">
      <w:pPr>
        <w:pStyle w:val="38"/>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default" w:ascii="宋体" w:hAnsi="宋体" w:eastAsia="宋体" w:cs="宋体"/>
          <w:i w:val="0"/>
          <w:iCs w:val="0"/>
          <w:color w:val="auto"/>
          <w:sz w:val="24"/>
          <w:szCs w:val="24"/>
          <w:highlight w:val="none"/>
          <w:u w:val="single"/>
          <w:lang w:val="en-US" w:eastAsia="zh-CN"/>
        </w:rPr>
      </w:pPr>
    </w:p>
    <w:p w14:paraId="1438636A">
      <w:pPr>
        <w:rPr>
          <w:i w:val="0"/>
          <w:iCs w:val="0"/>
          <w:color w:val="auto"/>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14:paraId="44B23E7A">
      <w:pPr>
        <w:pStyle w:val="4"/>
        <w:keepNext/>
        <w:keepLines/>
        <w:pageBreakBefore w:val="0"/>
        <w:widowControl w:val="0"/>
        <w:numPr>
          <w:ilvl w:val="0"/>
          <w:numId w:val="0"/>
        </w:numPr>
        <w:kinsoku/>
        <w:wordWrap/>
        <w:overflowPunct/>
        <w:topLinePunct w:val="0"/>
        <w:autoSpaceDE/>
        <w:autoSpaceDN/>
        <w:bidi w:val="0"/>
        <w:adjustRightInd/>
        <w:snapToGrid/>
        <w:spacing w:before="100" w:after="0" w:line="480" w:lineRule="auto"/>
        <w:ind w:left="420" w:leftChars="0" w:hanging="420" w:firstLineChars="0"/>
        <w:textAlignment w:val="auto"/>
        <w:rPr>
          <w:rFonts w:hint="eastAsia" w:ascii="宋体" w:hAnsi="宋体" w:eastAsia="宋体" w:cs="宋体"/>
          <w:b/>
          <w:bCs/>
          <w:i w:val="0"/>
          <w:iCs w:val="0"/>
          <w:color w:val="auto"/>
          <w:kern w:val="44"/>
          <w:sz w:val="36"/>
          <w:szCs w:val="36"/>
          <w:highlight w:val="none"/>
          <w:lang w:val="en-US" w:eastAsia="zh-CN" w:bidi="ar-SA"/>
        </w:rPr>
      </w:pPr>
      <w:bookmarkStart w:id="92" w:name="_Toc163493608"/>
      <w:bookmarkStart w:id="93" w:name="_Toc4980"/>
      <w:r>
        <w:rPr>
          <w:rFonts w:hint="eastAsia" w:ascii="宋体" w:hAnsi="宋体" w:eastAsia="宋体" w:cs="宋体"/>
          <w:b/>
          <w:bCs/>
          <w:i w:val="0"/>
          <w:iCs w:val="0"/>
          <w:color w:val="auto"/>
          <w:kern w:val="44"/>
          <w:sz w:val="36"/>
          <w:szCs w:val="36"/>
          <w:highlight w:val="none"/>
          <w:lang w:val="en-US" w:eastAsia="zh-CN" w:bidi="ar-SA"/>
        </w:rPr>
        <w:t>第二章 供应商须知</w:t>
      </w:r>
      <w:bookmarkEnd w:id="92"/>
      <w:bookmarkEnd w:id="93"/>
    </w:p>
    <w:p w14:paraId="221ABFF7">
      <w:pPr>
        <w:pStyle w:val="5"/>
        <w:keepNext/>
        <w:keepLines/>
        <w:pageBreakBefore w:val="0"/>
        <w:widowControl w:val="0"/>
        <w:numPr>
          <w:ilvl w:val="0"/>
          <w:numId w:val="0"/>
        </w:numPr>
        <w:kinsoku/>
        <w:wordWrap/>
        <w:overflowPunct/>
        <w:topLinePunct w:val="0"/>
        <w:autoSpaceDE/>
        <w:autoSpaceDN/>
        <w:bidi w:val="0"/>
        <w:adjustRightInd/>
        <w:snapToGrid/>
        <w:spacing w:before="80" w:after="80" w:line="360" w:lineRule="auto"/>
        <w:ind w:left="420" w:leftChars="0" w:hanging="420" w:firstLineChars="0"/>
        <w:textAlignment w:val="auto"/>
        <w:rPr>
          <w:rFonts w:hint="eastAsia" w:ascii="等线 Light" w:hAnsi="等线 Light" w:eastAsia="宋体" w:cs="宋体"/>
          <w:b/>
          <w:bCs/>
          <w:i w:val="0"/>
          <w:iCs w:val="0"/>
          <w:color w:val="auto"/>
          <w:kern w:val="2"/>
          <w:sz w:val="28"/>
          <w:szCs w:val="28"/>
          <w:highlight w:val="none"/>
          <w:lang w:val="en-US" w:eastAsia="zh-CN" w:bidi="ar-SA"/>
        </w:rPr>
      </w:pPr>
      <w:bookmarkStart w:id="94" w:name="_Toc19787"/>
      <w:bookmarkStart w:id="95" w:name="_Toc163493609"/>
      <w:r>
        <w:rPr>
          <w:rFonts w:hint="eastAsia" w:ascii="等线 Light" w:hAnsi="等线 Light" w:eastAsia="宋体" w:cs="宋体"/>
          <w:b/>
          <w:bCs/>
          <w:i w:val="0"/>
          <w:iCs w:val="0"/>
          <w:color w:val="auto"/>
          <w:kern w:val="2"/>
          <w:sz w:val="28"/>
          <w:szCs w:val="28"/>
          <w:highlight w:val="none"/>
          <w:lang w:val="en-US" w:eastAsia="zh-CN" w:bidi="ar-SA"/>
        </w:rPr>
        <w:t>一、供应商须知前附表</w:t>
      </w:r>
      <w:bookmarkEnd w:id="94"/>
      <w:bookmarkEnd w:id="95"/>
    </w:p>
    <w:p w14:paraId="0B1BFA2E">
      <w:pPr>
        <w:pStyle w:val="38"/>
        <w:ind w:firstLine="480"/>
        <w:rPr>
          <w:i w:val="0"/>
          <w:iCs w:val="0"/>
          <w:color w:val="auto"/>
          <w:highlight w:val="none"/>
        </w:rPr>
      </w:pPr>
      <w:r>
        <w:rPr>
          <w:rFonts w:hint="eastAsia"/>
          <w:i w:val="0"/>
          <w:iCs w:val="0"/>
          <w:color w:val="auto"/>
          <w:highlight w:val="none"/>
        </w:rPr>
        <w:t>磋商供应商应仔细阅读本磋商文件的第二章“供应商须知”，下面所列资料是对“供应商须知”的具体补充和说明。如有矛盾，应以本表为准。</w:t>
      </w:r>
      <w:r>
        <w:rPr>
          <w:rFonts w:hint="eastAsia"/>
          <w:i w:val="0"/>
          <w:iCs w:val="0"/>
          <w:color w:val="auto"/>
          <w:highlight w:val="none"/>
          <w:lang w:val="en-US" w:eastAsia="zh-CN"/>
        </w:rPr>
        <w:t>标记“</w:t>
      </w:r>
      <w:r>
        <w:rPr>
          <w:rFonts w:hint="eastAsia" w:ascii="宋体" w:hAnsi="宋体" w:eastAsia="宋体"/>
          <w:i w:val="0"/>
          <w:iCs w:val="0"/>
          <w:color w:val="auto"/>
          <w:highlight w:val="none"/>
          <w:lang w:val="en-US" w:eastAsia="zh-CN"/>
        </w:rPr>
        <w:t>☑”的选项意为适用于本项目，标记“□”的选项意为不适用于本项目。</w:t>
      </w:r>
    </w:p>
    <w:tbl>
      <w:tblPr>
        <w:tblStyle w:val="31"/>
        <w:tblW w:w="896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1005"/>
        <w:gridCol w:w="1509"/>
        <w:gridCol w:w="6450"/>
      </w:tblGrid>
      <w:tr w14:paraId="288314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63" w:hRule="atLeast"/>
          <w:tblHeader/>
          <w:jc w:val="center"/>
        </w:trPr>
        <w:tc>
          <w:tcPr>
            <w:tcW w:w="1005" w:type="dxa"/>
            <w:tcBorders>
              <w:top w:val="single" w:color="auto" w:sz="4" w:space="0"/>
              <w:left w:val="single" w:color="auto" w:sz="4" w:space="0"/>
              <w:bottom w:val="single" w:color="auto" w:sz="4" w:space="0"/>
              <w:right w:val="single" w:color="auto" w:sz="4" w:space="0"/>
            </w:tcBorders>
            <w:shd w:val="clear" w:color="auto" w:fill="D8D8D8"/>
            <w:vAlign w:val="center"/>
          </w:tcPr>
          <w:p w14:paraId="3874B124">
            <w:pPr>
              <w:pStyle w:val="49"/>
              <w:jc w:val="center"/>
              <w:rPr>
                <w:rFonts w:hint="eastAsia" w:ascii="宋体" w:hAnsi="宋体" w:eastAsia="宋体" w:cs="宋体"/>
                <w:b/>
                <w:bCs/>
                <w:i w:val="0"/>
                <w:iCs w:val="0"/>
                <w:color w:val="auto"/>
                <w:sz w:val="24"/>
                <w:szCs w:val="24"/>
                <w:highlight w:val="none"/>
              </w:rPr>
            </w:pPr>
            <w:bookmarkStart w:id="96" w:name="_Hlk161703381"/>
            <w:r>
              <w:rPr>
                <w:rFonts w:hint="eastAsia" w:ascii="宋体" w:hAnsi="宋体" w:eastAsia="宋体" w:cs="宋体"/>
                <w:b/>
                <w:bCs/>
                <w:i w:val="0"/>
                <w:iCs w:val="0"/>
                <w:color w:val="auto"/>
                <w:sz w:val="24"/>
                <w:szCs w:val="24"/>
                <w:highlight w:val="none"/>
              </w:rPr>
              <w:t>条款号</w:t>
            </w:r>
          </w:p>
        </w:tc>
        <w:tc>
          <w:tcPr>
            <w:tcW w:w="1509" w:type="dxa"/>
            <w:tcBorders>
              <w:top w:val="single" w:color="auto" w:sz="4" w:space="0"/>
              <w:left w:val="single" w:color="auto" w:sz="4" w:space="0"/>
              <w:bottom w:val="single" w:color="auto" w:sz="4" w:space="0"/>
              <w:right w:val="single" w:color="auto" w:sz="4" w:space="0"/>
            </w:tcBorders>
            <w:shd w:val="clear" w:color="auto" w:fill="D8D8D8"/>
            <w:vAlign w:val="center"/>
          </w:tcPr>
          <w:p w14:paraId="7D31E30C">
            <w:pPr>
              <w:pStyle w:val="49"/>
              <w:jc w:val="center"/>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条款名称</w:t>
            </w:r>
          </w:p>
        </w:tc>
        <w:tc>
          <w:tcPr>
            <w:tcW w:w="6450" w:type="dxa"/>
            <w:tcBorders>
              <w:top w:val="single" w:color="auto" w:sz="4" w:space="0"/>
              <w:left w:val="single" w:color="auto" w:sz="4" w:space="0"/>
              <w:bottom w:val="single" w:color="auto" w:sz="4" w:space="0"/>
              <w:right w:val="single" w:color="auto" w:sz="4" w:space="0"/>
            </w:tcBorders>
            <w:shd w:val="clear" w:color="auto" w:fill="D8D8D8"/>
            <w:vAlign w:val="center"/>
          </w:tcPr>
          <w:p w14:paraId="79DA56B3">
            <w:pPr>
              <w:pStyle w:val="49"/>
              <w:jc w:val="center"/>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内  容</w:t>
            </w:r>
          </w:p>
        </w:tc>
      </w:tr>
      <w:tr w14:paraId="603387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712"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1A519082">
            <w:pPr>
              <w:pStyle w:val="49"/>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2.5</w:t>
            </w:r>
          </w:p>
        </w:tc>
        <w:tc>
          <w:tcPr>
            <w:tcW w:w="1509" w:type="dxa"/>
            <w:tcBorders>
              <w:top w:val="single" w:color="auto" w:sz="2" w:space="0"/>
              <w:left w:val="single" w:color="auto" w:sz="2" w:space="0"/>
              <w:bottom w:val="single" w:color="auto" w:sz="2" w:space="0"/>
              <w:right w:val="single" w:color="auto" w:sz="2" w:space="0"/>
            </w:tcBorders>
            <w:vAlign w:val="center"/>
          </w:tcPr>
          <w:p w14:paraId="1E8AA45C">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服务内容</w:t>
            </w:r>
          </w:p>
        </w:tc>
        <w:tc>
          <w:tcPr>
            <w:tcW w:w="6450" w:type="dxa"/>
            <w:tcBorders>
              <w:top w:val="single" w:color="auto" w:sz="2" w:space="0"/>
              <w:left w:val="single" w:color="auto" w:sz="2" w:space="0"/>
              <w:bottom w:val="single" w:color="auto" w:sz="2" w:space="0"/>
              <w:right w:val="single" w:color="auto" w:sz="2" w:space="0"/>
            </w:tcBorders>
            <w:vAlign w:val="center"/>
          </w:tcPr>
          <w:p w14:paraId="3E973B07">
            <w:pPr>
              <w:pStyle w:val="49"/>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i w:val="0"/>
                <w:iCs w:val="0"/>
                <w:color w:val="auto"/>
                <w:sz w:val="24"/>
                <w:szCs w:val="24"/>
                <w:highlight w:val="none"/>
                <w:u w:val="single"/>
                <w:lang w:val="en-US" w:eastAsia="zh-CN"/>
              </w:rPr>
            </w:pPr>
            <w:r>
              <w:rPr>
                <w:rFonts w:hint="eastAsia" w:cs="宋体"/>
                <w:i w:val="0"/>
                <w:iCs w:val="0"/>
                <w:color w:val="auto"/>
                <w:sz w:val="24"/>
                <w:szCs w:val="24"/>
                <w:highlight w:val="none"/>
                <w:u w:val="single"/>
                <w:lang w:val="en-US" w:eastAsia="zh-CN"/>
              </w:rPr>
              <w:t>墨玉县辖16个乡镇、3个街道，360个行政村、36个社区；约443个基层公共就业服务网点（一级1个+二级10个+三级17个+四级415个），覆盖全部乡镇、街道、村及社区，实现就业服务网点正常试运营。</w:t>
            </w:r>
          </w:p>
        </w:tc>
      </w:tr>
      <w:tr w14:paraId="6D2391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5343052A">
            <w:pPr>
              <w:pStyle w:val="49"/>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9</w:t>
            </w:r>
            <w:r>
              <w:rPr>
                <w:rFonts w:hint="eastAsia" w:ascii="宋体" w:hAnsi="宋体" w:eastAsia="宋体" w:cs="宋体"/>
                <w:i w:val="0"/>
                <w:iCs w:val="0"/>
                <w:color w:val="auto"/>
                <w:sz w:val="24"/>
                <w:szCs w:val="24"/>
                <w:highlight w:val="none"/>
                <w:lang w:val="en-US" w:eastAsia="zh-CN"/>
              </w:rPr>
              <w:t>.1</w:t>
            </w:r>
          </w:p>
        </w:tc>
        <w:tc>
          <w:tcPr>
            <w:tcW w:w="1509" w:type="dxa"/>
            <w:tcBorders>
              <w:top w:val="single" w:color="auto" w:sz="2" w:space="0"/>
              <w:left w:val="single" w:color="auto" w:sz="2" w:space="0"/>
              <w:bottom w:val="single" w:color="auto" w:sz="2" w:space="0"/>
              <w:right w:val="single" w:color="auto" w:sz="2" w:space="0"/>
            </w:tcBorders>
            <w:vAlign w:val="center"/>
          </w:tcPr>
          <w:p w14:paraId="5F58C1FA">
            <w:pPr>
              <w:pStyle w:val="49"/>
              <w:rPr>
                <w:rFonts w:hint="eastAsia" w:ascii="宋体" w:hAnsi="宋体" w:eastAsia="宋体" w:cs="宋体"/>
                <w:i w:val="0"/>
                <w:iCs w:val="0"/>
                <w:color w:val="auto"/>
                <w:sz w:val="24"/>
                <w:szCs w:val="24"/>
                <w:highlight w:val="none"/>
              </w:rPr>
            </w:pPr>
            <w:bookmarkStart w:id="97" w:name="_Hlk143529175"/>
            <w:r>
              <w:rPr>
                <w:rFonts w:hint="eastAsia" w:ascii="宋体" w:hAnsi="宋体" w:eastAsia="宋体" w:cs="宋体"/>
                <w:i w:val="0"/>
                <w:iCs w:val="0"/>
                <w:color w:val="auto"/>
                <w:sz w:val="24"/>
                <w:szCs w:val="24"/>
                <w:highlight w:val="none"/>
              </w:rPr>
              <w:t>现场考察</w:t>
            </w:r>
            <w:bookmarkEnd w:id="97"/>
          </w:p>
        </w:tc>
        <w:tc>
          <w:tcPr>
            <w:tcW w:w="6450" w:type="dxa"/>
            <w:tcBorders>
              <w:top w:val="single" w:color="auto" w:sz="2" w:space="0"/>
              <w:left w:val="single" w:color="auto" w:sz="2" w:space="0"/>
              <w:bottom w:val="single" w:color="auto" w:sz="2" w:space="0"/>
              <w:right w:val="single" w:color="auto" w:sz="2" w:space="0"/>
            </w:tcBorders>
            <w:vAlign w:val="center"/>
          </w:tcPr>
          <w:p w14:paraId="1A0F036D">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sym w:font="Wingdings" w:char="00FE"/>
            </w:r>
            <w:r>
              <w:rPr>
                <w:rFonts w:hint="eastAsia" w:ascii="宋体" w:hAnsi="宋体" w:eastAsia="宋体" w:cs="宋体"/>
                <w:i w:val="0"/>
                <w:iCs w:val="0"/>
                <w:color w:val="auto"/>
                <w:sz w:val="24"/>
                <w:szCs w:val="24"/>
                <w:highlight w:val="none"/>
              </w:rPr>
              <w:t>不组织，供应商自行前往</w:t>
            </w:r>
          </w:p>
          <w:p w14:paraId="5C2E1072">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sym w:font="Wingdings" w:char="F0A8"/>
            </w:r>
            <w:r>
              <w:rPr>
                <w:rFonts w:hint="eastAsia" w:ascii="宋体" w:hAnsi="宋体" w:eastAsia="宋体" w:cs="宋体"/>
                <w:i w:val="0"/>
                <w:iCs w:val="0"/>
                <w:color w:val="auto"/>
                <w:sz w:val="24"/>
                <w:szCs w:val="24"/>
                <w:highlight w:val="none"/>
              </w:rPr>
              <w:t>组织</w:t>
            </w:r>
          </w:p>
          <w:p w14:paraId="7E8CD057">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时间：</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61ED6858">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地点：</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tc>
      </w:tr>
      <w:tr w14:paraId="01456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shd w:val="clear" w:color="auto" w:fill="auto"/>
            <w:vAlign w:val="center"/>
          </w:tcPr>
          <w:p w14:paraId="6F3D250E">
            <w:pPr>
              <w:pStyle w:val="49"/>
              <w:jc w:val="cente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rPr>
              <w:t>9.5</w:t>
            </w:r>
          </w:p>
        </w:tc>
        <w:tc>
          <w:tcPr>
            <w:tcW w:w="1509" w:type="dxa"/>
            <w:tcBorders>
              <w:top w:val="single" w:color="auto" w:sz="2" w:space="0"/>
              <w:left w:val="single" w:color="auto" w:sz="2" w:space="0"/>
              <w:bottom w:val="single" w:color="auto" w:sz="2" w:space="0"/>
              <w:right w:val="single" w:color="auto" w:sz="2" w:space="0"/>
            </w:tcBorders>
            <w:shd w:val="clear" w:color="auto" w:fill="auto"/>
            <w:vAlign w:val="center"/>
          </w:tcPr>
          <w:p w14:paraId="32DAEB76">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rPr>
              <w:t>答疑会</w:t>
            </w:r>
          </w:p>
        </w:tc>
        <w:tc>
          <w:tcPr>
            <w:tcW w:w="6450" w:type="dxa"/>
            <w:tcBorders>
              <w:top w:val="single" w:color="auto" w:sz="2" w:space="0"/>
              <w:left w:val="single" w:color="auto" w:sz="2" w:space="0"/>
              <w:bottom w:val="single" w:color="auto" w:sz="2" w:space="0"/>
              <w:right w:val="single" w:color="auto" w:sz="2" w:space="0"/>
            </w:tcBorders>
            <w:shd w:val="clear" w:color="auto" w:fill="auto"/>
            <w:vAlign w:val="center"/>
          </w:tcPr>
          <w:p w14:paraId="023C2F55">
            <w:pPr>
              <w:pStyle w:val="49"/>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sym w:font="Wingdings" w:char="00FE"/>
            </w:r>
            <w:r>
              <w:rPr>
                <w:rFonts w:hint="eastAsia" w:ascii="宋体" w:hAnsi="宋体" w:eastAsia="宋体" w:cs="宋体"/>
                <w:i w:val="0"/>
                <w:iCs w:val="0"/>
                <w:color w:val="auto"/>
                <w:sz w:val="24"/>
                <w:szCs w:val="24"/>
                <w:highlight w:val="none"/>
              </w:rPr>
              <w:t>不组织</w:t>
            </w:r>
          </w:p>
          <w:p w14:paraId="6A42F035">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sym w:font="Wingdings" w:char="00A8"/>
            </w:r>
            <w:r>
              <w:rPr>
                <w:rFonts w:hint="eastAsia" w:ascii="宋体" w:hAnsi="宋体" w:eastAsia="宋体" w:cs="宋体"/>
                <w:i w:val="0"/>
                <w:iCs w:val="0"/>
                <w:color w:val="auto"/>
                <w:sz w:val="24"/>
                <w:szCs w:val="24"/>
                <w:highlight w:val="none"/>
              </w:rPr>
              <w:t>组织</w:t>
            </w:r>
          </w:p>
          <w:p w14:paraId="1FF97581">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时间：</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16AF3812">
            <w:pPr>
              <w:pStyle w:val="49"/>
              <w:ind w:firstLine="240" w:firstLineChars="1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rPr>
              <w:t>地点：</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tc>
      </w:tr>
      <w:tr w14:paraId="7C5449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1C761710">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.1</w:t>
            </w:r>
          </w:p>
        </w:tc>
        <w:tc>
          <w:tcPr>
            <w:tcW w:w="1509" w:type="dxa"/>
            <w:tcBorders>
              <w:top w:val="single" w:color="auto" w:sz="2" w:space="0"/>
              <w:left w:val="single" w:color="auto" w:sz="2" w:space="0"/>
              <w:bottom w:val="single" w:color="auto" w:sz="2" w:space="0"/>
              <w:right w:val="single" w:color="auto" w:sz="2" w:space="0"/>
            </w:tcBorders>
            <w:vAlign w:val="center"/>
          </w:tcPr>
          <w:p w14:paraId="6279D9E8">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询问</w:t>
            </w:r>
          </w:p>
        </w:tc>
        <w:tc>
          <w:tcPr>
            <w:tcW w:w="6450" w:type="dxa"/>
            <w:tcBorders>
              <w:top w:val="single" w:color="auto" w:sz="2" w:space="0"/>
              <w:left w:val="single" w:color="auto" w:sz="2" w:space="0"/>
              <w:bottom w:val="single" w:color="auto" w:sz="2" w:space="0"/>
              <w:right w:val="single" w:color="auto" w:sz="2" w:space="0"/>
            </w:tcBorders>
            <w:vAlign w:val="center"/>
          </w:tcPr>
          <w:p w14:paraId="49CFF2E8">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方式：</w:t>
            </w:r>
            <w:r>
              <w:rPr>
                <w:rFonts w:hint="eastAsia" w:ascii="宋体" w:hAnsi="宋体" w:eastAsia="宋体" w:cs="宋体"/>
                <w:i w:val="0"/>
                <w:iCs w:val="0"/>
                <w:color w:val="auto"/>
                <w:sz w:val="24"/>
                <w:szCs w:val="24"/>
                <w:highlight w:val="none"/>
                <w:u w:val="single"/>
              </w:rPr>
              <w:t xml:space="preserve"> 电话咨询，联系方式详见招标公告  </w:t>
            </w:r>
            <w:r>
              <w:rPr>
                <w:rFonts w:hint="eastAsia" w:ascii="宋体" w:hAnsi="宋体" w:eastAsia="宋体" w:cs="宋体"/>
                <w:i w:val="0"/>
                <w:iCs w:val="0"/>
                <w:color w:val="auto"/>
                <w:sz w:val="24"/>
                <w:szCs w:val="24"/>
                <w:highlight w:val="none"/>
              </w:rPr>
              <w:t>。</w:t>
            </w:r>
          </w:p>
          <w:p w14:paraId="66660332">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时间</w:t>
            </w:r>
            <w:r>
              <w:rPr>
                <w:rFonts w:hint="eastAsia" w:ascii="宋体" w:hAnsi="宋体" w:eastAsia="宋体" w:cs="宋体"/>
                <w:i w:val="0"/>
                <w:iCs w:val="0"/>
                <w:color w:val="auto"/>
                <w:sz w:val="24"/>
                <w:szCs w:val="24"/>
                <w:highlight w:val="none"/>
                <w:lang w:val="en-US" w:eastAsia="zh-CN"/>
              </w:rPr>
              <w:t>要求</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u w:val="single"/>
              </w:rPr>
              <w:t xml:space="preserve"> 每天上午10:00至13:</w:t>
            </w:r>
            <w:r>
              <w:rPr>
                <w:rFonts w:hint="eastAsia" w:cs="宋体"/>
                <w:i w:val="0"/>
                <w:iCs w:val="0"/>
                <w:color w:val="auto"/>
                <w:sz w:val="24"/>
                <w:szCs w:val="24"/>
                <w:highlight w:val="none"/>
                <w:u w:val="single"/>
                <w:lang w:val="en-US" w:eastAsia="zh-CN"/>
              </w:rPr>
              <w:t>0</w:t>
            </w:r>
            <w:r>
              <w:rPr>
                <w:rFonts w:hint="eastAsia" w:ascii="宋体" w:hAnsi="宋体" w:eastAsia="宋体" w:cs="宋体"/>
                <w:i w:val="0"/>
                <w:iCs w:val="0"/>
                <w:color w:val="auto"/>
                <w:sz w:val="24"/>
                <w:szCs w:val="24"/>
                <w:highlight w:val="none"/>
                <w:u w:val="single"/>
              </w:rPr>
              <w:t xml:space="preserve">0，下午15:30至19:00（北京时间，法定节假日除外） </w:t>
            </w:r>
            <w:r>
              <w:rPr>
                <w:rFonts w:hint="eastAsia" w:ascii="宋体" w:hAnsi="宋体" w:eastAsia="宋体" w:cs="宋体"/>
                <w:i w:val="0"/>
                <w:iCs w:val="0"/>
                <w:color w:val="auto"/>
                <w:sz w:val="24"/>
                <w:szCs w:val="24"/>
                <w:highlight w:val="none"/>
              </w:rPr>
              <w:t>。</w:t>
            </w:r>
          </w:p>
        </w:tc>
      </w:tr>
      <w:tr w14:paraId="022645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7C3BE5B1">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.1</w:t>
            </w:r>
          </w:p>
        </w:tc>
        <w:tc>
          <w:tcPr>
            <w:tcW w:w="1509" w:type="dxa"/>
            <w:tcBorders>
              <w:top w:val="single" w:color="auto" w:sz="2" w:space="0"/>
              <w:left w:val="single" w:color="auto" w:sz="2" w:space="0"/>
              <w:bottom w:val="single" w:color="auto" w:sz="2" w:space="0"/>
              <w:right w:val="single" w:color="auto" w:sz="2" w:space="0"/>
            </w:tcBorders>
            <w:vAlign w:val="center"/>
          </w:tcPr>
          <w:p w14:paraId="3BDED760">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eastAsia="zh-CN"/>
              </w:rPr>
              <w:t>响应文件有效期</w:t>
            </w:r>
          </w:p>
        </w:tc>
        <w:tc>
          <w:tcPr>
            <w:tcW w:w="6450" w:type="dxa"/>
            <w:tcBorders>
              <w:top w:val="single" w:color="auto" w:sz="2" w:space="0"/>
              <w:left w:val="single" w:color="auto" w:sz="2" w:space="0"/>
              <w:bottom w:val="single" w:color="auto" w:sz="2" w:space="0"/>
              <w:right w:val="single" w:color="auto" w:sz="2" w:space="0"/>
            </w:tcBorders>
            <w:vAlign w:val="center"/>
          </w:tcPr>
          <w:p w14:paraId="65EA9385">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响应文件递交截止日期后</w:t>
            </w:r>
            <w:r>
              <w:rPr>
                <w:rFonts w:hint="eastAsia" w:ascii="宋体" w:hAnsi="宋体" w:eastAsia="宋体" w:cs="宋体"/>
                <w:i w:val="0"/>
                <w:iCs w:val="0"/>
                <w:color w:val="auto"/>
                <w:sz w:val="24"/>
                <w:szCs w:val="24"/>
                <w:highlight w:val="none"/>
                <w:u w:val="single"/>
              </w:rPr>
              <w:t>90</w:t>
            </w:r>
            <w:r>
              <w:rPr>
                <w:rFonts w:hint="eastAsia" w:ascii="宋体" w:hAnsi="宋体" w:eastAsia="宋体" w:cs="宋体"/>
                <w:i w:val="0"/>
                <w:iCs w:val="0"/>
                <w:color w:val="auto"/>
                <w:sz w:val="24"/>
                <w:szCs w:val="24"/>
                <w:highlight w:val="none"/>
              </w:rPr>
              <w:t>日历日。</w:t>
            </w:r>
          </w:p>
        </w:tc>
      </w:tr>
      <w:tr w14:paraId="14A0F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791"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4C83751D">
            <w:pPr>
              <w:pStyle w:val="49"/>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17.1</w:t>
            </w:r>
          </w:p>
        </w:tc>
        <w:tc>
          <w:tcPr>
            <w:tcW w:w="1509" w:type="dxa"/>
            <w:tcBorders>
              <w:top w:val="single" w:color="auto" w:sz="2" w:space="0"/>
              <w:left w:val="single" w:color="auto" w:sz="2" w:space="0"/>
              <w:bottom w:val="single" w:color="auto" w:sz="2" w:space="0"/>
              <w:right w:val="single" w:color="auto" w:sz="2" w:space="0"/>
            </w:tcBorders>
            <w:vAlign w:val="center"/>
          </w:tcPr>
          <w:p w14:paraId="26B819DD">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磋商保证金</w:t>
            </w:r>
          </w:p>
        </w:tc>
        <w:tc>
          <w:tcPr>
            <w:tcW w:w="6450" w:type="dxa"/>
            <w:tcBorders>
              <w:top w:val="single" w:color="auto" w:sz="2" w:space="0"/>
              <w:left w:val="single" w:color="auto" w:sz="2" w:space="0"/>
              <w:bottom w:val="single" w:color="auto" w:sz="2" w:space="0"/>
              <w:right w:val="single" w:color="auto" w:sz="2" w:space="0"/>
            </w:tcBorders>
            <w:vAlign w:val="center"/>
          </w:tcPr>
          <w:p w14:paraId="0C637044">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保证金的金额：</w:t>
            </w:r>
            <w:r>
              <w:rPr>
                <w:rFonts w:hint="eastAsia" w:ascii="宋体" w:hAnsi="宋体" w:cs="宋体"/>
                <w:b/>
                <w:bCs/>
                <w:color w:val="auto"/>
                <w:sz w:val="24"/>
                <w:szCs w:val="24"/>
                <w:highlight w:val="none"/>
                <w:lang w:val="en-US" w:eastAsia="zh-CN"/>
              </w:rPr>
              <w:t>20000.00</w:t>
            </w:r>
            <w:r>
              <w:rPr>
                <w:rFonts w:hint="eastAsia" w:ascii="宋体" w:hAnsi="宋体" w:eastAsia="宋体" w:cs="宋体"/>
                <w:b/>
                <w:bCs/>
                <w:color w:val="auto"/>
                <w:sz w:val="24"/>
                <w:szCs w:val="24"/>
                <w:highlight w:val="none"/>
                <w:lang w:val="en-US" w:eastAsia="zh-CN"/>
              </w:rPr>
              <w:t>元（</w:t>
            </w:r>
            <w:r>
              <w:rPr>
                <w:rFonts w:hint="eastAsia" w:ascii="宋体" w:hAnsi="宋体" w:cs="宋体"/>
                <w:b/>
                <w:bCs/>
                <w:color w:val="auto"/>
                <w:sz w:val="24"/>
                <w:szCs w:val="24"/>
                <w:highlight w:val="none"/>
                <w:lang w:val="en-US" w:eastAsia="zh-CN"/>
              </w:rPr>
              <w:t>贰万元整</w:t>
            </w:r>
            <w:r>
              <w:rPr>
                <w:rFonts w:hint="eastAsia" w:ascii="宋体" w:hAnsi="宋体" w:eastAsia="宋体" w:cs="宋体"/>
                <w:b/>
                <w:bCs/>
                <w:color w:val="auto"/>
                <w:sz w:val="24"/>
                <w:szCs w:val="24"/>
                <w:highlight w:val="none"/>
                <w:lang w:val="en-US" w:eastAsia="zh-CN"/>
              </w:rPr>
              <w:t>）</w:t>
            </w:r>
          </w:p>
          <w:p w14:paraId="4D2440BB">
            <w:pPr>
              <w:pStyle w:val="70"/>
              <w:shd w:val="clear" w:color="auto" w:fill="FFFFFF"/>
              <w:spacing w:line="360" w:lineRule="exact"/>
              <w:ind w:firstLine="0" w:firstLineChars="0"/>
              <w:rPr>
                <w:rFonts w:hint="eastAsia" w:ascii="宋体" w:eastAsia="宋体"/>
                <w:bCs/>
                <w:color w:val="auto"/>
                <w:sz w:val="24"/>
                <w:szCs w:val="24"/>
                <w:highlight w:val="none"/>
              </w:rPr>
            </w:pPr>
            <w:r>
              <w:rPr>
                <w:rFonts w:hint="eastAsia" w:ascii="宋体" w:eastAsia="宋体"/>
                <w:bCs/>
                <w:color w:val="auto"/>
                <w:sz w:val="24"/>
                <w:szCs w:val="24"/>
                <w:highlight w:val="none"/>
              </w:rPr>
              <w:t>本项目保证金以转账（支持平台电子保证金）、支票、汇票、本票、保函等非现金形式缴纳；</w:t>
            </w:r>
          </w:p>
          <w:p w14:paraId="6C32DB72">
            <w:pPr>
              <w:pStyle w:val="70"/>
              <w:shd w:val="clear" w:color="auto" w:fill="FFFFFF"/>
              <w:spacing w:line="360" w:lineRule="exact"/>
              <w:ind w:firstLine="0" w:firstLineChars="0"/>
              <w:rPr>
                <w:rFonts w:hint="eastAsia" w:ascii="宋体" w:eastAsia="宋体"/>
                <w:bCs/>
                <w:color w:val="auto"/>
                <w:sz w:val="24"/>
                <w:szCs w:val="24"/>
                <w:highlight w:val="none"/>
              </w:rPr>
            </w:pPr>
            <w:r>
              <w:rPr>
                <w:rFonts w:hint="eastAsia" w:ascii="宋体" w:eastAsia="宋体"/>
                <w:bCs/>
                <w:color w:val="auto"/>
                <w:sz w:val="24"/>
                <w:szCs w:val="24"/>
                <w:highlight w:val="none"/>
              </w:rPr>
              <w:t>供应商可自主选择以上保证金缴纳方式；</w:t>
            </w:r>
          </w:p>
          <w:p w14:paraId="13CC5B79">
            <w:pPr>
              <w:pStyle w:val="70"/>
              <w:shd w:val="clear" w:color="auto" w:fill="FFFFFF"/>
              <w:spacing w:line="360" w:lineRule="exact"/>
              <w:ind w:firstLine="0" w:firstLineChars="0"/>
              <w:rPr>
                <w:rFonts w:hint="eastAsia" w:ascii="宋体" w:eastAsia="宋体"/>
                <w:bCs/>
                <w:color w:val="auto"/>
                <w:sz w:val="24"/>
                <w:szCs w:val="24"/>
                <w:highlight w:val="none"/>
              </w:rPr>
            </w:pPr>
            <w:r>
              <w:rPr>
                <w:rFonts w:hint="eastAsia" w:ascii="宋体" w:eastAsia="宋体"/>
                <w:bCs/>
                <w:color w:val="auto"/>
                <w:sz w:val="24"/>
                <w:szCs w:val="24"/>
                <w:highlight w:val="none"/>
                <w:lang w:val="en-US" w:eastAsia="zh-CN"/>
              </w:rPr>
              <w:t>1.</w:t>
            </w:r>
            <w:r>
              <w:rPr>
                <w:rFonts w:hint="eastAsia" w:ascii="宋体" w:eastAsia="宋体"/>
                <w:bCs/>
                <w:color w:val="auto"/>
                <w:sz w:val="24"/>
                <w:szCs w:val="24"/>
                <w:highlight w:val="none"/>
              </w:rPr>
              <w:t>平台电子保证金账户信息:按系统自动生成的收款账号信息进行缴纳。具体操作在【保证金管理】页面，选择【电子保证金(在线获取账号)】，点击【新疆保证金平台】，自动从银行获取保证金的收款户名、收款账号、收款银行信息。供应商需将保证金转入获取到的收款账号。</w:t>
            </w:r>
          </w:p>
          <w:p w14:paraId="228B6AEC">
            <w:pPr>
              <w:pStyle w:val="70"/>
              <w:numPr>
                <w:ilvl w:val="0"/>
                <w:numId w:val="0"/>
              </w:numPr>
              <w:shd w:val="clear" w:color="auto" w:fill="FFFFFF"/>
              <w:spacing w:line="360" w:lineRule="exact"/>
              <w:rPr>
                <w:rFonts w:hint="default" w:ascii="宋体" w:eastAsia="宋体" w:cs="宋体;SimSun"/>
                <w:b w:val="0"/>
                <w:bCs w:val="0"/>
                <w:color w:val="auto"/>
                <w:sz w:val="24"/>
                <w:highlight w:val="none"/>
                <w:lang w:val="en-US" w:eastAsia="zh-CN"/>
              </w:rPr>
            </w:pPr>
            <w:r>
              <w:rPr>
                <w:rFonts w:hint="eastAsia" w:ascii="宋体" w:eastAsia="宋体" w:cs="宋体;SimSun"/>
                <w:b w:val="0"/>
                <w:bCs w:val="0"/>
                <w:color w:val="auto"/>
                <w:sz w:val="24"/>
                <w:highlight w:val="none"/>
                <w:lang w:val="en-US" w:eastAsia="zh-CN"/>
              </w:rPr>
              <w:t>2.</w:t>
            </w:r>
            <w:r>
              <w:rPr>
                <w:rFonts w:hint="default" w:ascii="宋体" w:eastAsia="宋体" w:cs="宋体;SimSun"/>
                <w:b w:val="0"/>
                <w:bCs w:val="0"/>
                <w:color w:val="auto"/>
                <w:sz w:val="24"/>
                <w:highlight w:val="none"/>
                <w:lang w:val="en-US" w:eastAsia="zh-CN"/>
              </w:rPr>
              <w:t>电子保函使用方法：</w:t>
            </w:r>
            <w:r>
              <w:rPr>
                <w:rFonts w:hint="eastAsia" w:ascii="宋体" w:eastAsia="宋体" w:cs="宋体;SimSun"/>
                <w:b w:val="0"/>
                <w:bCs w:val="0"/>
                <w:color w:val="auto"/>
                <w:sz w:val="24"/>
                <w:highlight w:val="none"/>
                <w:lang w:val="en-US" w:eastAsia="zh-CN"/>
              </w:rPr>
              <w:t>（</w:t>
            </w:r>
            <w:r>
              <w:rPr>
                <w:rFonts w:hint="default" w:ascii="宋体" w:eastAsia="宋体" w:cs="宋体;SimSun"/>
                <w:b w:val="0"/>
                <w:bCs w:val="0"/>
                <w:color w:val="auto"/>
                <w:sz w:val="24"/>
                <w:highlight w:val="none"/>
                <w:lang w:val="en-US" w:eastAsia="zh-CN"/>
              </w:rPr>
              <w:t>1</w:t>
            </w:r>
            <w:r>
              <w:rPr>
                <w:rFonts w:hint="eastAsia" w:ascii="宋体" w:eastAsia="宋体" w:cs="宋体;SimSun"/>
                <w:b w:val="0"/>
                <w:bCs w:val="0"/>
                <w:color w:val="auto"/>
                <w:sz w:val="24"/>
                <w:highlight w:val="none"/>
                <w:lang w:val="en-US" w:eastAsia="zh-CN"/>
              </w:rPr>
              <w:t>）</w:t>
            </w:r>
            <w:r>
              <w:rPr>
                <w:rFonts w:hint="default" w:ascii="宋体" w:eastAsia="宋体" w:cs="宋体;SimSun"/>
                <w:b w:val="0"/>
                <w:bCs w:val="0"/>
                <w:color w:val="auto"/>
                <w:sz w:val="24"/>
                <w:highlight w:val="none"/>
                <w:lang w:val="en-US" w:eastAsia="zh-CN"/>
              </w:rPr>
              <w:t>登录新疆自治区政府采购网，首页点击“电子保函”直接进入新疆政府采购电子保函申请页，点击【立即申请】</w:t>
            </w:r>
            <w:r>
              <w:rPr>
                <w:rFonts w:hint="eastAsia" w:ascii="宋体" w:eastAsia="宋体" w:cs="宋体;SimSun"/>
                <w:b w:val="0"/>
                <w:bCs w:val="0"/>
                <w:color w:val="auto"/>
                <w:sz w:val="24"/>
                <w:highlight w:val="none"/>
                <w:lang w:val="en-US" w:eastAsia="zh-CN"/>
              </w:rPr>
              <w:t>（2）</w:t>
            </w:r>
            <w:r>
              <w:rPr>
                <w:rFonts w:hint="default" w:ascii="宋体" w:eastAsia="宋体" w:cs="宋体;SimSun"/>
                <w:b w:val="0"/>
                <w:bCs w:val="0"/>
                <w:color w:val="auto"/>
                <w:sz w:val="24"/>
                <w:highlight w:val="none"/>
                <w:lang w:val="en-US" w:eastAsia="zh-CN"/>
              </w:rPr>
              <w:t>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p>
          <w:p w14:paraId="7404DA53">
            <w:pPr>
              <w:pStyle w:val="70"/>
              <w:numPr>
                <w:ilvl w:val="0"/>
                <w:numId w:val="0"/>
              </w:numPr>
              <w:shd w:val="clear" w:color="auto" w:fill="FFFFFF"/>
              <w:spacing w:line="360" w:lineRule="exact"/>
              <w:rPr>
                <w:rFonts w:hint="default" w:ascii="宋体" w:eastAsia="宋体" w:cs="宋体;SimSun"/>
                <w:b w:val="0"/>
                <w:bCs w:val="0"/>
                <w:color w:val="auto"/>
                <w:sz w:val="24"/>
                <w:highlight w:val="none"/>
                <w:lang w:val="en-US" w:eastAsia="zh-CN"/>
              </w:rPr>
            </w:pPr>
            <w:r>
              <w:rPr>
                <w:rFonts w:hint="eastAsia" w:ascii="宋体" w:eastAsia="宋体"/>
                <w:bCs/>
                <w:color w:val="auto"/>
                <w:sz w:val="24"/>
                <w:szCs w:val="24"/>
                <w:highlight w:val="none"/>
                <w:lang w:val="en-US" w:eastAsia="zh-CN"/>
              </w:rPr>
              <w:t>3.</w:t>
            </w:r>
            <w:r>
              <w:rPr>
                <w:rFonts w:hint="eastAsia" w:ascii="宋体" w:eastAsia="宋体"/>
                <w:bCs/>
                <w:color w:val="auto"/>
                <w:sz w:val="24"/>
                <w:szCs w:val="24"/>
                <w:highlight w:val="none"/>
              </w:rPr>
              <w:t>为支持和促进中小企业发展，进一步发挥政府采购政策功能，本采购项目适用于政府采购融资优惠、政采贷、电子保函相关政策，鼓励供应商使用电子保函代替现金缴纳各类保证金，在线完成保函的申请、审核、开票、出函等环节，投标企业注意区分办理保函类型，并确认投标有效期，供应商若想了解或使用相关金融服务，可登录【政府采购网】-顶部通栏【信用融资】、【办事指南】模块查看。</w:t>
            </w:r>
          </w:p>
          <w:p w14:paraId="407F7678">
            <w:pPr>
              <w:pStyle w:val="70"/>
              <w:shd w:val="clear" w:color="auto" w:fill="FFFFFF"/>
              <w:spacing w:line="360" w:lineRule="exact"/>
              <w:ind w:firstLine="0" w:firstLineChars="0"/>
              <w:rPr>
                <w:rFonts w:hint="eastAsia" w:ascii="宋体" w:eastAsia="宋体" w:cs="宋体;SimSun"/>
                <w:b w:val="0"/>
                <w:bCs w:val="0"/>
                <w:color w:val="auto"/>
                <w:sz w:val="24"/>
                <w:highlight w:val="none"/>
                <w:lang w:val="en-US" w:eastAsia="zh-CN"/>
              </w:rPr>
            </w:pPr>
            <w:r>
              <w:rPr>
                <w:rFonts w:hint="eastAsia" w:ascii="宋体" w:eastAsia="宋体"/>
                <w:bCs/>
                <w:color w:val="auto"/>
                <w:sz w:val="24"/>
                <w:szCs w:val="24"/>
                <w:highlight w:val="none"/>
                <w:lang w:val="en-US" w:eastAsia="zh-CN"/>
              </w:rPr>
              <w:t>4.</w:t>
            </w:r>
            <w:r>
              <w:rPr>
                <w:rFonts w:hint="eastAsia" w:ascii="宋体" w:eastAsia="宋体"/>
                <w:bCs/>
                <w:color w:val="auto"/>
                <w:sz w:val="24"/>
                <w:szCs w:val="24"/>
                <w:highlight w:val="none"/>
              </w:rPr>
              <w:t>保证金有效期：自提交响应文件的截止之日起90天。</w:t>
            </w:r>
          </w:p>
          <w:p w14:paraId="23F152EB">
            <w:pPr>
              <w:pStyle w:val="60"/>
              <w:spacing w:line="340" w:lineRule="exact"/>
              <w:ind w:firstLine="240" w:firstLineChars="100"/>
              <w:rPr>
                <w:rFonts w:hint="eastAsia" w:ascii="宋体" w:hAnsi="宋体" w:eastAsia="宋体" w:cs="宋体"/>
                <w:i w:val="0"/>
                <w:iCs w:val="0"/>
                <w:color w:val="auto"/>
                <w:sz w:val="24"/>
                <w:szCs w:val="24"/>
                <w:highlight w:val="none"/>
              </w:rPr>
            </w:pPr>
            <w:r>
              <w:rPr>
                <w:rFonts w:hint="eastAsia" w:ascii="宋体" w:eastAsia="宋体"/>
                <w:bCs/>
                <w:color w:val="auto"/>
                <w:sz w:val="24"/>
                <w:szCs w:val="24"/>
                <w:highlight w:val="none"/>
              </w:rPr>
              <w:t>注:供应商未按照招标文件上述要求提交保证金的,投标将被否决。供应商应充分考虑到账时间，否决后果自负。保函应由金融机构或担保机构出具。</w:t>
            </w:r>
          </w:p>
        </w:tc>
      </w:tr>
      <w:tr w14:paraId="486AB5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345"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4195C2EE">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22.1</w:t>
            </w:r>
          </w:p>
        </w:tc>
        <w:tc>
          <w:tcPr>
            <w:tcW w:w="1509" w:type="dxa"/>
            <w:tcBorders>
              <w:top w:val="single" w:color="auto" w:sz="2" w:space="0"/>
              <w:left w:val="single" w:color="auto" w:sz="2" w:space="0"/>
              <w:bottom w:val="single" w:color="auto" w:sz="2" w:space="0"/>
              <w:right w:val="single" w:color="auto" w:sz="2" w:space="0"/>
            </w:tcBorders>
            <w:vAlign w:val="center"/>
          </w:tcPr>
          <w:p w14:paraId="2A75D411">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实物样品</w:t>
            </w:r>
          </w:p>
        </w:tc>
        <w:tc>
          <w:tcPr>
            <w:tcW w:w="6450" w:type="dxa"/>
            <w:tcBorders>
              <w:top w:val="single" w:color="auto" w:sz="2" w:space="0"/>
              <w:left w:val="single" w:color="auto" w:sz="2" w:space="0"/>
              <w:bottom w:val="single" w:color="auto" w:sz="2" w:space="0"/>
              <w:right w:val="single" w:color="auto" w:sz="2" w:space="0"/>
            </w:tcBorders>
            <w:vAlign w:val="center"/>
          </w:tcPr>
          <w:p w14:paraId="4DBC01FA">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 xml:space="preserve">磋商样品递交： </w:t>
            </w:r>
          </w:p>
          <w:p w14:paraId="1D22B290">
            <w:pPr>
              <w:pStyle w:val="49"/>
              <w:ind w:firstLine="240" w:firstLineChars="100"/>
              <w:rPr>
                <w:rFonts w:hint="eastAsia" w:ascii="宋体" w:hAnsi="宋体" w:eastAsia="宋体" w:cs="宋体"/>
                <w:i w:val="0"/>
                <w:iCs w:val="0"/>
                <w:color w:val="auto"/>
                <w:sz w:val="24"/>
                <w:szCs w:val="24"/>
                <w:highlight w:val="none"/>
              </w:rPr>
            </w:pP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 xml:space="preserve">不需要 </w:t>
            </w:r>
          </w:p>
          <w:p w14:paraId="026D71C3">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 xml:space="preserve">□需要，具体要求如下： </w:t>
            </w:r>
          </w:p>
          <w:p w14:paraId="5147DACB">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1.样品制作的标准和要求：___</w:t>
            </w:r>
            <w:r>
              <w:rPr>
                <w:rFonts w:hint="eastAsia" w:ascii="宋体" w:hAnsi="宋体" w:eastAsia="宋体" w:cs="宋体"/>
                <w:i w:val="0"/>
                <w:iCs w:val="0"/>
                <w:color w:val="auto"/>
                <w:sz w:val="24"/>
                <w:szCs w:val="24"/>
                <w:highlight w:val="none"/>
                <w:u w:val="single"/>
                <w:lang w:val="en-US" w:eastAsia="zh-CN"/>
              </w:rPr>
              <w:t>_</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_</w:t>
            </w:r>
            <w:r>
              <w:rPr>
                <w:rFonts w:hint="eastAsia" w:ascii="宋体" w:hAnsi="宋体" w:eastAsia="宋体" w:cs="宋体"/>
                <w:i w:val="0"/>
                <w:iCs w:val="0"/>
                <w:color w:val="auto"/>
                <w:sz w:val="24"/>
                <w:szCs w:val="24"/>
                <w:highlight w:val="none"/>
                <w:lang w:val="en-US" w:eastAsia="zh-CN"/>
              </w:rPr>
              <w:t xml:space="preserve">____； </w:t>
            </w:r>
          </w:p>
          <w:p w14:paraId="05151BC7">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 xml:space="preserve">2.是否需要随样品提交相关检测报告： </w:t>
            </w:r>
          </w:p>
          <w:p w14:paraId="6BA0925C">
            <w:pPr>
              <w:pStyle w:val="49"/>
              <w:ind w:firstLine="240" w:firstLineChars="100"/>
              <w:rPr>
                <w:rFonts w:hint="eastAsia" w:ascii="宋体" w:hAnsi="宋体" w:eastAsia="宋体" w:cs="宋体"/>
                <w:i w:val="0"/>
                <w:iCs w:val="0"/>
                <w:color w:val="auto"/>
                <w:sz w:val="24"/>
                <w:szCs w:val="24"/>
                <w:highlight w:val="none"/>
              </w:rPr>
            </w:pP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 xml:space="preserve">不需要 </w:t>
            </w:r>
          </w:p>
          <w:p w14:paraId="06025168">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 xml:space="preserve">□需要 </w:t>
            </w:r>
          </w:p>
          <w:p w14:paraId="7AFE7005">
            <w:pPr>
              <w:pStyle w:val="49"/>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3.样品递交要求：</w:t>
            </w:r>
          </w:p>
          <w:p w14:paraId="51A98755">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递交时间：</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w:t>
            </w:r>
          </w:p>
          <w:p w14:paraId="3827F693">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递交</w:t>
            </w:r>
            <w:r>
              <w:rPr>
                <w:rFonts w:hint="eastAsia" w:ascii="宋体" w:hAnsi="宋体" w:eastAsia="宋体" w:cs="宋体"/>
                <w:i w:val="0"/>
                <w:iCs w:val="0"/>
                <w:color w:val="auto"/>
                <w:sz w:val="24"/>
                <w:szCs w:val="24"/>
                <w:highlight w:val="none"/>
              </w:rPr>
              <w:t>地点：</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，逾期提供的样品将不予接受。</w:t>
            </w:r>
            <w:r>
              <w:rPr>
                <w:rFonts w:hint="eastAsia" w:ascii="宋体" w:hAnsi="宋体" w:eastAsia="宋体" w:cs="宋体"/>
                <w:i w:val="0"/>
                <w:iCs w:val="0"/>
                <w:color w:val="auto"/>
                <w:sz w:val="24"/>
                <w:szCs w:val="24"/>
                <w:highlight w:val="none"/>
                <w:lang w:val="en-US" w:eastAsia="zh-CN"/>
              </w:rPr>
              <w:t xml:space="preserve"> </w:t>
            </w:r>
          </w:p>
          <w:p w14:paraId="43C7823C">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4.未中标人样品退还：</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lang w:val="en-US" w:eastAsia="zh-CN"/>
              </w:rPr>
              <w:t xml:space="preserve">； </w:t>
            </w:r>
          </w:p>
          <w:p w14:paraId="5489CFDB">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5.中标人样品保管、封存及退还：</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lang w:val="en-US" w:eastAsia="zh-CN"/>
              </w:rPr>
              <w:t xml:space="preserve">； </w:t>
            </w:r>
          </w:p>
          <w:p w14:paraId="0276CD5C">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6.其他要求（如有）：</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lang w:val="en-US" w:eastAsia="zh-CN"/>
              </w:rPr>
              <w:t>。</w:t>
            </w:r>
          </w:p>
        </w:tc>
      </w:tr>
      <w:tr w14:paraId="3FB911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90"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23A07207">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23.1</w:t>
            </w:r>
          </w:p>
        </w:tc>
        <w:tc>
          <w:tcPr>
            <w:tcW w:w="1509" w:type="dxa"/>
            <w:tcBorders>
              <w:top w:val="single" w:color="auto" w:sz="2" w:space="0"/>
              <w:left w:val="single" w:color="auto" w:sz="2" w:space="0"/>
              <w:bottom w:val="single" w:color="auto" w:sz="2" w:space="0"/>
              <w:right w:val="single" w:color="auto" w:sz="2" w:space="0"/>
            </w:tcBorders>
            <w:vAlign w:val="center"/>
          </w:tcPr>
          <w:p w14:paraId="6A713EFA">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演示</w:t>
            </w:r>
          </w:p>
        </w:tc>
        <w:tc>
          <w:tcPr>
            <w:tcW w:w="6450" w:type="dxa"/>
            <w:tcBorders>
              <w:top w:val="single" w:color="auto" w:sz="2" w:space="0"/>
              <w:left w:val="single" w:color="auto" w:sz="2" w:space="0"/>
              <w:bottom w:val="single" w:color="auto" w:sz="2" w:space="0"/>
              <w:right w:val="single" w:color="auto" w:sz="2" w:space="0"/>
            </w:tcBorders>
            <w:vAlign w:val="center"/>
          </w:tcPr>
          <w:p w14:paraId="4CA2C99F">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sym w:font="Wingdings" w:char="00FE"/>
            </w:r>
            <w:r>
              <w:rPr>
                <w:rFonts w:hint="eastAsia" w:ascii="宋体" w:hAnsi="宋体" w:eastAsia="宋体" w:cs="宋体"/>
                <w:i w:val="0"/>
                <w:iCs w:val="0"/>
                <w:color w:val="auto"/>
                <w:sz w:val="24"/>
                <w:szCs w:val="24"/>
                <w:highlight w:val="none"/>
              </w:rPr>
              <w:t>不进行</w:t>
            </w:r>
          </w:p>
          <w:p w14:paraId="3A6BEDF3">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sym w:font="Wingdings" w:char="00A8"/>
            </w:r>
            <w:r>
              <w:rPr>
                <w:rFonts w:hint="eastAsia" w:ascii="宋体" w:hAnsi="宋体" w:eastAsia="宋体" w:cs="宋体"/>
                <w:i w:val="0"/>
                <w:iCs w:val="0"/>
                <w:color w:val="auto"/>
                <w:sz w:val="24"/>
                <w:szCs w:val="24"/>
                <w:highlight w:val="none"/>
              </w:rPr>
              <w:t>进行，远程线上演示/现场演示</w:t>
            </w:r>
          </w:p>
          <w:p w14:paraId="1FC0B9ED">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1.演示时间不得超过</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分钟。</w:t>
            </w:r>
          </w:p>
          <w:p w14:paraId="7427E3F1">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2.进行远程线上演示的，供应商应提前自行准备好演示的软硬配置环境和网络环境，做好演示的各项准备工作。因供应商自身原因无法演示或者演示效果不理想的，导致的后果由供应商自行承担。</w:t>
            </w:r>
          </w:p>
          <w:p w14:paraId="22621FDA">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3.进行现场演示的，演示人员不得超过</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rPr>
              <w:t>人，演示现场提供</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tc>
      </w:tr>
      <w:tr w14:paraId="57DD03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985"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16A857F5">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25.2</w:t>
            </w:r>
          </w:p>
        </w:tc>
        <w:tc>
          <w:tcPr>
            <w:tcW w:w="1509" w:type="dxa"/>
            <w:tcBorders>
              <w:top w:val="single" w:color="auto" w:sz="2" w:space="0"/>
              <w:left w:val="single" w:color="auto" w:sz="2" w:space="0"/>
              <w:bottom w:val="single" w:color="auto" w:sz="2" w:space="0"/>
              <w:right w:val="single" w:color="auto" w:sz="2" w:space="0"/>
            </w:tcBorders>
            <w:vAlign w:val="center"/>
          </w:tcPr>
          <w:p w14:paraId="7DF12E7C">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解密响应文件的时限</w:t>
            </w:r>
          </w:p>
        </w:tc>
        <w:tc>
          <w:tcPr>
            <w:tcW w:w="6450" w:type="dxa"/>
            <w:tcBorders>
              <w:top w:val="single" w:color="auto" w:sz="2" w:space="0"/>
              <w:left w:val="single" w:color="auto" w:sz="2" w:space="0"/>
              <w:bottom w:val="single" w:color="auto" w:sz="2" w:space="0"/>
              <w:right w:val="single" w:color="auto" w:sz="2" w:space="0"/>
            </w:tcBorders>
            <w:vAlign w:val="center"/>
          </w:tcPr>
          <w:p w14:paraId="18C76A93">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不见面开标默认解密时长：</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30</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分钟</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 xml:space="preserve"> </w:t>
            </w:r>
          </w:p>
          <w:p w14:paraId="04A83B42">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eastAsia="zh-CN"/>
              </w:rPr>
              <w:t>注：</w:t>
            </w:r>
            <w:r>
              <w:rPr>
                <w:rFonts w:hint="eastAsia" w:ascii="宋体" w:hAnsi="宋体" w:eastAsia="宋体" w:cs="宋体"/>
                <w:i w:val="0"/>
                <w:iCs w:val="0"/>
                <w:color w:val="auto"/>
                <w:sz w:val="24"/>
                <w:szCs w:val="24"/>
                <w:highlight w:val="none"/>
              </w:rPr>
              <w:t>除因交易平台发生故障导致响应文件无法按时解密外，响应文件未按时解密的，视为未按规定提交响应文件</w:t>
            </w:r>
            <w:r>
              <w:rPr>
                <w:rFonts w:hint="eastAsia" w:ascii="宋体" w:hAnsi="宋体" w:eastAsia="宋体" w:cs="宋体"/>
                <w:i w:val="0"/>
                <w:iCs w:val="0"/>
                <w:color w:val="auto"/>
                <w:sz w:val="24"/>
                <w:szCs w:val="24"/>
                <w:highlight w:val="none"/>
                <w:lang w:eastAsia="zh-CN"/>
              </w:rPr>
              <w:t>，响应无效。</w:t>
            </w:r>
          </w:p>
        </w:tc>
      </w:tr>
      <w:tr w14:paraId="646A21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616" w:hRule="atLeast"/>
          <w:jc w:val="center"/>
        </w:trPr>
        <w:tc>
          <w:tcPr>
            <w:tcW w:w="1005" w:type="dxa"/>
            <w:tcBorders>
              <w:top w:val="single" w:color="auto" w:sz="2" w:space="0"/>
              <w:left w:val="single" w:color="auto" w:sz="2" w:space="0"/>
              <w:bottom w:val="single" w:color="auto" w:sz="2" w:space="0"/>
              <w:right w:val="single" w:color="auto" w:sz="2" w:space="0"/>
            </w:tcBorders>
            <w:shd w:val="clear" w:color="auto" w:fill="auto"/>
            <w:vAlign w:val="center"/>
          </w:tcPr>
          <w:p w14:paraId="17A2381B">
            <w:pPr>
              <w:pStyle w:val="49"/>
              <w:jc w:val="center"/>
              <w:rPr>
                <w:rFonts w:hint="eastAsia" w:ascii="宋体" w:hAnsi="宋体" w:eastAsia="宋体" w:cs="宋体"/>
                <w:color w:val="auto"/>
                <w:kern w:val="2"/>
                <w:sz w:val="24"/>
                <w:szCs w:val="24"/>
                <w:highlight w:val="none"/>
                <w:lang w:val="en-US" w:eastAsia="zh-CN" w:bidi="ar-SA"/>
              </w:rPr>
            </w:pPr>
            <w:r>
              <w:rPr>
                <w:rFonts w:hint="eastAsia" w:cs="宋体"/>
                <w:color w:val="auto"/>
                <w:sz w:val="24"/>
                <w:szCs w:val="24"/>
                <w:highlight w:val="none"/>
                <w:lang w:val="en-US" w:eastAsia="zh-CN"/>
              </w:rPr>
              <w:t>29.1</w:t>
            </w:r>
          </w:p>
        </w:tc>
        <w:tc>
          <w:tcPr>
            <w:tcW w:w="1509" w:type="dxa"/>
            <w:tcBorders>
              <w:top w:val="single" w:color="auto" w:sz="2" w:space="0"/>
              <w:left w:val="single" w:color="auto" w:sz="2" w:space="0"/>
              <w:bottom w:val="single" w:color="auto" w:sz="2" w:space="0"/>
              <w:right w:val="single" w:color="auto" w:sz="2" w:space="0"/>
            </w:tcBorders>
            <w:shd w:val="clear" w:color="auto" w:fill="auto"/>
            <w:vAlign w:val="center"/>
          </w:tcPr>
          <w:p w14:paraId="6372B0DB">
            <w:pPr>
              <w:pStyle w:val="49"/>
              <w:rPr>
                <w:rFonts w:hint="eastAsia" w:ascii="宋体" w:hAnsi="宋体" w:eastAsia="宋体" w:cs="宋体"/>
                <w:color w:val="auto"/>
                <w:kern w:val="2"/>
                <w:sz w:val="24"/>
                <w:szCs w:val="24"/>
                <w:highlight w:val="none"/>
                <w:lang w:val="en-US" w:eastAsia="zh-CN" w:bidi="ar-SA"/>
              </w:rPr>
            </w:pPr>
            <w:r>
              <w:rPr>
                <w:rFonts w:hint="eastAsia" w:cs="宋体"/>
                <w:color w:val="auto"/>
                <w:sz w:val="24"/>
                <w:szCs w:val="24"/>
                <w:highlight w:val="none"/>
                <w:lang w:val="en-US" w:eastAsia="zh-CN"/>
              </w:rPr>
              <w:t>磋商轮次及磋商顺序</w:t>
            </w:r>
          </w:p>
        </w:tc>
        <w:tc>
          <w:tcPr>
            <w:tcW w:w="6450" w:type="dxa"/>
            <w:tcBorders>
              <w:top w:val="single" w:color="auto" w:sz="2" w:space="0"/>
              <w:left w:val="single" w:color="auto" w:sz="2" w:space="0"/>
              <w:bottom w:val="single" w:color="auto" w:sz="2" w:space="0"/>
              <w:right w:val="single" w:color="auto" w:sz="2" w:space="0"/>
            </w:tcBorders>
            <w:shd w:val="clear" w:color="auto" w:fill="auto"/>
            <w:vAlign w:val="center"/>
          </w:tcPr>
          <w:p w14:paraId="3D885E18">
            <w:pPr>
              <w:pStyle w:val="49"/>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磋商轮次：</w:t>
            </w:r>
          </w:p>
          <w:p w14:paraId="5CE90569">
            <w:pPr>
              <w:pStyle w:val="49"/>
              <w:ind w:firstLine="240" w:firstLineChars="100"/>
              <w:rPr>
                <w:rFonts w:hint="eastAsia" w:cs="宋体"/>
                <w:color w:val="auto"/>
                <w:sz w:val="24"/>
                <w:szCs w:val="24"/>
                <w:highlight w:val="none"/>
                <w:lang w:val="en-US" w:eastAsia="zh-CN"/>
              </w:rPr>
            </w:pPr>
            <w:r>
              <w:rPr>
                <w:rFonts w:hint="eastAsia" w:ascii="宋体" w:hAnsi="宋体" w:eastAsia="宋体" w:cs="宋体"/>
                <w:color w:val="auto"/>
                <w:sz w:val="24"/>
                <w:szCs w:val="24"/>
                <w:highlight w:val="none"/>
              </w:rPr>
              <w:sym w:font="Wingdings" w:char="00A8"/>
            </w:r>
            <w:r>
              <w:rPr>
                <w:rFonts w:hint="eastAsia" w:cs="宋体"/>
                <w:color w:val="auto"/>
                <w:sz w:val="24"/>
                <w:szCs w:val="24"/>
                <w:highlight w:val="none"/>
                <w:lang w:val="en-US" w:eastAsia="zh-CN"/>
              </w:rPr>
              <w:t>本项目共进行</w:t>
            </w:r>
            <w:r>
              <w:rPr>
                <w:rFonts w:hint="eastAsia" w:cs="宋体"/>
                <w:color w:val="auto"/>
                <w:sz w:val="24"/>
                <w:szCs w:val="24"/>
                <w:highlight w:val="none"/>
                <w:u w:val="single"/>
                <w:lang w:val="en-US" w:eastAsia="zh-CN"/>
              </w:rPr>
              <w:t xml:space="preserve">   </w:t>
            </w:r>
            <w:r>
              <w:rPr>
                <w:rFonts w:hint="default"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轮磋商。</w:t>
            </w:r>
          </w:p>
          <w:p w14:paraId="276FFCA4">
            <w:pPr>
              <w:pStyle w:val="49"/>
              <w:ind w:firstLine="240" w:firstLineChars="100"/>
              <w:rPr>
                <w:rFonts w:hint="eastAsia" w:cs="宋体"/>
                <w:color w:val="auto"/>
                <w:sz w:val="24"/>
                <w:szCs w:val="24"/>
                <w:highlight w:val="none"/>
                <w:lang w:eastAsia="zh-CN"/>
              </w:rPr>
            </w:pP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lang w:eastAsia="zh-CN"/>
              </w:rPr>
              <w:t>本项目不事先确定</w:t>
            </w:r>
            <w:r>
              <w:rPr>
                <w:rFonts w:hint="eastAsia" w:cs="宋体"/>
                <w:color w:val="auto"/>
                <w:sz w:val="24"/>
                <w:szCs w:val="24"/>
                <w:highlight w:val="none"/>
                <w:lang w:val="en-US" w:eastAsia="zh-CN"/>
              </w:rPr>
              <w:t>磋商</w:t>
            </w:r>
            <w:r>
              <w:rPr>
                <w:rFonts w:hint="eastAsia" w:ascii="宋体" w:hAnsi="宋体" w:eastAsia="宋体" w:cs="宋体"/>
                <w:color w:val="auto"/>
                <w:sz w:val="24"/>
                <w:szCs w:val="24"/>
                <w:highlight w:val="none"/>
                <w:lang w:eastAsia="zh-CN"/>
              </w:rPr>
              <w:t>轮次，</w:t>
            </w:r>
            <w:r>
              <w:rPr>
                <w:rFonts w:hint="eastAsia" w:cs="宋体"/>
                <w:color w:val="auto"/>
                <w:sz w:val="24"/>
                <w:szCs w:val="24"/>
                <w:highlight w:val="none"/>
                <w:lang w:val="en-US" w:eastAsia="zh-CN"/>
              </w:rPr>
              <w:t>磋商</w:t>
            </w:r>
            <w:r>
              <w:rPr>
                <w:rFonts w:hint="eastAsia" w:ascii="宋体" w:hAnsi="宋体" w:eastAsia="宋体" w:cs="宋体"/>
                <w:color w:val="auto"/>
                <w:sz w:val="24"/>
                <w:szCs w:val="24"/>
                <w:highlight w:val="none"/>
                <w:lang w:eastAsia="zh-CN"/>
              </w:rPr>
              <w:t>小组根据</w:t>
            </w:r>
            <w:r>
              <w:rPr>
                <w:rFonts w:hint="eastAsia" w:cs="宋体"/>
                <w:color w:val="auto"/>
                <w:sz w:val="24"/>
                <w:szCs w:val="24"/>
                <w:highlight w:val="none"/>
                <w:lang w:val="en-US" w:eastAsia="zh-CN"/>
              </w:rPr>
              <w:t>磋商</w:t>
            </w:r>
            <w:r>
              <w:rPr>
                <w:rFonts w:hint="eastAsia" w:ascii="宋体" w:hAnsi="宋体" w:eastAsia="宋体" w:cs="宋体"/>
                <w:color w:val="auto"/>
                <w:sz w:val="24"/>
                <w:szCs w:val="24"/>
                <w:highlight w:val="none"/>
                <w:lang w:eastAsia="zh-CN"/>
              </w:rPr>
              <w:t>情况确定，并在最后一轮</w:t>
            </w:r>
            <w:r>
              <w:rPr>
                <w:rFonts w:hint="eastAsia" w:cs="宋体"/>
                <w:color w:val="auto"/>
                <w:sz w:val="24"/>
                <w:szCs w:val="24"/>
                <w:highlight w:val="none"/>
                <w:lang w:val="en-US" w:eastAsia="zh-CN"/>
              </w:rPr>
              <w:t>磋商</w:t>
            </w:r>
            <w:r>
              <w:rPr>
                <w:rFonts w:hint="eastAsia" w:ascii="宋体" w:hAnsi="宋体" w:eastAsia="宋体" w:cs="宋体"/>
                <w:color w:val="auto"/>
                <w:sz w:val="24"/>
                <w:szCs w:val="24"/>
                <w:highlight w:val="none"/>
                <w:lang w:eastAsia="zh-CN"/>
              </w:rPr>
              <w:t>前告知供应商</w:t>
            </w:r>
            <w:r>
              <w:rPr>
                <w:rFonts w:hint="eastAsia" w:cs="宋体"/>
                <w:color w:val="auto"/>
                <w:sz w:val="24"/>
                <w:szCs w:val="24"/>
                <w:highlight w:val="none"/>
                <w:lang w:eastAsia="zh-CN"/>
              </w:rPr>
              <w:t>。</w:t>
            </w:r>
          </w:p>
          <w:p w14:paraId="3C4A8E00">
            <w:pPr>
              <w:pStyle w:val="49"/>
              <w:keepNext w:val="0"/>
              <w:keepLines w:val="0"/>
              <w:pageBreakBefore w:val="0"/>
              <w:widowControl w:val="0"/>
              <w:kinsoku/>
              <w:wordWrap/>
              <w:overflowPunct/>
              <w:topLinePunct w:val="0"/>
              <w:autoSpaceDE/>
              <w:autoSpaceDN/>
              <w:bidi w:val="0"/>
              <w:adjustRightInd/>
              <w:snapToGrid/>
              <w:spacing w:before="157" w:beforeLines="50"/>
              <w:textAlignment w:val="auto"/>
              <w:rPr>
                <w:rFonts w:hint="eastAsia" w:ascii="宋体" w:hAnsi="宋体" w:eastAsia="宋体" w:cs="宋体"/>
                <w:color w:val="auto"/>
                <w:kern w:val="2"/>
                <w:sz w:val="24"/>
                <w:szCs w:val="24"/>
                <w:highlight w:val="none"/>
                <w:u w:val="none"/>
                <w:lang w:val="en-US" w:eastAsia="zh-CN" w:bidi="ar-SA"/>
              </w:rPr>
            </w:pPr>
            <w:r>
              <w:rPr>
                <w:rFonts w:hint="eastAsia" w:cs="宋体"/>
                <w:color w:val="auto"/>
                <w:sz w:val="24"/>
                <w:szCs w:val="24"/>
                <w:highlight w:val="none"/>
                <w:lang w:val="en-US" w:eastAsia="zh-CN"/>
              </w:rPr>
              <w:t>磋商顺序：</w:t>
            </w:r>
            <w:r>
              <w:rPr>
                <w:rFonts w:hint="eastAsia" w:cs="宋体"/>
                <w:color w:val="auto"/>
                <w:sz w:val="24"/>
                <w:szCs w:val="24"/>
                <w:highlight w:val="none"/>
                <w:u w:val="single"/>
                <w:lang w:val="en-US" w:eastAsia="zh-CN"/>
              </w:rPr>
              <w:t xml:space="preserve">按评审顺序 </w:t>
            </w:r>
            <w:r>
              <w:rPr>
                <w:rFonts w:hint="eastAsia" w:cs="宋体"/>
                <w:color w:val="auto"/>
                <w:sz w:val="24"/>
                <w:szCs w:val="24"/>
                <w:highlight w:val="none"/>
                <w:u w:val="none"/>
                <w:lang w:val="en-US" w:eastAsia="zh-CN"/>
              </w:rPr>
              <w:t>。</w:t>
            </w:r>
          </w:p>
        </w:tc>
      </w:tr>
      <w:tr w14:paraId="051E6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38"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338CE03F">
            <w:pPr>
              <w:pStyle w:val="49"/>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29.2</w:t>
            </w:r>
          </w:p>
        </w:tc>
        <w:tc>
          <w:tcPr>
            <w:tcW w:w="1509" w:type="dxa"/>
            <w:tcBorders>
              <w:top w:val="single" w:color="auto" w:sz="2" w:space="0"/>
              <w:left w:val="single" w:color="auto" w:sz="2" w:space="0"/>
              <w:bottom w:val="single" w:color="auto" w:sz="2" w:space="0"/>
              <w:right w:val="single" w:color="auto" w:sz="2" w:space="0"/>
            </w:tcBorders>
            <w:vAlign w:val="center"/>
          </w:tcPr>
          <w:p w14:paraId="3DA2CC63">
            <w:pPr>
              <w:pStyle w:val="49"/>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推荐成交候选供应商</w:t>
            </w:r>
          </w:p>
        </w:tc>
        <w:tc>
          <w:tcPr>
            <w:tcW w:w="6450" w:type="dxa"/>
            <w:tcBorders>
              <w:top w:val="single" w:color="auto" w:sz="2" w:space="0"/>
              <w:left w:val="single" w:color="auto" w:sz="2" w:space="0"/>
              <w:bottom w:val="single" w:color="auto" w:sz="2" w:space="0"/>
              <w:right w:val="single" w:color="auto" w:sz="2" w:space="0"/>
            </w:tcBorders>
            <w:vAlign w:val="center"/>
          </w:tcPr>
          <w:p w14:paraId="5436E706">
            <w:pPr>
              <w:pStyle w:val="49"/>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lang w:val="en-US" w:eastAsia="zh-CN"/>
              </w:rPr>
              <w:t>成交候选供应商数量</w:t>
            </w:r>
            <w:r>
              <w:rPr>
                <w:rFonts w:hint="eastAsia" w:ascii="宋体" w:hAnsi="宋体" w:eastAsia="宋体" w:cs="宋体"/>
                <w:i w:val="0"/>
                <w:iCs w:val="0"/>
                <w:color w:val="auto"/>
                <w:sz w:val="24"/>
                <w:szCs w:val="24"/>
                <w:highlight w:val="none"/>
                <w:u w:val="single"/>
                <w:lang w:val="en-US" w:eastAsia="zh-CN"/>
              </w:rPr>
              <w:t xml:space="preserve">  </w:t>
            </w:r>
            <w:r>
              <w:rPr>
                <w:rFonts w:hint="eastAsia" w:cs="宋体"/>
                <w:i w:val="0"/>
                <w:iCs w:val="0"/>
                <w:color w:val="auto"/>
                <w:sz w:val="24"/>
                <w:szCs w:val="24"/>
                <w:highlight w:val="none"/>
                <w:u w:val="single"/>
                <w:lang w:val="en-US" w:eastAsia="zh-CN"/>
              </w:rPr>
              <w:t>3</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none"/>
                <w:lang w:val="en-US" w:eastAsia="zh-CN"/>
              </w:rPr>
              <w:t>家</w:t>
            </w:r>
          </w:p>
        </w:tc>
      </w:tr>
      <w:tr w14:paraId="7A6EF6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110"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18FF962F">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30</w:t>
            </w:r>
            <w:r>
              <w:rPr>
                <w:rFonts w:hint="eastAsia" w:ascii="宋体" w:hAnsi="宋体" w:eastAsia="宋体" w:cs="宋体"/>
                <w:i w:val="0"/>
                <w:iCs w:val="0"/>
                <w:color w:val="auto"/>
                <w:sz w:val="24"/>
                <w:szCs w:val="24"/>
                <w:highlight w:val="none"/>
              </w:rPr>
              <w:t>.1</w:t>
            </w:r>
          </w:p>
        </w:tc>
        <w:tc>
          <w:tcPr>
            <w:tcW w:w="1509" w:type="dxa"/>
            <w:tcBorders>
              <w:top w:val="single" w:color="auto" w:sz="2" w:space="0"/>
              <w:left w:val="single" w:color="auto" w:sz="2" w:space="0"/>
              <w:bottom w:val="single" w:color="auto" w:sz="2" w:space="0"/>
              <w:right w:val="single" w:color="auto" w:sz="2" w:space="0"/>
            </w:tcBorders>
            <w:vAlign w:val="center"/>
          </w:tcPr>
          <w:p w14:paraId="22D67B72">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确定成交供应商</w:t>
            </w:r>
          </w:p>
        </w:tc>
        <w:tc>
          <w:tcPr>
            <w:tcW w:w="6450" w:type="dxa"/>
            <w:tcBorders>
              <w:top w:val="single" w:color="auto" w:sz="2" w:space="0"/>
              <w:left w:val="single" w:color="auto" w:sz="2" w:space="0"/>
              <w:bottom w:val="single" w:color="auto" w:sz="2" w:space="0"/>
              <w:right w:val="single" w:color="auto" w:sz="2" w:space="0"/>
            </w:tcBorders>
            <w:vAlign w:val="center"/>
          </w:tcPr>
          <w:p w14:paraId="45897BC0">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sym w:font="Wingdings" w:char="00FE"/>
            </w:r>
            <w:r>
              <w:rPr>
                <w:rFonts w:hint="eastAsia" w:ascii="宋体" w:hAnsi="宋体" w:eastAsia="宋体" w:cs="宋体"/>
                <w:i w:val="0"/>
                <w:iCs w:val="0"/>
                <w:color w:val="auto"/>
                <w:sz w:val="24"/>
                <w:szCs w:val="24"/>
                <w:highlight w:val="none"/>
              </w:rPr>
              <w:t>采购人</w:t>
            </w:r>
            <w:r>
              <w:rPr>
                <w:rFonts w:hint="eastAsia" w:ascii="宋体" w:hAnsi="宋体" w:eastAsia="宋体" w:cs="宋体"/>
                <w:i w:val="0"/>
                <w:iCs w:val="0"/>
                <w:color w:val="auto"/>
                <w:sz w:val="24"/>
                <w:szCs w:val="24"/>
                <w:highlight w:val="none"/>
                <w:lang w:eastAsia="zh-CN"/>
              </w:rPr>
              <w:t>在</w:t>
            </w:r>
            <w:r>
              <w:rPr>
                <w:rFonts w:hint="eastAsia" w:ascii="宋体" w:hAnsi="宋体" w:eastAsia="宋体" w:cs="宋体"/>
                <w:i w:val="0"/>
                <w:iCs w:val="0"/>
                <w:color w:val="auto"/>
                <w:sz w:val="24"/>
                <w:szCs w:val="24"/>
                <w:highlight w:val="none"/>
              </w:rPr>
              <w:t>收到评审报告后5个工作日内，按评审报告中推荐的成交候选人排序确定成交供应商。</w:t>
            </w:r>
          </w:p>
          <w:p w14:paraId="7B648D12">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sym w:font="Wingdings" w:char="00A8"/>
            </w:r>
            <w:r>
              <w:rPr>
                <w:rFonts w:hint="eastAsia" w:ascii="宋体" w:hAnsi="宋体" w:eastAsia="宋体" w:cs="宋体"/>
                <w:i w:val="0"/>
                <w:iCs w:val="0"/>
                <w:color w:val="auto"/>
                <w:sz w:val="24"/>
                <w:szCs w:val="24"/>
                <w:highlight w:val="none"/>
              </w:rPr>
              <w:t>采购人委托磋商小组直接确定成交供应商。</w:t>
            </w:r>
          </w:p>
        </w:tc>
      </w:tr>
      <w:tr w14:paraId="3C9F0E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636"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1BE92F8E">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.1</w:t>
            </w:r>
          </w:p>
        </w:tc>
        <w:tc>
          <w:tcPr>
            <w:tcW w:w="1509" w:type="dxa"/>
            <w:tcBorders>
              <w:top w:val="single" w:color="auto" w:sz="2" w:space="0"/>
              <w:left w:val="single" w:color="auto" w:sz="2" w:space="0"/>
              <w:bottom w:val="single" w:color="auto" w:sz="2" w:space="0"/>
              <w:right w:val="single" w:color="auto" w:sz="2" w:space="0"/>
            </w:tcBorders>
            <w:vAlign w:val="center"/>
          </w:tcPr>
          <w:p w14:paraId="4B212BA7">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履约保证金</w:t>
            </w:r>
          </w:p>
        </w:tc>
        <w:tc>
          <w:tcPr>
            <w:tcW w:w="6450" w:type="dxa"/>
            <w:tcBorders>
              <w:top w:val="single" w:color="auto" w:sz="2" w:space="0"/>
              <w:left w:val="single" w:color="auto" w:sz="2" w:space="0"/>
              <w:bottom w:val="single" w:color="auto" w:sz="2" w:space="0"/>
              <w:right w:val="single" w:color="auto" w:sz="2" w:space="0"/>
            </w:tcBorders>
            <w:vAlign w:val="center"/>
          </w:tcPr>
          <w:p w14:paraId="7219BB77">
            <w:pPr>
              <w:pStyle w:val="49"/>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金额：</w:t>
            </w:r>
          </w:p>
          <w:p w14:paraId="55C7A328">
            <w:pPr>
              <w:pStyle w:val="49"/>
              <w:ind w:firstLine="240" w:firstLineChars="100"/>
              <w:rPr>
                <w:rFonts w:hint="eastAsia" w:ascii="宋体" w:hAnsi="宋体" w:eastAsia="宋体" w:cs="宋体"/>
                <w:i w:val="0"/>
                <w:iCs w:val="0"/>
                <w:color w:val="auto"/>
                <w:sz w:val="24"/>
                <w:szCs w:val="24"/>
                <w:highlight w:val="none"/>
              </w:rPr>
            </w:pPr>
            <w:r>
              <w:rPr>
                <w:rFonts w:hint="eastAsia"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免收</w:t>
            </w:r>
          </w:p>
          <w:p w14:paraId="40861AA9">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□合同价的</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rPr>
              <w:t xml:space="preserve">  %</w:t>
            </w:r>
          </w:p>
          <w:p w14:paraId="310948D5">
            <w:pPr>
              <w:pStyle w:val="49"/>
              <w:ind w:firstLine="240" w:firstLineChars="1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□定额收取：</w:t>
            </w:r>
            <w:r>
              <w:rPr>
                <w:rFonts w:hint="eastAsia" w:ascii="宋体" w:hAnsi="宋体" w:eastAsia="宋体" w:cs="宋体"/>
                <w:i w:val="0"/>
                <w:iCs w:val="0"/>
                <w:color w:val="auto"/>
                <w:sz w:val="24"/>
                <w:szCs w:val="24"/>
                <w:highlight w:val="none"/>
                <w:u w:val="single"/>
              </w:rPr>
              <w:t>人民币           元</w:t>
            </w:r>
          </w:p>
          <w:p w14:paraId="01EC9B6A">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支付方式：</w:t>
            </w:r>
          </w:p>
          <w:p w14:paraId="7CBF247E">
            <w:pPr>
              <w:pStyle w:val="60"/>
              <w:keepNext w:val="0"/>
              <w:keepLines w:val="0"/>
              <w:pageBreakBefore w:val="0"/>
              <w:widowControl w:val="0"/>
              <w:shd w:val="clear" w:color="auto" w:fill="auto"/>
              <w:kinsoku/>
              <w:wordWrap/>
              <w:overflowPunct/>
              <w:topLinePunct w:val="0"/>
              <w:autoSpaceDE/>
              <w:autoSpaceDN/>
              <w:bidi w:val="0"/>
              <w:adjustRightInd/>
              <w:snapToGrid/>
              <w:spacing w:line="340" w:lineRule="exact"/>
              <w:ind w:firstLine="240" w:firstLineChars="1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供应商可自主选择以支票、汇票、本票、电汇、转账、网银、保函等非现金形式缴纳或提交保证金。</w:t>
            </w:r>
          </w:p>
          <w:p w14:paraId="022A280B">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收取单位：</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 xml:space="preserve">                            </w:t>
            </w:r>
          </w:p>
          <w:p w14:paraId="369A0A08">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4.收取账号：</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 xml:space="preserve">              </w:t>
            </w:r>
          </w:p>
          <w:p w14:paraId="2B32E4CF">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 xml:space="preserve">退还时间： </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 xml:space="preserve">             </w:t>
            </w:r>
          </w:p>
          <w:p w14:paraId="6DE3214A">
            <w:pPr>
              <w:pStyle w:val="49"/>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注意事项：</w:t>
            </w:r>
          </w:p>
          <w:p w14:paraId="3660A696">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以上各类机构出具的以担保函、保证保险承担责任的方式均须满足无条件见索即付条件。</w:t>
            </w:r>
          </w:p>
          <w:p w14:paraId="45AF22F5">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以担保函、保证保险形式缴纳履约保证金的，受益人和收取单位须为采购人。</w:t>
            </w:r>
          </w:p>
        </w:tc>
      </w:tr>
      <w:tr w14:paraId="21E35C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796"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498BFF14">
            <w:pPr>
              <w:pStyle w:val="49"/>
              <w:jc w:val="cente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rPr>
              <w:t>34.5</w:t>
            </w:r>
          </w:p>
        </w:tc>
        <w:tc>
          <w:tcPr>
            <w:tcW w:w="1509" w:type="dxa"/>
            <w:tcBorders>
              <w:top w:val="single" w:color="auto" w:sz="2" w:space="0"/>
              <w:left w:val="single" w:color="auto" w:sz="2" w:space="0"/>
              <w:bottom w:val="single" w:color="auto" w:sz="2" w:space="0"/>
              <w:right w:val="single" w:color="auto" w:sz="2" w:space="0"/>
            </w:tcBorders>
            <w:vAlign w:val="center"/>
          </w:tcPr>
          <w:p w14:paraId="205B8CB7">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rPr>
              <w:t>合同分包</w:t>
            </w:r>
          </w:p>
        </w:tc>
        <w:tc>
          <w:tcPr>
            <w:tcW w:w="6450" w:type="dxa"/>
            <w:tcBorders>
              <w:top w:val="single" w:color="auto" w:sz="2" w:space="0"/>
              <w:left w:val="single" w:color="auto" w:sz="2" w:space="0"/>
              <w:bottom w:val="single" w:color="auto" w:sz="2" w:space="0"/>
              <w:right w:val="single" w:color="auto" w:sz="2" w:space="0"/>
            </w:tcBorders>
            <w:vAlign w:val="center"/>
          </w:tcPr>
          <w:p w14:paraId="0E36C0DF">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本项目的非主体、非关键性工作是否允许分包： </w:t>
            </w:r>
          </w:p>
          <w:p w14:paraId="66A0C0DF">
            <w:pPr>
              <w:pStyle w:val="49"/>
              <w:ind w:firstLine="480" w:firstLineChars="200"/>
              <w:rPr>
                <w:rFonts w:hint="eastAsia" w:ascii="宋体" w:hAnsi="宋体" w:eastAsia="宋体" w:cs="宋体"/>
                <w:i w:val="0"/>
                <w:iCs w:val="0"/>
                <w:color w:val="auto"/>
                <w:kern w:val="2"/>
                <w:sz w:val="24"/>
                <w:szCs w:val="24"/>
                <w:highlight w:val="none"/>
                <w:lang w:val="en-US" w:eastAsia="zh-CN" w:bidi="ar-SA"/>
              </w:rPr>
            </w:pPr>
            <w:r>
              <w:rPr>
                <w:rFonts w:hint="eastAsia" w:cs="宋体"/>
                <w:i w:val="0"/>
                <w:iCs w:val="0"/>
                <w:color w:val="auto"/>
                <w:kern w:val="2"/>
                <w:sz w:val="24"/>
                <w:szCs w:val="24"/>
                <w:highlight w:val="none"/>
                <w:lang w:val="en-US" w:eastAsia="zh-CN" w:bidi="ar-SA"/>
              </w:rPr>
              <w:t>☑</w:t>
            </w:r>
            <w:r>
              <w:rPr>
                <w:rFonts w:hint="eastAsia" w:ascii="宋体" w:hAnsi="宋体" w:eastAsia="宋体" w:cs="宋体"/>
                <w:i w:val="0"/>
                <w:iCs w:val="0"/>
                <w:color w:val="auto"/>
                <w:kern w:val="2"/>
                <w:sz w:val="24"/>
                <w:szCs w:val="24"/>
                <w:highlight w:val="none"/>
                <w:lang w:val="en-US" w:eastAsia="zh-CN" w:bidi="ar-SA"/>
              </w:rPr>
              <w:t xml:space="preserve">不允许 </w:t>
            </w:r>
          </w:p>
          <w:p w14:paraId="213CF58A">
            <w:pPr>
              <w:pStyle w:val="49"/>
              <w:ind w:firstLine="480"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□允许，具体要求： </w:t>
            </w:r>
          </w:p>
          <w:p w14:paraId="29956FBB">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     1.可以分包履行的具体内容：_____； </w:t>
            </w:r>
          </w:p>
          <w:p w14:paraId="519F6AE8">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     2.允许分包的金额或者比例：_____； </w:t>
            </w:r>
          </w:p>
          <w:p w14:paraId="42BBDA50">
            <w:pPr>
              <w:pStyle w:val="49"/>
              <w:ind w:firstLine="480" w:firstLineChars="2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 3.其他要求：_____。</w:t>
            </w:r>
          </w:p>
        </w:tc>
      </w:tr>
      <w:tr w14:paraId="795969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2938FEE7">
            <w:pPr>
              <w:pStyle w:val="49"/>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35.1</w:t>
            </w:r>
          </w:p>
        </w:tc>
        <w:tc>
          <w:tcPr>
            <w:tcW w:w="1509" w:type="dxa"/>
            <w:tcBorders>
              <w:top w:val="single" w:color="auto" w:sz="2" w:space="0"/>
              <w:left w:val="single" w:color="auto" w:sz="2" w:space="0"/>
              <w:bottom w:val="single" w:color="auto" w:sz="2" w:space="0"/>
              <w:right w:val="single" w:color="auto" w:sz="2" w:space="0"/>
            </w:tcBorders>
            <w:vAlign w:val="center"/>
          </w:tcPr>
          <w:p w14:paraId="07650BCB">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rPr>
              <w:t>质疑</w:t>
            </w:r>
          </w:p>
        </w:tc>
        <w:tc>
          <w:tcPr>
            <w:tcW w:w="6450" w:type="dxa"/>
            <w:tcBorders>
              <w:top w:val="single" w:color="auto" w:sz="2" w:space="0"/>
              <w:left w:val="single" w:color="auto" w:sz="2" w:space="0"/>
              <w:bottom w:val="single" w:color="auto" w:sz="2" w:space="0"/>
              <w:right w:val="single" w:color="auto" w:sz="2" w:space="0"/>
            </w:tcBorders>
            <w:vAlign w:val="center"/>
          </w:tcPr>
          <w:p w14:paraId="28C8CCF7">
            <w:pPr>
              <w:pStyle w:val="57"/>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供应商若对招标文件内容质疑，须按以下要求提出：</w:t>
            </w:r>
          </w:p>
          <w:p w14:paraId="34235E51">
            <w:pPr>
              <w:pStyle w:val="57"/>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①接收质疑函的方式：将PDF格式电子版质疑文件加盖公章扫描发送至xinjiangyuelong123@163.com。</w:t>
            </w:r>
          </w:p>
          <w:p w14:paraId="30B95896">
            <w:pPr>
              <w:pStyle w:val="57"/>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质疑函应以书面形式（详见投标须知第14.1款）通知采购代理机构。采购代理机构将在收到质疑函后7个工作日内作出答复，并以书面形式通知质疑供应商和其他有关供应商。</w:t>
            </w:r>
          </w:p>
          <w:p w14:paraId="539B4414">
            <w:pPr>
              <w:pStyle w:val="57"/>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②供应商应在法定质疑期内一次性提出所有质疑内容。</w:t>
            </w:r>
          </w:p>
          <w:p w14:paraId="7D357C34">
            <w:pPr>
              <w:pStyle w:val="57"/>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b/>
                <w:bCs/>
                <w:i w:val="0"/>
                <w:iCs w:val="0"/>
                <w:color w:val="auto"/>
                <w:kern w:val="2"/>
                <w:sz w:val="24"/>
                <w:szCs w:val="24"/>
                <w:highlight w:val="none"/>
                <w:lang w:val="zh-CN" w:eastAsia="zh-CN" w:bidi="ar-SA"/>
              </w:rPr>
            </w:pPr>
            <w:r>
              <w:rPr>
                <w:rFonts w:hint="eastAsia" w:ascii="宋体" w:hAnsi="宋体" w:eastAsia="宋体" w:cs="宋体"/>
                <w:b/>
                <w:bCs/>
                <w:i w:val="0"/>
                <w:iCs w:val="0"/>
                <w:color w:val="auto"/>
                <w:kern w:val="2"/>
                <w:sz w:val="24"/>
                <w:szCs w:val="24"/>
                <w:highlight w:val="none"/>
                <w:lang w:val="zh-CN" w:eastAsia="zh-CN" w:bidi="ar-SA"/>
              </w:rPr>
              <w:t>③联系部门：新疆悦隆项目管理有限公司</w:t>
            </w:r>
          </w:p>
          <w:p w14:paraId="347D305A">
            <w:pPr>
              <w:pStyle w:val="57"/>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④联系电话：17726895071</w:t>
            </w:r>
          </w:p>
          <w:p w14:paraId="6AF53B60">
            <w:pPr>
              <w:pStyle w:val="57"/>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⑤通讯地址：新疆乌鲁木齐市水磨沟区红光山路888号绿城广场01栋1#商业综合楼（A、B座)A单元商务办公2003室-2号房（中国（新疆）自由贸易试验区）</w:t>
            </w:r>
          </w:p>
        </w:tc>
      </w:tr>
      <w:tr w14:paraId="6451EE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6E895B1F">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.1</w:t>
            </w:r>
          </w:p>
        </w:tc>
        <w:tc>
          <w:tcPr>
            <w:tcW w:w="1509" w:type="dxa"/>
            <w:tcBorders>
              <w:top w:val="single" w:color="auto" w:sz="2" w:space="0"/>
              <w:left w:val="single" w:color="auto" w:sz="2" w:space="0"/>
              <w:bottom w:val="single" w:color="auto" w:sz="2" w:space="0"/>
              <w:right w:val="single" w:color="auto" w:sz="2" w:space="0"/>
            </w:tcBorders>
            <w:vAlign w:val="center"/>
          </w:tcPr>
          <w:p w14:paraId="06A498BD">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采购代理服务费收取方式和标准</w:t>
            </w:r>
          </w:p>
        </w:tc>
        <w:tc>
          <w:tcPr>
            <w:tcW w:w="6450" w:type="dxa"/>
            <w:tcBorders>
              <w:top w:val="single" w:color="auto" w:sz="2" w:space="0"/>
              <w:left w:val="single" w:color="auto" w:sz="2" w:space="0"/>
              <w:bottom w:val="single" w:color="auto" w:sz="2" w:space="0"/>
              <w:right w:val="single" w:color="auto" w:sz="2" w:space="0"/>
            </w:tcBorders>
            <w:vAlign w:val="center"/>
          </w:tcPr>
          <w:p w14:paraId="6B69FC17">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收</w:t>
            </w:r>
            <w:r>
              <w:rPr>
                <w:rFonts w:hint="eastAsia" w:ascii="宋体" w:hAnsi="宋体" w:eastAsia="宋体" w:cs="宋体"/>
                <w:i w:val="0"/>
                <w:iCs w:val="0"/>
                <w:color w:val="auto"/>
                <w:sz w:val="24"/>
                <w:szCs w:val="24"/>
                <w:highlight w:val="none"/>
              </w:rPr>
              <w:t>费</w:t>
            </w:r>
            <w:r>
              <w:rPr>
                <w:rFonts w:hint="eastAsia" w:ascii="宋体" w:hAnsi="宋体" w:eastAsia="宋体" w:cs="宋体"/>
                <w:i w:val="0"/>
                <w:iCs w:val="0"/>
                <w:color w:val="auto"/>
                <w:sz w:val="24"/>
                <w:szCs w:val="24"/>
                <w:highlight w:val="none"/>
                <w:lang w:val="en-US" w:eastAsia="zh-CN"/>
              </w:rPr>
              <w:t>对象</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rPr>
              <w:sym w:font="Wingdings" w:char="00A8"/>
            </w:r>
            <w:r>
              <w:rPr>
                <w:rFonts w:hint="eastAsia" w:ascii="宋体" w:hAnsi="宋体" w:eastAsia="宋体" w:cs="宋体"/>
                <w:i w:val="0"/>
                <w:iCs w:val="0"/>
                <w:color w:val="auto"/>
                <w:sz w:val="24"/>
                <w:szCs w:val="24"/>
                <w:highlight w:val="none"/>
              </w:rPr>
              <w:t xml:space="preserve">采购人支付 </w:t>
            </w:r>
            <w:r>
              <w:rPr>
                <w:rFonts w:hint="eastAsia" w:ascii="宋体" w:hAnsi="宋体" w:eastAsia="宋体" w:cs="宋体"/>
                <w:i w:val="0"/>
                <w:iCs w:val="0"/>
                <w:color w:val="auto"/>
                <w:sz w:val="24"/>
                <w:szCs w:val="24"/>
                <w:highlight w:val="none"/>
              </w:rPr>
              <w:sym w:font="Wingdings" w:char="00FE"/>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 xml:space="preserve">人支付 </w:t>
            </w:r>
          </w:p>
          <w:p w14:paraId="1C3FE37B">
            <w:pPr>
              <w:pStyle w:val="49"/>
              <w:rPr>
                <w:rFonts w:hint="eastAsia" w:cs="宋体"/>
                <w:i w:val="0"/>
                <w:iCs w:val="0"/>
                <w:color w:val="000000"/>
                <w:sz w:val="24"/>
                <w:szCs w:val="24"/>
                <w:highlight w:val="none"/>
                <w:u w:val="single"/>
                <w:lang w:eastAsia="zh-CN"/>
              </w:rPr>
            </w:pPr>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收费</w:t>
            </w:r>
            <w:r>
              <w:rPr>
                <w:rFonts w:hint="eastAsia" w:ascii="宋体" w:hAnsi="宋体" w:eastAsia="宋体" w:cs="宋体"/>
                <w:i w:val="0"/>
                <w:iCs w:val="0"/>
                <w:color w:val="auto"/>
                <w:sz w:val="24"/>
                <w:szCs w:val="24"/>
                <w:highlight w:val="none"/>
              </w:rPr>
              <w:t>标准：</w:t>
            </w:r>
            <w:r>
              <w:rPr>
                <w:rFonts w:hint="eastAsia" w:ascii="宋体" w:hAnsi="宋体" w:eastAsia="宋体" w:cs="宋体"/>
                <w:i w:val="0"/>
                <w:iCs w:val="0"/>
                <w:color w:val="000000"/>
                <w:sz w:val="24"/>
                <w:szCs w:val="24"/>
                <w:highlight w:val="none"/>
              </w:rPr>
              <w:t>依据</w:t>
            </w:r>
            <w:r>
              <w:rPr>
                <w:rFonts w:hint="eastAsia" w:cs="宋体"/>
                <w:i w:val="0"/>
                <w:iCs w:val="0"/>
                <w:color w:val="000000"/>
                <w:sz w:val="24"/>
                <w:szCs w:val="24"/>
                <w:highlight w:val="none"/>
                <w:lang w:val="en-US" w:eastAsia="zh-CN"/>
              </w:rPr>
              <w:t>下列</w:t>
            </w:r>
            <w:r>
              <w:rPr>
                <w:rFonts w:hint="eastAsia" w:ascii="宋体" w:hAnsi="宋体" w:eastAsia="宋体" w:cs="宋体"/>
                <w:i w:val="0"/>
                <w:iCs w:val="0"/>
                <w:color w:val="000000"/>
                <w:sz w:val="24"/>
                <w:szCs w:val="24"/>
                <w:highlight w:val="none"/>
              </w:rPr>
              <w:t>收费标准，依照</w:t>
            </w:r>
            <w:r>
              <w:rPr>
                <w:rFonts w:hint="eastAsia" w:ascii="宋体" w:hAnsi="宋体" w:eastAsia="宋体" w:cs="宋体"/>
                <w:i w:val="0"/>
                <w:iCs w:val="0"/>
                <w:color w:val="000000"/>
                <w:sz w:val="24"/>
                <w:szCs w:val="24"/>
                <w:highlight w:val="none"/>
                <w:u w:val="single"/>
              </w:rPr>
              <w:t>服务</w:t>
            </w:r>
            <w:r>
              <w:rPr>
                <w:rFonts w:hint="eastAsia" w:ascii="宋体" w:hAnsi="宋体" w:eastAsia="宋体" w:cs="宋体"/>
                <w:i w:val="0"/>
                <w:iCs w:val="0"/>
                <w:color w:val="000000"/>
                <w:sz w:val="24"/>
                <w:szCs w:val="24"/>
                <w:highlight w:val="none"/>
              </w:rPr>
              <w:t>招标收费费率按差额定率累进法计算</w:t>
            </w:r>
            <w:r>
              <w:rPr>
                <w:rFonts w:hint="eastAsia" w:cs="宋体"/>
                <w:i w:val="0"/>
                <w:iCs w:val="0"/>
                <w:color w:val="000000"/>
                <w:sz w:val="24"/>
                <w:szCs w:val="24"/>
                <w:highlight w:val="none"/>
                <w:lang w:val="en-US" w:eastAsia="zh-CN"/>
              </w:rPr>
              <w:t>收取</w:t>
            </w:r>
            <w:r>
              <w:rPr>
                <w:rFonts w:hint="eastAsia" w:ascii="宋体" w:hAnsi="宋体" w:eastAsia="宋体" w:cs="宋体"/>
                <w:i w:val="0"/>
                <w:iCs w:val="0"/>
                <w:color w:val="000000"/>
                <w:sz w:val="24"/>
                <w:szCs w:val="24"/>
                <w:highlight w:val="none"/>
              </w:rPr>
              <w:t>，向中标人一次性收取，计算标准为中标单位的中标价格</w:t>
            </w:r>
            <w:r>
              <w:rPr>
                <w:rFonts w:hint="eastAsia" w:cs="宋体"/>
                <w:i w:val="0"/>
                <w:iCs w:val="0"/>
                <w:color w:val="000000"/>
                <w:sz w:val="24"/>
                <w:szCs w:val="24"/>
                <w:highlight w:val="none"/>
                <w:lang w:eastAsia="zh-CN"/>
              </w:rPr>
              <w:t>，</w:t>
            </w:r>
            <w:r>
              <w:rPr>
                <w:rFonts w:hint="eastAsia" w:ascii="宋体" w:hAnsi="宋体" w:eastAsia="宋体" w:cs="宋体"/>
                <w:i w:val="0"/>
                <w:iCs w:val="0"/>
                <w:color w:val="000000"/>
                <w:sz w:val="24"/>
                <w:szCs w:val="24"/>
                <w:highlight w:val="none"/>
                <w:lang w:val="en-US" w:eastAsia="zh-CN"/>
              </w:rPr>
              <w:t>参照参考国家发改委计价格[2002]1980号文，发改办价格[2003]857号文规定收取。不足5000元的，按5000元收取</w:t>
            </w:r>
          </w:p>
          <w:p w14:paraId="6BDF8CD7">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收取</w:t>
            </w:r>
            <w:r>
              <w:rPr>
                <w:rFonts w:hint="eastAsia" w:ascii="宋体" w:hAnsi="宋体" w:eastAsia="宋体" w:cs="宋体"/>
                <w:i w:val="0"/>
                <w:iCs w:val="0"/>
                <w:color w:val="auto"/>
                <w:sz w:val="24"/>
                <w:szCs w:val="24"/>
                <w:highlight w:val="none"/>
              </w:rPr>
              <w:t>时间：领取成交通知书前</w:t>
            </w:r>
          </w:p>
          <w:p w14:paraId="58DDF7C7">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4.收取方式：电汇，由中标人一次性支付</w:t>
            </w:r>
          </w:p>
          <w:p w14:paraId="1B441ABC">
            <w:pPr>
              <w:pStyle w:val="49"/>
              <w:keepNext w:val="0"/>
              <w:keepLines w:val="0"/>
              <w:pageBreakBefore w:val="0"/>
              <w:shd w:val="clear" w:color="auto" w:fill="auto"/>
              <w:kinsoku/>
              <w:wordWrap/>
              <w:overflowPunct/>
              <w:topLinePunct w:val="0"/>
              <w:bidi w:val="0"/>
              <w:snapToGrid/>
              <w:spacing w:line="312" w:lineRule="auto"/>
              <w:textAlignment w:val="auto"/>
              <w:rPr>
                <w:rFonts w:hint="eastAsia" w:cs="宋体"/>
                <w:color w:val="auto"/>
                <w:sz w:val="24"/>
                <w:szCs w:val="24"/>
                <w:highlight w:val="none"/>
                <w:u w:val="single"/>
                <w:shd w:val="clear" w:color="auto" w:fill="auto"/>
                <w:lang w:val="en-US" w:eastAsia="zh-CN"/>
              </w:rPr>
            </w:pPr>
            <w:r>
              <w:rPr>
                <w:rFonts w:hint="eastAsia" w:cs="宋体"/>
                <w:color w:val="auto"/>
                <w:sz w:val="24"/>
                <w:szCs w:val="24"/>
                <w:highlight w:val="none"/>
                <w:u w:val="none"/>
                <w:shd w:val="clear" w:color="auto" w:fill="auto"/>
                <w:lang w:val="en-US" w:eastAsia="zh-CN"/>
              </w:rPr>
              <w:t>5.收取单位：</w:t>
            </w:r>
            <w:r>
              <w:rPr>
                <w:rFonts w:hint="eastAsia" w:cs="宋体"/>
                <w:color w:val="auto"/>
                <w:sz w:val="24"/>
                <w:szCs w:val="24"/>
                <w:highlight w:val="none"/>
                <w:u w:val="single"/>
                <w:shd w:val="clear" w:color="auto" w:fill="auto"/>
                <w:lang w:val="en-US" w:eastAsia="zh-CN"/>
              </w:rPr>
              <w:t xml:space="preserve">新疆悦隆项目管理有限公司 </w:t>
            </w:r>
          </w:p>
          <w:p w14:paraId="048613FE">
            <w:pPr>
              <w:pStyle w:val="49"/>
              <w:keepNext w:val="0"/>
              <w:keepLines w:val="0"/>
              <w:pageBreakBefore w:val="0"/>
              <w:shd w:val="clear" w:color="auto" w:fill="auto"/>
              <w:kinsoku/>
              <w:wordWrap/>
              <w:overflowPunct/>
              <w:topLinePunct w:val="0"/>
              <w:bidi w:val="0"/>
              <w:snapToGrid/>
              <w:spacing w:line="312" w:lineRule="auto"/>
              <w:textAlignment w:val="auto"/>
              <w:rPr>
                <w:rFonts w:hint="eastAsia" w:cs="宋体"/>
                <w:color w:val="auto"/>
                <w:sz w:val="24"/>
                <w:szCs w:val="24"/>
                <w:highlight w:val="none"/>
                <w:u w:val="single"/>
                <w:shd w:val="clear" w:color="auto" w:fill="auto"/>
                <w:lang w:val="en-US" w:eastAsia="zh-CN"/>
              </w:rPr>
            </w:pPr>
            <w:r>
              <w:rPr>
                <w:rFonts w:hint="eastAsia" w:cs="宋体"/>
                <w:color w:val="auto"/>
                <w:sz w:val="24"/>
                <w:szCs w:val="24"/>
                <w:highlight w:val="none"/>
                <w:u w:val="none"/>
                <w:shd w:val="clear" w:color="auto" w:fill="auto"/>
                <w:lang w:val="en-US" w:eastAsia="zh-CN"/>
              </w:rPr>
              <w:t>6.收取账号：</w:t>
            </w:r>
            <w:r>
              <w:rPr>
                <w:rFonts w:hint="eastAsia" w:cs="宋体"/>
                <w:color w:val="auto"/>
                <w:sz w:val="24"/>
                <w:szCs w:val="24"/>
                <w:highlight w:val="none"/>
                <w:u w:val="single"/>
                <w:shd w:val="clear" w:color="auto" w:fill="auto"/>
                <w:lang w:val="en-US" w:eastAsia="zh-CN"/>
              </w:rPr>
              <w:t xml:space="preserve">38113701012700209297 </w:t>
            </w:r>
          </w:p>
          <w:p w14:paraId="5F734138">
            <w:pPr>
              <w:pStyle w:val="49"/>
              <w:rPr>
                <w:rFonts w:hint="eastAsia" w:cs="宋体"/>
                <w:color w:val="auto"/>
                <w:sz w:val="24"/>
                <w:szCs w:val="24"/>
                <w:highlight w:val="none"/>
                <w:u w:val="single"/>
                <w:shd w:val="clear" w:color="auto" w:fill="auto"/>
                <w:lang w:val="en-US" w:eastAsia="zh-CN"/>
              </w:rPr>
            </w:pPr>
            <w:r>
              <w:rPr>
                <w:rFonts w:hint="eastAsia" w:cs="宋体"/>
                <w:color w:val="auto"/>
                <w:sz w:val="24"/>
                <w:szCs w:val="24"/>
                <w:highlight w:val="none"/>
                <w:u w:val="none"/>
                <w:shd w:val="clear" w:color="auto" w:fill="auto"/>
                <w:lang w:val="en-US" w:eastAsia="zh-CN"/>
              </w:rPr>
              <w:t>7.开 户 行：</w:t>
            </w:r>
            <w:r>
              <w:rPr>
                <w:rFonts w:hint="eastAsia" w:cs="宋体"/>
                <w:color w:val="auto"/>
                <w:sz w:val="24"/>
                <w:szCs w:val="24"/>
                <w:highlight w:val="none"/>
                <w:u w:val="single"/>
                <w:shd w:val="clear" w:color="auto" w:fill="auto"/>
                <w:lang w:val="en-US" w:eastAsia="zh-CN"/>
              </w:rPr>
              <w:t>中信银行股份有限公司乌鲁木齐南湖北路支行</w:t>
            </w:r>
          </w:p>
          <w:p w14:paraId="55377C67">
            <w:pPr>
              <w:pStyle w:val="49"/>
              <w:rPr>
                <w:rFonts w:hint="default" w:cs="宋体"/>
                <w:color w:val="auto"/>
                <w:sz w:val="24"/>
                <w:szCs w:val="24"/>
                <w:highlight w:val="none"/>
                <w:u w:val="single"/>
                <w:shd w:val="clear" w:color="auto" w:fill="auto"/>
                <w:lang w:val="en-US" w:eastAsia="zh-CN"/>
              </w:rPr>
            </w:pPr>
            <w:r>
              <w:rPr>
                <w:rFonts w:hint="eastAsia" w:cs="宋体"/>
                <w:color w:val="auto"/>
                <w:sz w:val="24"/>
                <w:szCs w:val="24"/>
                <w:highlight w:val="none"/>
                <w:u w:val="none"/>
                <w:shd w:val="clear" w:color="auto" w:fill="auto"/>
                <w:lang w:val="en-US" w:eastAsia="zh-CN"/>
              </w:rPr>
              <w:t>8.行    号：</w:t>
            </w:r>
            <w:r>
              <w:rPr>
                <w:rFonts w:hint="eastAsia" w:cs="宋体"/>
                <w:color w:val="auto"/>
                <w:sz w:val="24"/>
                <w:szCs w:val="24"/>
                <w:highlight w:val="none"/>
                <w:u w:val="single"/>
                <w:shd w:val="clear" w:color="auto" w:fill="auto"/>
                <w:lang w:val="en-US" w:eastAsia="zh-CN"/>
              </w:rPr>
              <w:t>302881000088</w:t>
            </w:r>
          </w:p>
        </w:tc>
      </w:tr>
      <w:tr w14:paraId="400873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3E9378A1">
            <w:pPr>
              <w:pStyle w:val="49"/>
              <w:jc w:val="center"/>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lang w:val="en-US" w:eastAsia="zh-CN"/>
              </w:rPr>
              <w:t>42</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2</w:t>
            </w:r>
          </w:p>
        </w:tc>
        <w:tc>
          <w:tcPr>
            <w:tcW w:w="1509" w:type="dxa"/>
            <w:tcBorders>
              <w:top w:val="single" w:color="auto" w:sz="2" w:space="0"/>
              <w:left w:val="single" w:color="auto" w:sz="2" w:space="0"/>
              <w:bottom w:val="single" w:color="auto" w:sz="2" w:space="0"/>
              <w:right w:val="single" w:color="auto" w:sz="2" w:space="0"/>
            </w:tcBorders>
            <w:vAlign w:val="center"/>
          </w:tcPr>
          <w:p w14:paraId="510095E7">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支持中小企业政策</w:t>
            </w:r>
            <w:r>
              <w:rPr>
                <w:rStyle w:val="34"/>
                <w:rFonts w:hint="eastAsia" w:ascii="宋体" w:hAnsi="宋体" w:eastAsia="宋体" w:cs="宋体"/>
                <w:b w:val="0"/>
                <w:i w:val="0"/>
                <w:iCs w:val="0"/>
                <w:color w:val="auto"/>
                <w:sz w:val="24"/>
                <w:szCs w:val="24"/>
                <w:highlight w:val="none"/>
                <w:lang w:val="en-US" w:eastAsia="zh-CN"/>
              </w:rPr>
              <w:t>（非专门面向中小企业采购项目适用）</w:t>
            </w:r>
          </w:p>
        </w:tc>
        <w:tc>
          <w:tcPr>
            <w:tcW w:w="6450" w:type="dxa"/>
            <w:tcBorders>
              <w:top w:val="single" w:color="auto" w:sz="2" w:space="0"/>
              <w:left w:val="single" w:color="auto" w:sz="2" w:space="0"/>
              <w:bottom w:val="single" w:color="auto" w:sz="2" w:space="0"/>
              <w:right w:val="single" w:color="auto" w:sz="2" w:space="0"/>
            </w:tcBorders>
            <w:vAlign w:val="center"/>
          </w:tcPr>
          <w:p w14:paraId="46061A8B">
            <w:pPr>
              <w:pStyle w:val="66"/>
              <w:widowControl w:val="0"/>
              <w:spacing w:before="0" w:beforeAutospacing="0" w:after="0" w:afterAutospacing="0" w:line="240" w:lineRule="auto"/>
              <w:jc w:val="both"/>
              <w:rPr>
                <w:rFonts w:hint="eastAsia" w:ascii="宋体" w:hAnsi="宋体" w:eastAsia="宋体" w:cs="宋体"/>
                <w:b w:val="0"/>
                <w:i w:val="0"/>
                <w:iCs w:val="0"/>
                <w:color w:val="auto"/>
                <w:sz w:val="24"/>
                <w:szCs w:val="24"/>
                <w:highlight w:val="none"/>
              </w:rPr>
            </w:pPr>
            <w:r>
              <w:rPr>
                <w:rFonts w:hint="eastAsia" w:ascii="宋体" w:hAnsi="宋体" w:eastAsia="宋体" w:cs="宋体"/>
                <w:b w:val="0"/>
                <w:i w:val="0"/>
                <w:iCs w:val="0"/>
                <w:color w:val="auto"/>
                <w:sz w:val="24"/>
                <w:szCs w:val="24"/>
                <w:highlight w:val="none"/>
                <w:lang w:val="en-US" w:eastAsia="zh-CN"/>
              </w:rPr>
              <w:t xml:space="preserve"> </w:t>
            </w:r>
            <w:r>
              <w:rPr>
                <w:rFonts w:hint="eastAsia" w:ascii="宋体" w:hAnsi="宋体" w:eastAsia="宋体" w:cs="宋体"/>
                <w:b w:val="0"/>
                <w:i w:val="0"/>
                <w:iCs w:val="0"/>
                <w:color w:val="auto"/>
                <w:sz w:val="24"/>
                <w:szCs w:val="24"/>
                <w:highlight w:val="none"/>
              </w:rPr>
              <w:t>1</w:t>
            </w:r>
            <w:r>
              <w:rPr>
                <w:rFonts w:hint="eastAsia" w:ascii="宋体" w:hAnsi="宋体" w:eastAsia="宋体" w:cs="宋体"/>
                <w:b w:val="0"/>
                <w:i w:val="0"/>
                <w:iCs w:val="0"/>
                <w:color w:val="auto"/>
                <w:sz w:val="24"/>
                <w:szCs w:val="24"/>
                <w:highlight w:val="none"/>
                <w:lang w:val="en-US" w:eastAsia="zh-CN"/>
              </w:rPr>
              <w:t>.</w:t>
            </w:r>
            <w:r>
              <w:rPr>
                <w:rFonts w:hint="eastAsia" w:ascii="宋体" w:hAnsi="宋体" w:eastAsia="宋体" w:cs="宋体"/>
                <w:b w:val="0"/>
                <w:i w:val="0"/>
                <w:iCs w:val="0"/>
                <w:color w:val="auto"/>
                <w:sz w:val="24"/>
                <w:szCs w:val="24"/>
                <w:highlight w:val="none"/>
              </w:rPr>
              <w:t>小型和微型企业价格扣除</w:t>
            </w:r>
            <w:r>
              <w:rPr>
                <w:rFonts w:hint="eastAsia" w:cs="宋体"/>
                <w:b w:val="0"/>
                <w:i w:val="0"/>
                <w:iCs w:val="0"/>
                <w:color w:val="auto"/>
                <w:sz w:val="24"/>
                <w:szCs w:val="24"/>
                <w:highlight w:val="none"/>
                <w:lang w:eastAsia="zh-CN"/>
              </w:rPr>
              <w:t>：</w:t>
            </w:r>
            <w:r>
              <w:rPr>
                <w:rFonts w:hint="eastAsia" w:cs="宋体"/>
                <w:b/>
                <w:bCs w:val="0"/>
                <w:i w:val="0"/>
                <w:iCs w:val="0"/>
                <w:color w:val="auto"/>
                <w:sz w:val="24"/>
                <w:szCs w:val="24"/>
                <w:highlight w:val="none"/>
                <w:u w:val="single"/>
                <w:lang w:val="en-US" w:eastAsia="zh-CN"/>
              </w:rPr>
              <w:t>本项目专门面向中小企业</w:t>
            </w:r>
          </w:p>
          <w:p w14:paraId="6EB89931">
            <w:pPr>
              <w:pStyle w:val="66"/>
              <w:widowControl w:val="0"/>
              <w:spacing w:before="0" w:beforeAutospacing="0" w:after="0" w:afterAutospacing="0" w:line="240" w:lineRule="auto"/>
              <w:jc w:val="both"/>
              <w:rPr>
                <w:rFonts w:hint="eastAsia" w:ascii="宋体" w:hAnsi="宋体" w:eastAsia="宋体" w:cs="宋体"/>
                <w:b w:val="0"/>
                <w:i w:val="0"/>
                <w:iCs w:val="0"/>
                <w:color w:val="auto"/>
                <w:sz w:val="24"/>
                <w:szCs w:val="24"/>
                <w:highlight w:val="none"/>
              </w:rPr>
            </w:pPr>
            <w:r>
              <w:rPr>
                <w:rFonts w:hint="eastAsia" w:ascii="宋体" w:hAnsi="宋体" w:eastAsia="宋体" w:cs="宋体"/>
                <w:b w:val="0"/>
                <w:i w:val="0"/>
                <w:iCs w:val="0"/>
                <w:color w:val="auto"/>
                <w:sz w:val="24"/>
                <w:szCs w:val="24"/>
                <w:highlight w:val="none"/>
                <w:lang w:val="en-US" w:eastAsia="zh-CN"/>
              </w:rPr>
              <w:t xml:space="preserve"> </w:t>
            </w:r>
            <w:r>
              <w:rPr>
                <w:rFonts w:hint="eastAsia" w:ascii="宋体" w:hAnsi="宋体" w:eastAsia="宋体" w:cs="宋体"/>
                <w:b w:val="0"/>
                <w:i w:val="0"/>
                <w:iCs w:val="0"/>
                <w:color w:val="auto"/>
                <w:sz w:val="24"/>
                <w:szCs w:val="24"/>
                <w:highlight w:val="none"/>
              </w:rPr>
              <w:t>2</w:t>
            </w:r>
            <w:r>
              <w:rPr>
                <w:rFonts w:hint="eastAsia" w:ascii="宋体" w:hAnsi="宋体" w:eastAsia="宋体" w:cs="宋体"/>
                <w:b w:val="0"/>
                <w:i w:val="0"/>
                <w:iCs w:val="0"/>
                <w:color w:val="auto"/>
                <w:sz w:val="24"/>
                <w:szCs w:val="24"/>
                <w:highlight w:val="none"/>
                <w:lang w:val="en-US" w:eastAsia="zh-CN"/>
              </w:rPr>
              <w:t>.</w:t>
            </w:r>
            <w:r>
              <w:rPr>
                <w:rFonts w:hint="eastAsia" w:ascii="宋体" w:hAnsi="宋体" w:eastAsia="宋体" w:cs="宋体"/>
                <w:b w:val="0"/>
                <w:i w:val="0"/>
                <w:iCs w:val="0"/>
                <w:color w:val="auto"/>
                <w:sz w:val="24"/>
                <w:szCs w:val="24"/>
                <w:highlight w:val="none"/>
              </w:rPr>
              <w:t>监狱企业价格扣除：</w:t>
            </w:r>
            <w:r>
              <w:rPr>
                <w:rFonts w:hint="eastAsia" w:ascii="宋体" w:hAnsi="宋体" w:eastAsia="宋体" w:cs="宋体"/>
                <w:b/>
                <w:bCs w:val="0"/>
                <w:i w:val="0"/>
                <w:iCs w:val="0"/>
                <w:color w:val="auto"/>
                <w:sz w:val="24"/>
                <w:szCs w:val="24"/>
                <w:highlight w:val="none"/>
                <w:u w:val="single"/>
              </w:rPr>
              <w:t>同小型和微型企业</w:t>
            </w:r>
            <w:r>
              <w:rPr>
                <w:rFonts w:hint="eastAsia" w:ascii="宋体" w:hAnsi="宋体" w:eastAsia="宋体" w:cs="宋体"/>
                <w:b w:val="0"/>
                <w:i w:val="0"/>
                <w:iCs w:val="0"/>
                <w:color w:val="auto"/>
                <w:sz w:val="24"/>
                <w:szCs w:val="24"/>
                <w:highlight w:val="none"/>
              </w:rPr>
              <w:t>。</w:t>
            </w:r>
          </w:p>
          <w:p w14:paraId="53E6EF2E">
            <w:pPr>
              <w:pStyle w:val="66"/>
              <w:widowControl w:val="0"/>
              <w:spacing w:before="0" w:beforeAutospacing="0" w:after="0" w:afterAutospacing="0" w:line="240" w:lineRule="auto"/>
              <w:jc w:val="both"/>
              <w:rPr>
                <w:rFonts w:hint="eastAsia" w:ascii="宋体" w:hAnsi="宋体" w:eastAsia="宋体" w:cs="宋体"/>
                <w:b w:val="0"/>
                <w:i w:val="0"/>
                <w:iCs w:val="0"/>
                <w:color w:val="auto"/>
                <w:sz w:val="24"/>
                <w:szCs w:val="24"/>
                <w:highlight w:val="none"/>
              </w:rPr>
            </w:pPr>
            <w:r>
              <w:rPr>
                <w:rFonts w:hint="eastAsia" w:ascii="宋体" w:hAnsi="宋体" w:eastAsia="宋体" w:cs="宋体"/>
                <w:b w:val="0"/>
                <w:i w:val="0"/>
                <w:iCs w:val="0"/>
                <w:color w:val="auto"/>
                <w:sz w:val="24"/>
                <w:szCs w:val="24"/>
                <w:highlight w:val="none"/>
                <w:lang w:val="en-US" w:eastAsia="zh-CN"/>
              </w:rPr>
              <w:t xml:space="preserve"> </w:t>
            </w:r>
            <w:r>
              <w:rPr>
                <w:rFonts w:hint="eastAsia" w:ascii="宋体" w:hAnsi="宋体" w:eastAsia="宋体" w:cs="宋体"/>
                <w:b w:val="0"/>
                <w:i w:val="0"/>
                <w:iCs w:val="0"/>
                <w:color w:val="auto"/>
                <w:sz w:val="24"/>
                <w:szCs w:val="24"/>
                <w:highlight w:val="none"/>
              </w:rPr>
              <w:t>3</w:t>
            </w:r>
            <w:r>
              <w:rPr>
                <w:rFonts w:hint="eastAsia" w:ascii="宋体" w:hAnsi="宋体" w:eastAsia="宋体" w:cs="宋体"/>
                <w:b w:val="0"/>
                <w:i w:val="0"/>
                <w:iCs w:val="0"/>
                <w:color w:val="auto"/>
                <w:sz w:val="24"/>
                <w:szCs w:val="24"/>
                <w:highlight w:val="none"/>
                <w:lang w:val="en-US" w:eastAsia="zh-CN"/>
              </w:rPr>
              <w:t>.</w:t>
            </w:r>
            <w:r>
              <w:rPr>
                <w:rFonts w:hint="eastAsia" w:ascii="宋体" w:hAnsi="宋体" w:eastAsia="宋体" w:cs="宋体"/>
                <w:b w:val="0"/>
                <w:i w:val="0"/>
                <w:iCs w:val="0"/>
                <w:color w:val="auto"/>
                <w:sz w:val="24"/>
                <w:szCs w:val="24"/>
                <w:highlight w:val="none"/>
              </w:rPr>
              <w:t>残疾人福利性单位价格扣除：</w:t>
            </w:r>
            <w:r>
              <w:rPr>
                <w:rFonts w:hint="eastAsia" w:ascii="宋体" w:hAnsi="宋体" w:eastAsia="宋体" w:cs="宋体"/>
                <w:b/>
                <w:bCs w:val="0"/>
                <w:i w:val="0"/>
                <w:iCs w:val="0"/>
                <w:color w:val="auto"/>
                <w:sz w:val="24"/>
                <w:szCs w:val="24"/>
                <w:highlight w:val="none"/>
                <w:u w:val="single"/>
              </w:rPr>
              <w:t>同小型和微型企业</w:t>
            </w:r>
            <w:r>
              <w:rPr>
                <w:rFonts w:hint="eastAsia" w:ascii="宋体" w:hAnsi="宋体" w:eastAsia="宋体" w:cs="宋体"/>
                <w:b/>
                <w:bCs w:val="0"/>
                <w:i w:val="0"/>
                <w:iCs w:val="0"/>
                <w:color w:val="auto"/>
                <w:sz w:val="24"/>
                <w:szCs w:val="24"/>
                <w:highlight w:val="none"/>
              </w:rPr>
              <w:t>。</w:t>
            </w:r>
          </w:p>
          <w:p w14:paraId="01FCAF1A">
            <w:pPr>
              <w:pStyle w:val="66"/>
              <w:widowControl w:val="0"/>
              <w:spacing w:before="0" w:beforeAutospacing="0" w:after="0" w:afterAutospacing="0" w:line="240" w:lineRule="auto"/>
              <w:jc w:val="both"/>
              <w:rPr>
                <w:rFonts w:hint="eastAsia" w:ascii="宋体" w:hAnsi="宋体" w:eastAsia="宋体" w:cs="宋体"/>
                <w:b w:val="0"/>
                <w:i w:val="0"/>
                <w:iCs w:val="0"/>
                <w:color w:val="auto"/>
                <w:sz w:val="24"/>
                <w:szCs w:val="24"/>
                <w:highlight w:val="none"/>
              </w:rPr>
            </w:pPr>
            <w:r>
              <w:rPr>
                <w:rFonts w:hint="eastAsia" w:ascii="宋体" w:hAnsi="宋体" w:eastAsia="宋体" w:cs="宋体"/>
                <w:b w:val="0"/>
                <w:i w:val="0"/>
                <w:iCs w:val="0"/>
                <w:color w:val="auto"/>
                <w:sz w:val="24"/>
                <w:szCs w:val="24"/>
                <w:highlight w:val="none"/>
                <w:lang w:val="en-US" w:eastAsia="zh-CN"/>
              </w:rPr>
              <w:t xml:space="preserve"> </w:t>
            </w:r>
            <w:r>
              <w:rPr>
                <w:rFonts w:hint="eastAsia" w:ascii="宋体" w:hAnsi="宋体" w:eastAsia="宋体" w:cs="宋体"/>
                <w:b w:val="0"/>
                <w:i w:val="0"/>
                <w:iCs w:val="0"/>
                <w:color w:val="auto"/>
                <w:sz w:val="24"/>
                <w:szCs w:val="24"/>
                <w:highlight w:val="none"/>
              </w:rPr>
              <w:t>4</w:t>
            </w:r>
            <w:r>
              <w:rPr>
                <w:rFonts w:hint="eastAsia" w:ascii="宋体" w:hAnsi="宋体" w:eastAsia="宋体" w:cs="宋体"/>
                <w:b w:val="0"/>
                <w:i w:val="0"/>
                <w:iCs w:val="0"/>
                <w:color w:val="auto"/>
                <w:sz w:val="24"/>
                <w:szCs w:val="24"/>
                <w:highlight w:val="none"/>
                <w:lang w:val="en-US" w:eastAsia="zh-CN"/>
              </w:rPr>
              <w:t>.</w:t>
            </w:r>
            <w:r>
              <w:rPr>
                <w:rFonts w:hint="eastAsia" w:ascii="宋体" w:hAnsi="宋体" w:eastAsia="宋体" w:cs="宋体"/>
                <w:b w:val="0"/>
                <w:i w:val="0"/>
                <w:iCs w:val="0"/>
                <w:color w:val="auto"/>
                <w:sz w:val="24"/>
                <w:szCs w:val="24"/>
                <w:highlight w:val="none"/>
              </w:rPr>
              <w:t>符合条件的联合体价格扣除：</w:t>
            </w:r>
            <w:r>
              <w:rPr>
                <w:rFonts w:hint="eastAsia" w:ascii="宋体" w:hAnsi="宋体" w:eastAsia="宋体" w:cs="宋体"/>
                <w:b w:val="0"/>
                <w:i w:val="0"/>
                <w:iCs w:val="0"/>
                <w:color w:val="auto"/>
                <w:sz w:val="24"/>
                <w:szCs w:val="24"/>
                <w:highlight w:val="none"/>
                <w:u w:val="single"/>
                <w:lang w:val="en-US" w:eastAsia="zh-CN"/>
              </w:rPr>
              <w:t xml:space="preserve">   </w:t>
            </w:r>
            <w:r>
              <w:rPr>
                <w:rFonts w:hint="eastAsia" w:cs="宋体"/>
                <w:b w:val="0"/>
                <w:i w:val="0"/>
                <w:iCs w:val="0"/>
                <w:color w:val="auto"/>
                <w:sz w:val="24"/>
                <w:szCs w:val="24"/>
                <w:highlight w:val="none"/>
                <w:u w:val="single"/>
                <w:lang w:val="en-US" w:eastAsia="zh-CN"/>
              </w:rPr>
              <w:t>/</w:t>
            </w:r>
            <w:r>
              <w:rPr>
                <w:rFonts w:hint="eastAsia" w:ascii="宋体" w:hAnsi="宋体" w:eastAsia="宋体" w:cs="宋体"/>
                <w:b w:val="0"/>
                <w:i w:val="0"/>
                <w:iCs w:val="0"/>
                <w:color w:val="auto"/>
                <w:sz w:val="24"/>
                <w:szCs w:val="24"/>
                <w:highlight w:val="none"/>
                <w:u w:val="single"/>
                <w:lang w:val="en-US" w:eastAsia="zh-CN"/>
              </w:rPr>
              <w:t xml:space="preserve">     </w:t>
            </w:r>
            <w:r>
              <w:rPr>
                <w:rFonts w:hint="eastAsia" w:ascii="宋体" w:hAnsi="宋体" w:eastAsia="宋体" w:cs="宋体"/>
                <w:b w:val="0"/>
                <w:i w:val="0"/>
                <w:iCs w:val="0"/>
                <w:color w:val="auto"/>
                <w:sz w:val="24"/>
                <w:szCs w:val="24"/>
                <w:highlight w:val="none"/>
              </w:rPr>
              <w:t>。</w:t>
            </w:r>
          </w:p>
          <w:p w14:paraId="5F0B86A9">
            <w:pPr>
              <w:pStyle w:val="66"/>
              <w:widowControl w:val="0"/>
              <w:spacing w:before="0" w:beforeAutospacing="0" w:after="0" w:afterAutospacing="0" w:line="240" w:lineRule="auto"/>
              <w:jc w:val="both"/>
              <w:rPr>
                <w:rFonts w:hint="eastAsia" w:ascii="宋体" w:hAnsi="宋体" w:eastAsia="宋体" w:cs="宋体"/>
                <w:i w:val="0"/>
                <w:iCs w:val="0"/>
                <w:color w:val="auto"/>
                <w:sz w:val="24"/>
                <w:szCs w:val="24"/>
                <w:highlight w:val="none"/>
              </w:rPr>
            </w:pPr>
            <w:r>
              <w:rPr>
                <w:rFonts w:hint="eastAsia" w:ascii="宋体" w:hAnsi="宋体" w:eastAsia="宋体" w:cs="宋体"/>
                <w:b w:val="0"/>
                <w:i w:val="0"/>
                <w:iCs w:val="0"/>
                <w:color w:val="auto"/>
                <w:sz w:val="24"/>
                <w:szCs w:val="24"/>
                <w:highlight w:val="none"/>
                <w:lang w:val="en-US" w:eastAsia="zh-CN"/>
              </w:rPr>
              <w:t xml:space="preserve"> </w:t>
            </w:r>
            <w:r>
              <w:rPr>
                <w:rFonts w:hint="eastAsia" w:ascii="宋体" w:hAnsi="宋体" w:eastAsia="宋体" w:cs="宋体"/>
                <w:b w:val="0"/>
                <w:i w:val="0"/>
                <w:iCs w:val="0"/>
                <w:color w:val="auto"/>
                <w:sz w:val="24"/>
                <w:szCs w:val="24"/>
                <w:highlight w:val="none"/>
              </w:rPr>
              <w:t>5</w:t>
            </w:r>
            <w:r>
              <w:rPr>
                <w:rFonts w:hint="eastAsia" w:ascii="宋体" w:hAnsi="宋体" w:eastAsia="宋体" w:cs="宋体"/>
                <w:b w:val="0"/>
                <w:i w:val="0"/>
                <w:iCs w:val="0"/>
                <w:color w:val="auto"/>
                <w:sz w:val="24"/>
                <w:szCs w:val="24"/>
                <w:highlight w:val="none"/>
                <w:lang w:val="en-US" w:eastAsia="zh-CN"/>
              </w:rPr>
              <w:t>.</w:t>
            </w:r>
            <w:r>
              <w:rPr>
                <w:rFonts w:hint="eastAsia" w:ascii="宋体" w:hAnsi="宋体" w:eastAsia="宋体" w:cs="宋体"/>
                <w:b w:val="0"/>
                <w:i w:val="0"/>
                <w:iCs w:val="0"/>
                <w:color w:val="auto"/>
                <w:sz w:val="24"/>
                <w:szCs w:val="24"/>
                <w:highlight w:val="none"/>
              </w:rPr>
              <w:t>符合条件的向小微企业分包的大中型企业价格扣除：</w:t>
            </w:r>
            <w:r>
              <w:rPr>
                <w:rFonts w:hint="eastAsia" w:ascii="宋体" w:hAnsi="宋体" w:eastAsia="宋体" w:cs="宋体"/>
                <w:b w:val="0"/>
                <w:i w:val="0"/>
                <w:iCs w:val="0"/>
                <w:color w:val="auto"/>
                <w:sz w:val="24"/>
                <w:szCs w:val="24"/>
                <w:highlight w:val="none"/>
                <w:u w:val="single"/>
                <w:lang w:val="en-US" w:eastAsia="zh-CN"/>
              </w:rPr>
              <w:t xml:space="preserve">     </w:t>
            </w:r>
            <w:r>
              <w:rPr>
                <w:rFonts w:hint="eastAsia" w:cs="宋体"/>
                <w:b w:val="0"/>
                <w:i w:val="0"/>
                <w:iCs w:val="0"/>
                <w:color w:val="auto"/>
                <w:sz w:val="24"/>
                <w:szCs w:val="24"/>
                <w:highlight w:val="none"/>
                <w:u w:val="single"/>
                <w:lang w:val="en-US" w:eastAsia="zh-CN"/>
              </w:rPr>
              <w:t>/</w:t>
            </w:r>
            <w:r>
              <w:rPr>
                <w:rFonts w:hint="eastAsia" w:ascii="宋体" w:hAnsi="宋体" w:eastAsia="宋体" w:cs="宋体"/>
                <w:b w:val="0"/>
                <w:i w:val="0"/>
                <w:iCs w:val="0"/>
                <w:color w:val="auto"/>
                <w:sz w:val="24"/>
                <w:szCs w:val="24"/>
                <w:highlight w:val="none"/>
                <w:u w:val="single"/>
                <w:lang w:val="en-US" w:eastAsia="zh-CN"/>
              </w:rPr>
              <w:t xml:space="preserve">   </w:t>
            </w:r>
            <w:r>
              <w:rPr>
                <w:rFonts w:hint="eastAsia" w:ascii="宋体" w:hAnsi="宋体" w:eastAsia="宋体" w:cs="宋体"/>
                <w:b w:val="0"/>
                <w:i w:val="0"/>
                <w:iCs w:val="0"/>
                <w:color w:val="auto"/>
                <w:sz w:val="24"/>
                <w:szCs w:val="24"/>
                <w:highlight w:val="none"/>
              </w:rPr>
              <w:t>。（允许大中型企业向小微企业分包的项目适用）</w:t>
            </w:r>
          </w:p>
        </w:tc>
      </w:tr>
      <w:tr w14:paraId="732425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70" w:hRule="atLeast"/>
          <w:jc w:val="center"/>
        </w:trPr>
        <w:tc>
          <w:tcPr>
            <w:tcW w:w="1005" w:type="dxa"/>
            <w:tcBorders>
              <w:top w:val="single" w:color="auto" w:sz="2" w:space="0"/>
              <w:left w:val="single" w:color="auto" w:sz="2" w:space="0"/>
              <w:bottom w:val="single" w:color="auto" w:sz="2" w:space="0"/>
              <w:right w:val="single" w:color="auto" w:sz="2" w:space="0"/>
            </w:tcBorders>
            <w:vAlign w:val="center"/>
          </w:tcPr>
          <w:p w14:paraId="424B9FE1">
            <w:pPr>
              <w:pStyle w:val="49"/>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42.9</w:t>
            </w:r>
          </w:p>
        </w:tc>
        <w:tc>
          <w:tcPr>
            <w:tcW w:w="1509" w:type="dxa"/>
            <w:tcBorders>
              <w:top w:val="single" w:color="auto" w:sz="2" w:space="0"/>
              <w:left w:val="single" w:color="auto" w:sz="2" w:space="0"/>
              <w:bottom w:val="single" w:color="auto" w:sz="2" w:space="0"/>
              <w:right w:val="single" w:color="auto" w:sz="2" w:space="0"/>
            </w:tcBorders>
            <w:vAlign w:val="center"/>
          </w:tcPr>
          <w:p w14:paraId="1CA92C5F">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标的所属行业</w:t>
            </w:r>
            <w:r>
              <w:rPr>
                <w:rStyle w:val="34"/>
                <w:rFonts w:hint="eastAsia" w:ascii="宋体" w:hAnsi="宋体" w:eastAsia="宋体" w:cs="宋体"/>
                <w:b w:val="0"/>
                <w:i w:val="0"/>
                <w:iCs w:val="0"/>
                <w:color w:val="auto"/>
                <w:sz w:val="24"/>
                <w:szCs w:val="24"/>
                <w:highlight w:val="none"/>
                <w:lang w:val="en-US" w:eastAsia="zh-CN"/>
              </w:rPr>
              <w:t>（参照后附</w:t>
            </w:r>
            <w:r>
              <w:rPr>
                <w:rStyle w:val="34"/>
                <w:rFonts w:hint="eastAsia" w:ascii="宋体" w:hAnsi="宋体" w:eastAsia="宋体" w:cs="宋体"/>
                <w:b w:val="0"/>
                <w:i w:val="0"/>
                <w:iCs w:val="0"/>
                <w:color w:val="auto"/>
                <w:sz w:val="24"/>
                <w:szCs w:val="24"/>
                <w:highlight w:val="none"/>
                <w:lang w:eastAsia="zh-CN"/>
              </w:rPr>
              <w:t>《</w:t>
            </w:r>
            <w:r>
              <w:rPr>
                <w:rStyle w:val="34"/>
                <w:rFonts w:hint="eastAsia" w:ascii="宋体" w:hAnsi="宋体" w:eastAsia="宋体" w:cs="宋体"/>
                <w:b w:val="0"/>
                <w:i w:val="0"/>
                <w:iCs w:val="0"/>
                <w:color w:val="auto"/>
                <w:sz w:val="24"/>
                <w:szCs w:val="24"/>
                <w:highlight w:val="none"/>
              </w:rPr>
              <w:t>工信部联企业〔2011〕300号</w:t>
            </w:r>
            <w:r>
              <w:rPr>
                <w:rStyle w:val="34"/>
                <w:rFonts w:hint="eastAsia" w:ascii="宋体" w:hAnsi="宋体" w:eastAsia="宋体" w:cs="宋体"/>
                <w:b w:val="0"/>
                <w:i w:val="0"/>
                <w:iCs w:val="0"/>
                <w:color w:val="auto"/>
                <w:sz w:val="24"/>
                <w:szCs w:val="24"/>
                <w:highlight w:val="none"/>
                <w:lang w:eastAsia="zh-CN"/>
              </w:rPr>
              <w:t>》）</w:t>
            </w:r>
          </w:p>
        </w:tc>
        <w:tc>
          <w:tcPr>
            <w:tcW w:w="6450" w:type="dxa"/>
            <w:tcBorders>
              <w:top w:val="single" w:color="auto" w:sz="2" w:space="0"/>
              <w:left w:val="single" w:color="auto" w:sz="2" w:space="0"/>
              <w:bottom w:val="single" w:color="auto" w:sz="2" w:space="0"/>
              <w:right w:val="single" w:color="auto" w:sz="2" w:space="0"/>
            </w:tcBorders>
            <w:vAlign w:val="center"/>
          </w:tcPr>
          <w:p w14:paraId="5915B842">
            <w:pPr>
              <w:keepNext w:val="0"/>
              <w:keepLines w:val="0"/>
              <w:widowControl/>
              <w:suppressLineNumbers w:val="0"/>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rPr>
              <w:t xml:space="preserve">本项目采购标的对应的中小企业划分标准所属行业： </w:t>
            </w:r>
          </w:p>
          <w:tbl>
            <w:tblPr>
              <w:tblStyle w:val="32"/>
              <w:tblW w:w="6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2374"/>
              <w:gridCol w:w="2845"/>
            </w:tblGrid>
            <w:tr w14:paraId="3A6D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9" w:type="dxa"/>
                  <w:vAlign w:val="center"/>
                </w:tcPr>
                <w:p w14:paraId="04AA5455">
                  <w:pPr>
                    <w:keepNext w:val="0"/>
                    <w:keepLines w:val="0"/>
                    <w:widowControl/>
                    <w:suppressLineNumbers w:val="0"/>
                    <w:jc w:val="center"/>
                    <w:rPr>
                      <w:rFonts w:hint="eastAsia" w:ascii="宋体" w:hAnsi="宋体" w:eastAsia="宋体" w:cs="宋体"/>
                      <w:i w:val="0"/>
                      <w:iCs w:val="0"/>
                      <w:color w:val="auto"/>
                      <w:kern w:val="0"/>
                      <w:sz w:val="24"/>
                      <w:szCs w:val="24"/>
                      <w:highlight w:val="none"/>
                      <w:vertAlign w:val="baseline"/>
                      <w:lang w:val="en-US" w:eastAsia="zh-CN"/>
                    </w:rPr>
                  </w:pPr>
                  <w:r>
                    <w:rPr>
                      <w:rFonts w:hint="eastAsia" w:ascii="宋体" w:hAnsi="宋体" w:eastAsia="宋体" w:cs="宋体"/>
                      <w:i w:val="0"/>
                      <w:iCs w:val="0"/>
                      <w:color w:val="auto"/>
                      <w:kern w:val="0"/>
                      <w:sz w:val="24"/>
                      <w:szCs w:val="24"/>
                      <w:highlight w:val="none"/>
                      <w:lang w:val="en-US" w:eastAsia="zh-CN"/>
                    </w:rPr>
                    <w:t>包号</w:t>
                  </w:r>
                </w:p>
              </w:tc>
              <w:tc>
                <w:tcPr>
                  <w:tcW w:w="2374" w:type="dxa"/>
                  <w:vAlign w:val="center"/>
                </w:tcPr>
                <w:p w14:paraId="7198CADC">
                  <w:pPr>
                    <w:keepNext w:val="0"/>
                    <w:keepLines w:val="0"/>
                    <w:widowControl/>
                    <w:suppressLineNumbers w:val="0"/>
                    <w:jc w:val="center"/>
                    <w:rPr>
                      <w:rFonts w:hint="eastAsia" w:ascii="宋体" w:hAnsi="宋体" w:eastAsia="宋体" w:cs="宋体"/>
                      <w:i w:val="0"/>
                      <w:iCs w:val="0"/>
                      <w:color w:val="auto"/>
                      <w:kern w:val="0"/>
                      <w:sz w:val="24"/>
                      <w:szCs w:val="24"/>
                      <w:highlight w:val="none"/>
                      <w:vertAlign w:val="baseline"/>
                      <w:lang w:val="en-US" w:eastAsia="zh-CN"/>
                    </w:rPr>
                  </w:pPr>
                  <w:r>
                    <w:rPr>
                      <w:rFonts w:hint="eastAsia" w:ascii="宋体" w:hAnsi="宋体" w:eastAsia="宋体" w:cs="宋体"/>
                      <w:i w:val="0"/>
                      <w:iCs w:val="0"/>
                      <w:color w:val="auto"/>
                      <w:kern w:val="0"/>
                      <w:sz w:val="24"/>
                      <w:szCs w:val="24"/>
                      <w:highlight w:val="none"/>
                      <w:lang w:val="en-US" w:eastAsia="zh-CN"/>
                    </w:rPr>
                    <w:t>标的名称</w:t>
                  </w:r>
                </w:p>
              </w:tc>
              <w:tc>
                <w:tcPr>
                  <w:tcW w:w="2845" w:type="dxa"/>
                  <w:vAlign w:val="center"/>
                </w:tcPr>
                <w:p w14:paraId="4126348A">
                  <w:pPr>
                    <w:keepNext w:val="0"/>
                    <w:keepLines w:val="0"/>
                    <w:widowControl/>
                    <w:suppressLineNumbers w:val="0"/>
                    <w:spacing w:line="240" w:lineRule="auto"/>
                    <w:jc w:val="center"/>
                    <w:rPr>
                      <w:rFonts w:hint="eastAsia" w:ascii="宋体" w:hAnsi="宋体" w:eastAsia="宋体" w:cs="宋体"/>
                      <w:i w:val="0"/>
                      <w:iCs w:val="0"/>
                      <w:color w:val="auto"/>
                      <w:kern w:val="0"/>
                      <w:sz w:val="24"/>
                      <w:szCs w:val="24"/>
                      <w:highlight w:val="none"/>
                      <w:vertAlign w:val="baseline"/>
                      <w:lang w:val="en-US" w:eastAsia="zh-CN"/>
                    </w:rPr>
                  </w:pPr>
                  <w:r>
                    <w:rPr>
                      <w:rFonts w:hint="eastAsia" w:ascii="宋体" w:hAnsi="宋体" w:eastAsia="宋体" w:cs="宋体"/>
                      <w:i w:val="0"/>
                      <w:iCs w:val="0"/>
                      <w:color w:val="auto"/>
                      <w:kern w:val="0"/>
                      <w:sz w:val="24"/>
                      <w:szCs w:val="24"/>
                      <w:highlight w:val="none"/>
                      <w:lang w:val="en-US" w:eastAsia="zh-CN"/>
                    </w:rPr>
                    <w:t>中小企业划分标准所属行业</w:t>
                  </w:r>
                </w:p>
              </w:tc>
            </w:tr>
            <w:tr w14:paraId="51AD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vAlign w:val="center"/>
                </w:tcPr>
                <w:p w14:paraId="58CF2CF8">
                  <w:pPr>
                    <w:keepNext w:val="0"/>
                    <w:keepLines w:val="0"/>
                    <w:widowControl/>
                    <w:suppressLineNumbers w:val="0"/>
                    <w:jc w:val="center"/>
                    <w:rPr>
                      <w:rFonts w:hint="eastAsia" w:ascii="宋体" w:hAnsi="宋体" w:eastAsia="宋体" w:cs="宋体"/>
                      <w:i w:val="0"/>
                      <w:iCs w:val="0"/>
                      <w:color w:val="auto"/>
                      <w:kern w:val="0"/>
                      <w:sz w:val="22"/>
                      <w:szCs w:val="22"/>
                      <w:highlight w:val="none"/>
                      <w:vertAlign w:val="baseline"/>
                      <w:lang w:val="en-US" w:eastAsia="zh-CN"/>
                    </w:rPr>
                  </w:pPr>
                  <w:r>
                    <w:rPr>
                      <w:rFonts w:hint="eastAsia" w:ascii="宋体" w:hAnsi="宋体" w:eastAsia="宋体" w:cs="宋体"/>
                      <w:i w:val="0"/>
                      <w:iCs w:val="0"/>
                      <w:color w:val="auto"/>
                      <w:kern w:val="0"/>
                      <w:sz w:val="22"/>
                      <w:szCs w:val="22"/>
                      <w:highlight w:val="none"/>
                      <w:vertAlign w:val="baseline"/>
                      <w:lang w:val="en-US" w:eastAsia="zh-CN"/>
                    </w:rPr>
                    <w:t>第1包</w:t>
                  </w:r>
                </w:p>
              </w:tc>
              <w:tc>
                <w:tcPr>
                  <w:tcW w:w="2374" w:type="dxa"/>
                  <w:vAlign w:val="center"/>
                </w:tcPr>
                <w:p w14:paraId="2986F471">
                  <w:pPr>
                    <w:widowControl/>
                    <w:spacing w:line="240" w:lineRule="auto"/>
                    <w:jc w:val="center"/>
                    <w:rPr>
                      <w:rFonts w:hint="eastAsia" w:ascii="宋体" w:hAnsi="宋体" w:eastAsia="宋体" w:cs="宋体"/>
                      <w:i w:val="0"/>
                      <w:iCs w:val="0"/>
                      <w:color w:val="auto"/>
                      <w:kern w:val="0"/>
                      <w:sz w:val="22"/>
                      <w:szCs w:val="22"/>
                      <w:highlight w:val="none"/>
                      <w:u w:val="none"/>
                      <w:vertAlign w:val="baseline"/>
                      <w:lang w:val="en-US" w:eastAsia="zh-CN"/>
                    </w:rPr>
                  </w:pPr>
                  <w:r>
                    <w:rPr>
                      <w:rFonts w:hint="eastAsia" w:cs="宋体"/>
                      <w:i w:val="0"/>
                      <w:iCs w:val="0"/>
                      <w:color w:val="auto"/>
                      <w:sz w:val="24"/>
                      <w:szCs w:val="24"/>
                      <w:highlight w:val="none"/>
                      <w:u w:val="none"/>
                      <w:lang w:val="hr-HR" w:eastAsia="zh-CN"/>
                    </w:rPr>
                    <w:t>墨玉县基层公共就业服务网点建设与运营服务项目（三次）</w:t>
                  </w:r>
                </w:p>
              </w:tc>
              <w:tc>
                <w:tcPr>
                  <w:tcW w:w="2845" w:type="dxa"/>
                  <w:vAlign w:val="center"/>
                </w:tcPr>
                <w:p w14:paraId="0C838BA2">
                  <w:pPr>
                    <w:keepNext w:val="0"/>
                    <w:keepLines w:val="0"/>
                    <w:widowControl/>
                    <w:suppressLineNumbers w:val="0"/>
                    <w:jc w:val="center"/>
                    <w:rPr>
                      <w:rFonts w:hint="eastAsia" w:ascii="宋体" w:hAnsi="宋体" w:eastAsia="宋体" w:cs="宋体"/>
                      <w:i w:val="0"/>
                      <w:iCs w:val="0"/>
                      <w:color w:val="auto"/>
                      <w:kern w:val="0"/>
                      <w:sz w:val="22"/>
                      <w:szCs w:val="22"/>
                      <w:highlight w:val="none"/>
                      <w:vertAlign w:val="baseline"/>
                      <w:lang w:val="en-US" w:eastAsia="zh-CN"/>
                    </w:rPr>
                  </w:pPr>
                  <w:r>
                    <w:rPr>
                      <w:rFonts w:hint="eastAsia" w:ascii="宋体" w:hAnsi="宋体" w:eastAsia="宋体" w:cs="宋体"/>
                      <w:b/>
                      <w:bCs w:val="0"/>
                      <w:i w:val="0"/>
                      <w:iCs w:val="0"/>
                      <w:color w:val="auto"/>
                      <w:kern w:val="0"/>
                      <w:sz w:val="24"/>
                      <w:szCs w:val="24"/>
                      <w:highlight w:val="none"/>
                      <w:u w:val="single"/>
                      <w:lang w:val="en-US" w:eastAsia="zh-CN" w:bidi="ar-SA"/>
                    </w:rPr>
                    <w:t>其他未列明行业。</w:t>
                  </w:r>
                </w:p>
              </w:tc>
            </w:tr>
          </w:tbl>
          <w:p w14:paraId="567981DD">
            <w:pPr>
              <w:pStyle w:val="49"/>
              <w:rPr>
                <w:rFonts w:hint="eastAsia" w:ascii="宋体" w:hAnsi="宋体" w:eastAsia="宋体" w:cs="宋体"/>
                <w:i w:val="0"/>
                <w:iCs w:val="0"/>
                <w:color w:val="auto"/>
                <w:sz w:val="24"/>
                <w:szCs w:val="24"/>
                <w:highlight w:val="none"/>
              </w:rPr>
            </w:pPr>
          </w:p>
        </w:tc>
      </w:tr>
      <w:tr w14:paraId="250688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989" w:hRule="atLeast"/>
          <w:jc w:val="center"/>
        </w:trPr>
        <w:tc>
          <w:tcPr>
            <w:tcW w:w="1005" w:type="dxa"/>
            <w:tcBorders>
              <w:top w:val="single" w:color="auto" w:sz="2" w:space="0"/>
              <w:left w:val="single" w:color="auto" w:sz="2" w:space="0"/>
              <w:bottom w:val="single" w:color="auto" w:sz="2" w:space="0"/>
              <w:right w:val="single" w:color="auto" w:sz="2" w:space="0"/>
            </w:tcBorders>
            <w:shd w:val="clear" w:color="auto" w:fill="auto"/>
            <w:vAlign w:val="center"/>
          </w:tcPr>
          <w:p w14:paraId="4B462B2A">
            <w:pPr>
              <w:pStyle w:val="49"/>
              <w:jc w:val="cente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rPr>
              <w:t>43.5</w:t>
            </w:r>
          </w:p>
        </w:tc>
        <w:tc>
          <w:tcPr>
            <w:tcW w:w="1509" w:type="dxa"/>
            <w:tcBorders>
              <w:top w:val="single" w:color="auto" w:sz="2" w:space="0"/>
              <w:left w:val="single" w:color="auto" w:sz="2" w:space="0"/>
              <w:bottom w:val="single" w:color="auto" w:sz="2" w:space="0"/>
              <w:right w:val="single" w:color="auto" w:sz="2" w:space="0"/>
            </w:tcBorders>
            <w:shd w:val="clear" w:color="auto" w:fill="auto"/>
            <w:vAlign w:val="center"/>
          </w:tcPr>
          <w:p w14:paraId="5579BE21">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rPr>
              <w:t>优先采购创新节能环保产品</w:t>
            </w:r>
          </w:p>
        </w:tc>
        <w:tc>
          <w:tcPr>
            <w:tcW w:w="6450" w:type="dxa"/>
            <w:tcBorders>
              <w:top w:val="single" w:color="auto" w:sz="2" w:space="0"/>
              <w:left w:val="single" w:color="auto" w:sz="2" w:space="0"/>
              <w:bottom w:val="single" w:color="auto" w:sz="2" w:space="0"/>
              <w:right w:val="single" w:color="auto" w:sz="2" w:space="0"/>
            </w:tcBorders>
            <w:shd w:val="clear" w:color="auto" w:fill="auto"/>
            <w:vAlign w:val="center"/>
          </w:tcPr>
          <w:p w14:paraId="512F2F4A">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rPr>
              <w:t>所</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产品纳入创新产品应用示范推荐目录内企业、所</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产品获得节能产品或环境标志产品认证证书的</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给予</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rPr>
              <w:t xml:space="preserve">  </w:t>
            </w:r>
            <w:r>
              <w:rPr>
                <w:rFonts w:hint="eastAsia" w:cs="宋体"/>
                <w:color w:val="auto"/>
                <w:sz w:val="24"/>
                <w:szCs w:val="24"/>
                <w:highlight w:val="none"/>
                <w:lang w:val="en-US" w:eastAsia="zh-CN"/>
              </w:rPr>
              <w:t>评审优惠</w:t>
            </w:r>
            <w:r>
              <w:rPr>
                <w:rFonts w:hint="eastAsia" w:ascii="宋体" w:hAnsi="宋体" w:eastAsia="宋体" w:cs="宋体"/>
                <w:i w:val="0"/>
                <w:iCs w:val="0"/>
                <w:color w:val="auto"/>
                <w:sz w:val="24"/>
                <w:szCs w:val="24"/>
                <w:highlight w:val="none"/>
              </w:rPr>
              <w:t>。</w:t>
            </w:r>
          </w:p>
        </w:tc>
      </w:tr>
      <w:tr w14:paraId="0D54DE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1005" w:type="dxa"/>
            <w:tcBorders>
              <w:top w:val="single" w:color="auto" w:sz="2" w:space="0"/>
              <w:left w:val="single" w:color="auto" w:sz="2" w:space="0"/>
              <w:bottom w:val="single" w:color="auto" w:sz="2" w:space="0"/>
              <w:right w:val="single" w:color="auto" w:sz="2" w:space="0"/>
            </w:tcBorders>
            <w:shd w:val="clear" w:color="auto" w:fill="auto"/>
            <w:vAlign w:val="center"/>
          </w:tcPr>
          <w:p w14:paraId="7ABDB0CF">
            <w:pPr>
              <w:pStyle w:val="49"/>
              <w:jc w:val="cente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rPr>
              <w:t>4</w:t>
            </w:r>
            <w:r>
              <w:rPr>
                <w:rFonts w:hint="eastAsia" w:ascii="宋体" w:hAnsi="宋体" w:eastAsia="宋体" w:cs="宋体"/>
                <w:i w:val="0"/>
                <w:iCs w:val="0"/>
                <w:color w:val="auto"/>
                <w:sz w:val="24"/>
                <w:szCs w:val="24"/>
                <w:highlight w:val="none"/>
                <w:lang w:val="en-US" w:eastAsia="zh-CN"/>
              </w:rPr>
              <w:t>7</w:t>
            </w:r>
            <w:r>
              <w:rPr>
                <w:rFonts w:hint="eastAsia" w:ascii="宋体" w:hAnsi="宋体" w:eastAsia="宋体" w:cs="宋体"/>
                <w:i w:val="0"/>
                <w:iCs w:val="0"/>
                <w:color w:val="auto"/>
                <w:sz w:val="24"/>
                <w:szCs w:val="24"/>
                <w:highlight w:val="none"/>
              </w:rPr>
              <w:t>.1</w:t>
            </w:r>
          </w:p>
        </w:tc>
        <w:tc>
          <w:tcPr>
            <w:tcW w:w="1509" w:type="dxa"/>
            <w:tcBorders>
              <w:top w:val="single" w:color="auto" w:sz="2" w:space="0"/>
              <w:left w:val="single" w:color="auto" w:sz="2" w:space="0"/>
              <w:bottom w:val="single" w:color="auto" w:sz="2" w:space="0"/>
              <w:right w:val="single" w:color="auto" w:sz="2" w:space="0"/>
            </w:tcBorders>
            <w:shd w:val="clear" w:color="auto" w:fill="auto"/>
            <w:vAlign w:val="center"/>
          </w:tcPr>
          <w:p w14:paraId="2FD09A5D">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政府采购</w:t>
            </w:r>
          </w:p>
          <w:p w14:paraId="0B64C616">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rPr>
              <w:t>合同融资政策</w:t>
            </w:r>
          </w:p>
        </w:tc>
        <w:tc>
          <w:tcPr>
            <w:tcW w:w="6450" w:type="dxa"/>
            <w:tcBorders>
              <w:top w:val="single" w:color="auto" w:sz="2" w:space="0"/>
              <w:left w:val="single" w:color="auto" w:sz="2" w:space="0"/>
              <w:bottom w:val="single" w:color="auto" w:sz="2" w:space="0"/>
              <w:right w:val="single" w:color="auto" w:sz="2" w:space="0"/>
            </w:tcBorders>
            <w:shd w:val="clear" w:color="auto" w:fill="auto"/>
            <w:vAlign w:val="center"/>
          </w:tcPr>
          <w:p w14:paraId="7CDE000C">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 xml:space="preserve">  1.</w:t>
            </w:r>
            <w:r>
              <w:rPr>
                <w:rFonts w:hint="eastAsia" w:ascii="宋体" w:hAnsi="宋体" w:eastAsia="宋体" w:cs="宋体"/>
                <w:i w:val="0"/>
                <w:iCs w:val="0"/>
                <w:color w:val="auto"/>
                <w:sz w:val="24"/>
                <w:szCs w:val="24"/>
                <w:highlight w:val="none"/>
              </w:rPr>
              <w:t>有融资需求的</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人在获得政府采购</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通知书后，即可向开展“政采贷”业务的金融机构提出申请，金融机构依据政府采购</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通知书和政府采购合同，为中小微企业提供融资服务。</w:t>
            </w:r>
          </w:p>
          <w:p w14:paraId="02AC5BF2">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渠道和方式：</w:t>
            </w:r>
            <w:r>
              <w:rPr>
                <w:rFonts w:hint="eastAsia" w:ascii="宋体" w:hAnsi="宋体" w:eastAsia="宋体" w:cs="宋体"/>
                <w:i w:val="0"/>
                <w:iCs w:val="0"/>
                <w:color w:val="auto"/>
                <w:sz w:val="24"/>
                <w:szCs w:val="24"/>
                <w:highlight w:val="none"/>
                <w:lang w:val="en-US" w:eastAsia="zh-CN"/>
              </w:rPr>
              <w:t>详见新疆政府采购网</w:t>
            </w:r>
            <w:r>
              <w:rPr>
                <w:rFonts w:hint="eastAsia" w:ascii="宋体" w:hAnsi="宋体" w:eastAsia="宋体" w:cs="宋体"/>
                <w:i w:val="0"/>
                <w:iCs w:val="0"/>
                <w:color w:val="auto"/>
                <w:sz w:val="24"/>
                <w:szCs w:val="24"/>
                <w:highlight w:val="none"/>
              </w:rPr>
              <w:t>。</w:t>
            </w:r>
          </w:p>
          <w:p w14:paraId="45656CBD">
            <w:pPr>
              <w:pStyle w:val="49"/>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highlight w:val="none"/>
                <w:lang w:val="en-US" w:eastAsia="zh-CN"/>
              </w:rPr>
              <w:t xml:space="preserve">  2.</w:t>
            </w:r>
            <w:r>
              <w:rPr>
                <w:rFonts w:hint="eastAsia" w:ascii="宋体" w:hAnsi="宋体" w:eastAsia="宋体" w:cs="宋体"/>
                <w:i w:val="0"/>
                <w:iCs w:val="0"/>
                <w:color w:val="auto"/>
                <w:sz w:val="24"/>
                <w:szCs w:val="24"/>
                <w:highlight w:val="none"/>
                <w:lang w:eastAsia="zh-CN"/>
              </w:rPr>
              <w:t>“政采贷”融资指引：在取得政府采购</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lang w:eastAsia="zh-CN"/>
              </w:rPr>
              <w:t>通知书后，可访问“</w:t>
            </w:r>
            <w:r>
              <w:rPr>
                <w:rFonts w:hint="eastAsia" w:ascii="宋体" w:hAnsi="宋体" w:eastAsia="宋体" w:cs="宋体"/>
                <w:i w:val="0"/>
                <w:iCs w:val="0"/>
                <w:color w:val="auto"/>
                <w:sz w:val="24"/>
                <w:szCs w:val="24"/>
                <w:highlight w:val="none"/>
                <w:lang w:val="en-US" w:eastAsia="zh-CN"/>
              </w:rPr>
              <w:t>融资服务平台”</w:t>
            </w:r>
            <w:r>
              <w:rPr>
                <w:rFonts w:hint="eastAsia" w:ascii="宋体" w:hAnsi="宋体" w:eastAsia="宋体" w:cs="宋体"/>
                <w:i w:val="0"/>
                <w:iCs w:val="0"/>
                <w:color w:val="auto"/>
                <w:sz w:val="24"/>
                <w:szCs w:val="24"/>
                <w:highlight w:val="none"/>
                <w:lang w:eastAsia="zh-CN"/>
              </w:rPr>
              <w:t>，查看和联系第三方平台或者金融机构，商洽融资事项，确定融资意向。</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lang w:eastAsia="zh-CN"/>
              </w:rPr>
              <w:t>人签署政府采购</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lang w:eastAsia="zh-CN"/>
              </w:rPr>
              <w:t>合同后，登录“</w:t>
            </w:r>
            <w:r>
              <w:rPr>
                <w:rFonts w:hint="eastAsia" w:ascii="宋体" w:hAnsi="宋体" w:eastAsia="宋体" w:cs="宋体"/>
                <w:i w:val="0"/>
                <w:iCs w:val="0"/>
                <w:color w:val="auto"/>
                <w:sz w:val="24"/>
                <w:szCs w:val="24"/>
                <w:highlight w:val="none"/>
                <w:lang w:val="en-US" w:eastAsia="zh-CN"/>
              </w:rPr>
              <w:t>融资服务平台”</w:t>
            </w:r>
            <w:r>
              <w:rPr>
                <w:rFonts w:hint="eastAsia" w:ascii="宋体" w:hAnsi="宋体" w:eastAsia="宋体" w:cs="宋体"/>
                <w:i w:val="0"/>
                <w:iCs w:val="0"/>
                <w:color w:val="auto"/>
                <w:sz w:val="24"/>
                <w:szCs w:val="24"/>
                <w:highlight w:val="none"/>
                <w:lang w:eastAsia="zh-CN"/>
              </w:rPr>
              <w:t>，选择意向产品进行申请，并填写相关信息，“</w:t>
            </w:r>
            <w:r>
              <w:rPr>
                <w:rFonts w:hint="eastAsia" w:ascii="宋体" w:hAnsi="宋体" w:eastAsia="宋体" w:cs="宋体"/>
                <w:i w:val="0"/>
                <w:iCs w:val="0"/>
                <w:color w:val="auto"/>
                <w:sz w:val="24"/>
                <w:szCs w:val="24"/>
                <w:highlight w:val="none"/>
                <w:lang w:val="en-US" w:eastAsia="zh-CN"/>
              </w:rPr>
              <w:t>融资服务平台”</w:t>
            </w:r>
            <w:r>
              <w:rPr>
                <w:rFonts w:hint="eastAsia" w:ascii="宋体" w:hAnsi="宋体" w:eastAsia="宋体" w:cs="宋体"/>
                <w:i w:val="0"/>
                <w:iCs w:val="0"/>
                <w:color w:val="auto"/>
                <w:sz w:val="24"/>
                <w:szCs w:val="24"/>
                <w:highlight w:val="none"/>
                <w:lang w:eastAsia="zh-CN"/>
              </w:rPr>
              <w:t>将中标人融资申请信息推送第三方平台、意向金融机构。</w:t>
            </w:r>
          </w:p>
        </w:tc>
      </w:tr>
      <w:tr w14:paraId="7C1A54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2233" w:hRule="atLeast"/>
          <w:jc w:val="center"/>
        </w:trPr>
        <w:tc>
          <w:tcPr>
            <w:tcW w:w="1005" w:type="dxa"/>
            <w:tcBorders>
              <w:top w:val="single" w:color="auto" w:sz="2" w:space="0"/>
              <w:left w:val="single" w:color="auto" w:sz="2" w:space="0"/>
              <w:bottom w:val="single" w:color="auto" w:sz="2" w:space="0"/>
              <w:right w:val="single" w:color="auto" w:sz="4" w:space="0"/>
            </w:tcBorders>
            <w:vAlign w:val="center"/>
          </w:tcPr>
          <w:p w14:paraId="52DCFAA7">
            <w:pPr>
              <w:pStyle w:val="49"/>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w:t>
            </w:r>
            <w:r>
              <w:rPr>
                <w:rFonts w:hint="eastAsia" w:ascii="宋体" w:hAnsi="宋体" w:eastAsia="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.1</w:t>
            </w:r>
          </w:p>
        </w:tc>
        <w:tc>
          <w:tcPr>
            <w:tcW w:w="1509" w:type="dxa"/>
            <w:tcBorders>
              <w:top w:val="single" w:color="auto" w:sz="2" w:space="0"/>
              <w:left w:val="single" w:color="auto" w:sz="2" w:space="0"/>
              <w:bottom w:val="single" w:color="auto" w:sz="2" w:space="0"/>
              <w:right w:val="single" w:color="auto" w:sz="4" w:space="0"/>
            </w:tcBorders>
            <w:vAlign w:val="center"/>
          </w:tcPr>
          <w:p w14:paraId="7125A7E4">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需要补充的其他内容</w:t>
            </w:r>
          </w:p>
        </w:tc>
        <w:tc>
          <w:tcPr>
            <w:tcW w:w="6450" w:type="dxa"/>
            <w:tcBorders>
              <w:top w:val="single" w:color="auto" w:sz="2" w:space="0"/>
              <w:left w:val="single" w:color="auto" w:sz="4" w:space="0"/>
              <w:bottom w:val="single" w:color="auto" w:sz="2" w:space="0"/>
              <w:right w:val="single" w:color="auto" w:sz="2" w:space="0"/>
            </w:tcBorders>
            <w:vAlign w:val="center"/>
          </w:tcPr>
          <w:p w14:paraId="299E69EE">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1、电子标书加盖印章的两种方式:一种为电子章；另一种为纸质版盖章后扫描，两种方式的任意一种在评审时均予认可。</w:t>
            </w:r>
          </w:p>
          <w:p w14:paraId="4E0E8F2F">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2、供应商在上传电子响应文件时，需在“商务技术响应文件”中按响应文件格式要求上传完整的响应文件（从封面开始至最后一页）。</w:t>
            </w:r>
          </w:p>
          <w:p w14:paraId="17865C19">
            <w:pPr>
              <w:pStyle w:val="49"/>
              <w:rPr>
                <w:rFonts w:hint="eastAsia" w:ascii="宋体" w:hAnsi="宋体" w:eastAsia="宋体" w:cs="宋体"/>
                <w:b/>
                <w:bCs/>
                <w:i w:val="0"/>
                <w:iCs w:val="0"/>
                <w:color w:val="auto"/>
                <w:sz w:val="24"/>
                <w:szCs w:val="24"/>
                <w:highlight w:val="none"/>
                <w:lang w:eastAsia="zh-CN"/>
              </w:rPr>
            </w:pPr>
            <w:r>
              <w:rPr>
                <w:rFonts w:hint="eastAsia" w:ascii="宋体" w:hAnsi="宋体" w:eastAsia="宋体" w:cs="宋体"/>
                <w:b/>
                <w:bCs/>
                <w:i w:val="0"/>
                <w:iCs w:val="0"/>
                <w:color w:val="auto"/>
                <w:sz w:val="24"/>
                <w:szCs w:val="24"/>
                <w:highlight w:val="none"/>
              </w:rPr>
              <w:t>3、付款方式</w:t>
            </w:r>
            <w:r>
              <w:rPr>
                <w:rFonts w:hint="eastAsia" w:ascii="宋体" w:hAnsi="宋体" w:eastAsia="宋体" w:cs="宋体"/>
                <w:b/>
                <w:bCs/>
                <w:i w:val="0"/>
                <w:iCs w:val="0"/>
                <w:color w:val="auto"/>
                <w:sz w:val="24"/>
                <w:szCs w:val="24"/>
                <w:highlight w:val="none"/>
                <w:lang w:eastAsia="zh-CN"/>
              </w:rPr>
              <w:t>：</w:t>
            </w:r>
          </w:p>
          <w:p w14:paraId="10017778">
            <w:pPr>
              <w:pStyle w:val="49"/>
              <w:rPr>
                <w:rFonts w:hint="eastAsia" w:cs="宋体"/>
                <w:b w:val="0"/>
                <w:bCs w:val="0"/>
                <w:i w:val="0"/>
                <w:iCs w:val="0"/>
                <w:color w:val="auto"/>
                <w:sz w:val="24"/>
                <w:szCs w:val="24"/>
                <w:highlight w:val="none"/>
                <w:lang w:val="en-US" w:eastAsia="zh-CN"/>
              </w:rPr>
            </w:pPr>
            <w:r>
              <w:rPr>
                <w:rFonts w:hint="eastAsia" w:cs="宋体"/>
                <w:b w:val="0"/>
                <w:bCs w:val="0"/>
                <w:i w:val="0"/>
                <w:iCs w:val="0"/>
                <w:color w:val="auto"/>
                <w:sz w:val="24"/>
                <w:szCs w:val="24"/>
                <w:highlight w:val="none"/>
                <w:lang w:val="en-US" w:eastAsia="zh-CN"/>
              </w:rPr>
              <w:t>预付款：合同签订后支付合同总金额的30%；</w:t>
            </w:r>
          </w:p>
          <w:p w14:paraId="3F4F52F7">
            <w:pPr>
              <w:pStyle w:val="49"/>
              <w:rPr>
                <w:rFonts w:hint="eastAsia" w:cs="宋体"/>
                <w:b w:val="0"/>
                <w:bCs w:val="0"/>
                <w:i w:val="0"/>
                <w:iCs w:val="0"/>
                <w:color w:val="auto"/>
                <w:sz w:val="24"/>
                <w:szCs w:val="24"/>
                <w:highlight w:val="none"/>
                <w:lang w:val="en-US" w:eastAsia="zh-CN"/>
              </w:rPr>
            </w:pPr>
            <w:r>
              <w:rPr>
                <w:rFonts w:hint="eastAsia" w:cs="宋体"/>
                <w:b w:val="0"/>
                <w:bCs w:val="0"/>
                <w:i w:val="0"/>
                <w:iCs w:val="0"/>
                <w:color w:val="auto"/>
                <w:sz w:val="24"/>
                <w:szCs w:val="24"/>
                <w:highlight w:val="none"/>
                <w:lang w:val="en-US" w:eastAsia="zh-CN"/>
              </w:rPr>
              <w:t>进度款：完成首轮摸排及主要货物安装调试，经采购人确认后支付合同总金额的40%；</w:t>
            </w:r>
          </w:p>
          <w:p w14:paraId="570DE995">
            <w:pPr>
              <w:pStyle w:val="49"/>
              <w:rPr>
                <w:rFonts w:hint="eastAsia" w:cs="宋体"/>
                <w:b w:val="0"/>
                <w:bCs w:val="0"/>
                <w:i w:val="0"/>
                <w:iCs w:val="0"/>
                <w:color w:val="auto"/>
                <w:sz w:val="24"/>
                <w:szCs w:val="24"/>
                <w:highlight w:val="none"/>
                <w:lang w:val="en-US" w:eastAsia="zh-CN"/>
              </w:rPr>
            </w:pPr>
            <w:r>
              <w:rPr>
                <w:rFonts w:hint="eastAsia" w:cs="宋体"/>
                <w:b w:val="0"/>
                <w:bCs w:val="0"/>
                <w:i w:val="0"/>
                <w:iCs w:val="0"/>
                <w:color w:val="auto"/>
                <w:sz w:val="24"/>
                <w:szCs w:val="24"/>
                <w:highlight w:val="none"/>
                <w:lang w:val="en-US" w:eastAsia="zh-CN"/>
              </w:rPr>
              <w:t>尾款：服务期满验收合格后支付合同总金额的30%。</w:t>
            </w:r>
          </w:p>
          <w:p w14:paraId="06A39E8F">
            <w:pPr>
              <w:pStyle w:val="49"/>
              <w:rPr>
                <w:rFonts w:hint="default" w:ascii="宋体" w:hAnsi="宋体" w:eastAsia="宋体" w:cs="宋体"/>
                <w:i w:val="0"/>
                <w:iCs w:val="0"/>
                <w:color w:val="auto"/>
                <w:sz w:val="24"/>
                <w:szCs w:val="24"/>
                <w:highlight w:val="none"/>
                <w:lang w:val="en-US" w:eastAsia="zh-CN"/>
              </w:rPr>
            </w:pPr>
            <w:r>
              <w:rPr>
                <w:rFonts w:hint="eastAsia" w:cs="宋体"/>
                <w:b w:val="0"/>
                <w:bCs w:val="0"/>
                <w:i w:val="0"/>
                <w:iCs w:val="0"/>
                <w:color w:val="auto"/>
                <w:sz w:val="24"/>
                <w:szCs w:val="24"/>
                <w:highlight w:val="none"/>
                <w:lang w:val="en-US" w:eastAsia="zh-CN"/>
              </w:rPr>
              <w:t>（具体以签订合同为准）</w:t>
            </w:r>
          </w:p>
        </w:tc>
      </w:tr>
      <w:tr w14:paraId="647D7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90" w:hRule="atLeast"/>
          <w:jc w:val="center"/>
        </w:trPr>
        <w:tc>
          <w:tcPr>
            <w:tcW w:w="1005" w:type="dxa"/>
            <w:tcBorders>
              <w:top w:val="single" w:color="auto" w:sz="2" w:space="0"/>
              <w:left w:val="single" w:color="auto" w:sz="2" w:space="0"/>
              <w:bottom w:val="single" w:color="auto" w:sz="2" w:space="0"/>
              <w:right w:val="single" w:color="auto" w:sz="4" w:space="0"/>
            </w:tcBorders>
            <w:vAlign w:val="center"/>
          </w:tcPr>
          <w:p w14:paraId="6D1A6C8E">
            <w:pPr>
              <w:pStyle w:val="49"/>
              <w:jc w:val="center"/>
              <w:rPr>
                <w:rFonts w:hint="default" w:ascii="宋体" w:hAnsi="宋体" w:eastAsia="宋体" w:cs="宋体"/>
                <w:i w:val="0"/>
                <w:iCs w:val="0"/>
                <w:color w:val="auto"/>
                <w:sz w:val="24"/>
                <w:szCs w:val="24"/>
                <w:highlight w:val="none"/>
                <w:lang w:val="en-US" w:eastAsia="zh-CN"/>
              </w:rPr>
            </w:pPr>
            <w:r>
              <w:rPr>
                <w:rFonts w:hint="eastAsia" w:cs="宋体"/>
                <w:i w:val="0"/>
                <w:iCs w:val="0"/>
                <w:color w:val="auto"/>
                <w:sz w:val="24"/>
                <w:szCs w:val="24"/>
                <w:highlight w:val="none"/>
                <w:lang w:val="en-US" w:eastAsia="zh-CN"/>
              </w:rPr>
              <w:t>48.2</w:t>
            </w:r>
          </w:p>
        </w:tc>
        <w:tc>
          <w:tcPr>
            <w:tcW w:w="1509" w:type="dxa"/>
            <w:tcBorders>
              <w:top w:val="single" w:color="auto" w:sz="2" w:space="0"/>
              <w:left w:val="single" w:color="auto" w:sz="2" w:space="0"/>
              <w:bottom w:val="single" w:color="auto" w:sz="2" w:space="0"/>
              <w:right w:val="single" w:color="auto" w:sz="4" w:space="0"/>
            </w:tcBorders>
            <w:vAlign w:val="center"/>
          </w:tcPr>
          <w:p w14:paraId="0A64227B">
            <w:pPr>
              <w:pStyle w:val="49"/>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报价要求-</w:t>
            </w:r>
          </w:p>
          <w:p w14:paraId="38AFEB5A">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异常低价投标（响应）审查的新规定</w:t>
            </w:r>
          </w:p>
        </w:tc>
        <w:tc>
          <w:tcPr>
            <w:tcW w:w="6450" w:type="dxa"/>
            <w:tcBorders>
              <w:top w:val="single" w:color="auto" w:sz="2" w:space="0"/>
              <w:left w:val="single" w:color="auto" w:sz="4" w:space="0"/>
              <w:bottom w:val="single" w:color="auto" w:sz="2" w:space="0"/>
              <w:right w:val="single" w:color="auto" w:sz="2" w:space="0"/>
            </w:tcBorders>
            <w:vAlign w:val="center"/>
          </w:tcPr>
          <w:p w14:paraId="6132CA8D">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i w:val="0"/>
                <w:iCs w:val="0"/>
                <w:color w:val="auto"/>
                <w:sz w:val="24"/>
                <w:szCs w:val="24"/>
                <w:highlight w:val="none"/>
                <w:lang w:val="en-US" w:eastAsia="zh-CN"/>
              </w:rPr>
            </w:pPr>
            <w:r>
              <w:rPr>
                <w:rFonts w:hint="eastAsia" w:ascii="宋体" w:hAnsi="宋体" w:eastAsia="宋体" w:cs="宋体"/>
                <w:b/>
                <w:bCs/>
                <w:i w:val="0"/>
                <w:iCs w:val="0"/>
                <w:color w:val="auto"/>
                <w:sz w:val="24"/>
                <w:szCs w:val="24"/>
                <w:highlight w:val="none"/>
                <w:lang w:val="en-US" w:eastAsia="zh-CN"/>
              </w:rPr>
              <w:t>异常低价投标（响应）审查的新规定</w:t>
            </w:r>
          </w:p>
          <w:p w14:paraId="694C7A54">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1、审查依据</w:t>
            </w:r>
          </w:p>
          <w:p w14:paraId="345ED961">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依据《中华人民共和国政府采购法》</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《中华人民共和国政府采购法实施条例》及财政部2026年2号文件《</w:t>
            </w:r>
            <w:r>
              <w:rPr>
                <w:rFonts w:hint="eastAsia" w:cs="宋体"/>
                <w:i w:val="0"/>
                <w:iCs w:val="0"/>
                <w:color w:val="auto"/>
                <w:sz w:val="24"/>
                <w:szCs w:val="24"/>
                <w:highlight w:val="none"/>
                <w:lang w:val="en-US" w:eastAsia="zh-CN"/>
              </w:rPr>
              <w:t>关于推动解决政府采购异常低价问题的通知</w:t>
            </w:r>
            <w:r>
              <w:rPr>
                <w:rFonts w:hint="eastAsia" w:ascii="宋体" w:hAnsi="宋体" w:eastAsia="宋体" w:cs="宋体"/>
                <w:i w:val="0"/>
                <w:iCs w:val="0"/>
                <w:color w:val="auto"/>
                <w:sz w:val="24"/>
                <w:szCs w:val="24"/>
                <w:highlight w:val="none"/>
                <w:lang w:val="en-US" w:eastAsia="zh-CN"/>
              </w:rPr>
              <w:t>》等相关规定，本项目评审委员会对投标（响应）报价开展异常低价审查工作。</w:t>
            </w:r>
          </w:p>
          <w:p w14:paraId="18FB9C36">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i w:val="0"/>
                <w:iCs w:val="0"/>
                <w:color w:val="auto"/>
                <w:sz w:val="24"/>
                <w:szCs w:val="24"/>
                <w:highlight w:val="none"/>
                <w:lang w:val="en-US" w:eastAsia="zh-CN"/>
              </w:rPr>
            </w:pPr>
            <w:r>
              <w:rPr>
                <w:rFonts w:hint="eastAsia" w:ascii="宋体" w:hAnsi="宋体" w:eastAsia="宋体" w:cs="宋体"/>
                <w:b/>
                <w:bCs/>
                <w:i w:val="0"/>
                <w:iCs w:val="0"/>
                <w:color w:val="auto"/>
                <w:sz w:val="24"/>
                <w:szCs w:val="24"/>
                <w:highlight w:val="none"/>
                <w:lang w:val="en-US" w:eastAsia="zh-CN"/>
              </w:rPr>
              <w:t>2、异常低价情形认定</w:t>
            </w:r>
          </w:p>
          <w:p w14:paraId="462E70CF">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投标（响应）供应商出现下列情形之一的，评审委员会将启动异常低价审查程序：</w:t>
            </w:r>
          </w:p>
          <w:p w14:paraId="33277662">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（1）投标（响应）报价低于全部通过符合性审查供应商报价平均值的50%；</w:t>
            </w:r>
          </w:p>
          <w:p w14:paraId="353F6388">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（2）投标（响应）报价低于通过符合性审查次低报价的50%；</w:t>
            </w:r>
          </w:p>
          <w:p w14:paraId="5D4B07A5">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（3）投标（响应）报价低于本项目最高限价的45%；</w:t>
            </w:r>
          </w:p>
          <w:p w14:paraId="560F2CAD">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（4）评审委员会基于专业判断，认为报价过低可能影响项目履约质量、不能满足采购需求或无法诚信履约的其他情形。</w:t>
            </w:r>
          </w:p>
          <w:p w14:paraId="375F9453">
            <w:pPr>
              <w:pStyle w:val="49"/>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3、审查要求及处理</w:t>
            </w:r>
          </w:p>
          <w:p w14:paraId="7A6450EA">
            <w:pPr>
              <w:pStyle w:val="38"/>
              <w:shd w:val="clear" w:color="auto" w:fill="auto"/>
              <w:spacing w:line="240" w:lineRule="auto"/>
              <w:rPr>
                <w:rFonts w:hint="eastAsia" w:cs="宋体"/>
                <w:color w:val="auto"/>
                <w:sz w:val="24"/>
                <w:szCs w:val="24"/>
                <w:highlight w:val="none"/>
                <w:shd w:val="clear" w:color="auto" w:fill="auto"/>
                <w:lang w:val="en-US" w:eastAsia="zh-CN"/>
              </w:rPr>
            </w:pPr>
            <w:r>
              <w:rPr>
                <w:rFonts w:hint="eastAsia" w:cs="宋体"/>
                <w:color w:val="auto"/>
                <w:sz w:val="24"/>
                <w:szCs w:val="24"/>
                <w:highlight w:val="none"/>
                <w:shd w:val="clear" w:color="auto" w:fill="auto"/>
                <w:lang w:val="en-US" w:eastAsia="zh-CN"/>
              </w:rPr>
              <w:t>被启动审查的供应商，须在合理时间内（不少于 30 分钟），就报价合理性提交书面说明，并提供项目成本测算明细、原材料采购意向协议、人工成本核算依据等可核验的证明材料。属于第（3）项情形，供应商已随投标（响应）文件一并提交相关书面说明及必要的证明材料的，在评审现场可不再重复提交。</w:t>
            </w:r>
          </w:p>
          <w:p w14:paraId="54D3B362">
            <w:pPr>
              <w:pStyle w:val="38"/>
              <w:shd w:val="clear" w:color="auto" w:fill="auto"/>
              <w:spacing w:line="240" w:lineRule="auto"/>
              <w:rPr>
                <w:rFonts w:hint="eastAsia" w:cs="宋体"/>
                <w:color w:val="auto"/>
                <w:sz w:val="24"/>
                <w:szCs w:val="24"/>
                <w:highlight w:val="none"/>
                <w:shd w:val="clear" w:color="auto" w:fill="auto"/>
                <w:lang w:val="en-US" w:eastAsia="zh-CN"/>
              </w:rPr>
            </w:pPr>
            <w:r>
              <w:rPr>
                <w:rFonts w:hint="eastAsia" w:ascii="宋体" w:hAnsi="宋体" w:eastAsia="宋体" w:cs="宋体"/>
                <w:bCs/>
                <w:color w:val="auto"/>
                <w:sz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C3EC133">
            <w:pPr>
              <w:pStyle w:val="38"/>
              <w:shd w:val="clear" w:color="auto" w:fill="auto"/>
              <w:spacing w:line="240" w:lineRule="auto"/>
              <w:rPr>
                <w:rFonts w:hint="eastAsia" w:cs="宋体"/>
                <w:color w:val="auto"/>
                <w:sz w:val="24"/>
                <w:szCs w:val="24"/>
                <w:highlight w:val="none"/>
                <w:shd w:val="clear" w:color="auto" w:fill="auto"/>
                <w:lang w:val="en-US" w:eastAsia="zh-CN"/>
              </w:rPr>
            </w:pPr>
            <w:r>
              <w:rPr>
                <w:rFonts w:hint="eastAsia" w:cs="宋体"/>
                <w:b/>
                <w:bCs/>
                <w:color w:val="auto"/>
                <w:sz w:val="24"/>
                <w:szCs w:val="24"/>
                <w:highlight w:val="none"/>
                <w:shd w:val="clear" w:color="auto" w:fill="auto"/>
                <w:lang w:val="en-US" w:eastAsia="zh-CN"/>
              </w:rPr>
              <w:t>供应商未按要求提交说明及证明材料，或提交的材料无法有效证明报价合理性的，评审委员会将其投标（响应）作无效处理。</w:t>
            </w:r>
          </w:p>
          <w:p w14:paraId="71B696C1">
            <w:pPr>
              <w:pStyle w:val="49"/>
              <w:rPr>
                <w:rFonts w:hint="eastAsia" w:ascii="宋体" w:hAnsi="宋体" w:eastAsia="宋体" w:cs="宋体"/>
                <w:i w:val="0"/>
                <w:iCs w:val="0"/>
                <w:color w:val="auto"/>
                <w:sz w:val="24"/>
                <w:szCs w:val="24"/>
                <w:highlight w:val="none"/>
              </w:rPr>
            </w:pPr>
            <w:r>
              <w:rPr>
                <w:rFonts w:hint="eastAsia" w:cs="宋体"/>
                <w:color w:val="auto"/>
                <w:sz w:val="24"/>
                <w:szCs w:val="24"/>
                <w:highlight w:val="none"/>
                <w:shd w:val="clear" w:color="auto" w:fill="auto"/>
                <w:lang w:val="en-US" w:eastAsia="zh-CN"/>
              </w:rPr>
              <w:t>异常低价审查的全过程及结论，由评审委员会如实记入评审报告，随采购项目档案一并存档备查。</w:t>
            </w:r>
          </w:p>
        </w:tc>
      </w:tr>
      <w:tr w14:paraId="05C9DE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jc w:val="center"/>
        </w:trPr>
        <w:tc>
          <w:tcPr>
            <w:tcW w:w="8964" w:type="dxa"/>
            <w:gridSpan w:val="3"/>
            <w:tcBorders>
              <w:top w:val="single" w:color="auto" w:sz="2" w:space="0"/>
              <w:left w:val="single" w:color="auto" w:sz="2" w:space="0"/>
              <w:bottom w:val="single" w:color="auto" w:sz="2" w:space="0"/>
              <w:right w:val="single" w:color="auto" w:sz="2" w:space="0"/>
            </w:tcBorders>
            <w:vAlign w:val="center"/>
          </w:tcPr>
          <w:p w14:paraId="1A0F27FC">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 除本竞争性磋商文件另有规定外，竞争性磋商文件中出现的类似于“近三年”或“前三年”、“近五年”或“前五年”均指递交响应文件时间以前三年或前五年，以此类推。如：递交响应文件时间为</w:t>
            </w:r>
            <w:r>
              <w:rPr>
                <w:rFonts w:hint="eastAsia" w:cs="宋体"/>
                <w:i w:val="0"/>
                <w:iCs w:val="0"/>
                <w:color w:val="auto"/>
                <w:sz w:val="24"/>
                <w:szCs w:val="24"/>
                <w:highlight w:val="none"/>
                <w:lang w:val="en-US" w:eastAsia="zh-CN"/>
              </w:rPr>
              <w:t>2026</w:t>
            </w:r>
            <w:r>
              <w:rPr>
                <w:rFonts w:hint="eastAsia" w:ascii="宋体" w:hAnsi="宋体" w:eastAsia="宋体" w:cs="宋体"/>
                <w:i w:val="0"/>
                <w:iCs w:val="0"/>
                <w:color w:val="auto"/>
                <w:sz w:val="24"/>
                <w:szCs w:val="24"/>
                <w:highlight w:val="none"/>
              </w:rPr>
              <w:t>年</w:t>
            </w:r>
            <w:r>
              <w:rPr>
                <w:rFonts w:hint="eastAsia" w:cs="宋体"/>
                <w:i w:val="0"/>
                <w:iCs w:val="0"/>
                <w:color w:val="auto"/>
                <w:sz w:val="24"/>
                <w:szCs w:val="24"/>
                <w:highlight w:val="none"/>
                <w:lang w:val="en-US" w:eastAsia="zh-CN"/>
              </w:rPr>
              <w:t>11</w:t>
            </w:r>
            <w:r>
              <w:rPr>
                <w:rFonts w:hint="eastAsia" w:ascii="宋体" w:hAnsi="宋体" w:eastAsia="宋体" w:cs="宋体"/>
                <w:i w:val="0"/>
                <w:iCs w:val="0"/>
                <w:color w:val="auto"/>
                <w:sz w:val="24"/>
                <w:szCs w:val="24"/>
                <w:highlight w:val="none"/>
              </w:rPr>
              <w:t>月</w:t>
            </w:r>
            <w:r>
              <w:rPr>
                <w:rFonts w:hint="eastAsia" w:cs="宋体"/>
                <w:i w:val="0"/>
                <w:iCs w:val="0"/>
                <w:color w:val="auto"/>
                <w:sz w:val="24"/>
                <w:szCs w:val="24"/>
                <w:highlight w:val="none"/>
                <w:lang w:val="en-US" w:eastAsia="zh-CN"/>
              </w:rPr>
              <w:t>13</w:t>
            </w:r>
            <w:r>
              <w:rPr>
                <w:rFonts w:hint="eastAsia" w:ascii="宋体" w:hAnsi="宋体" w:eastAsia="宋体" w:cs="宋体"/>
                <w:i w:val="0"/>
                <w:iCs w:val="0"/>
                <w:color w:val="auto"/>
                <w:sz w:val="24"/>
                <w:szCs w:val="24"/>
                <w:highlight w:val="none"/>
              </w:rPr>
              <w:t>日，则“近三年”是指</w:t>
            </w:r>
            <w:r>
              <w:rPr>
                <w:rFonts w:hint="eastAsia" w:cs="宋体"/>
                <w:i w:val="0"/>
                <w:iCs w:val="0"/>
                <w:color w:val="auto"/>
                <w:sz w:val="24"/>
                <w:szCs w:val="24"/>
                <w:highlight w:val="none"/>
                <w:lang w:val="en-US" w:eastAsia="zh-CN"/>
              </w:rPr>
              <w:t>2023</w:t>
            </w:r>
            <w:r>
              <w:rPr>
                <w:rFonts w:hint="eastAsia" w:ascii="宋体" w:hAnsi="宋体" w:eastAsia="宋体" w:cs="宋体"/>
                <w:i w:val="0"/>
                <w:iCs w:val="0"/>
                <w:color w:val="auto"/>
                <w:sz w:val="24"/>
                <w:szCs w:val="24"/>
                <w:highlight w:val="none"/>
              </w:rPr>
              <w:t>年</w:t>
            </w:r>
            <w:r>
              <w:rPr>
                <w:rFonts w:hint="eastAsia" w:cs="宋体"/>
                <w:i w:val="0"/>
                <w:iCs w:val="0"/>
                <w:color w:val="auto"/>
                <w:sz w:val="24"/>
                <w:szCs w:val="24"/>
                <w:highlight w:val="none"/>
                <w:lang w:val="en-US" w:eastAsia="zh-CN"/>
              </w:rPr>
              <w:t>11</w:t>
            </w:r>
            <w:r>
              <w:rPr>
                <w:rFonts w:hint="eastAsia" w:ascii="宋体" w:hAnsi="宋体" w:eastAsia="宋体" w:cs="宋体"/>
                <w:i w:val="0"/>
                <w:iCs w:val="0"/>
                <w:color w:val="auto"/>
                <w:sz w:val="24"/>
                <w:szCs w:val="24"/>
                <w:highlight w:val="none"/>
              </w:rPr>
              <w:t>月</w:t>
            </w:r>
            <w:r>
              <w:rPr>
                <w:rFonts w:hint="eastAsia" w:cs="宋体"/>
                <w:i w:val="0"/>
                <w:iCs w:val="0"/>
                <w:color w:val="auto"/>
                <w:sz w:val="24"/>
                <w:szCs w:val="24"/>
                <w:highlight w:val="none"/>
                <w:lang w:val="en-US" w:eastAsia="zh-CN"/>
              </w:rPr>
              <w:t>13</w:t>
            </w:r>
            <w:r>
              <w:rPr>
                <w:rFonts w:hint="eastAsia" w:ascii="宋体" w:hAnsi="宋体" w:eastAsia="宋体" w:cs="宋体"/>
                <w:i w:val="0"/>
                <w:iCs w:val="0"/>
                <w:color w:val="auto"/>
                <w:sz w:val="24"/>
                <w:szCs w:val="24"/>
                <w:highlight w:val="none"/>
              </w:rPr>
              <w:t>日至</w:t>
            </w:r>
            <w:r>
              <w:rPr>
                <w:rFonts w:hint="eastAsia" w:cs="宋体"/>
                <w:i w:val="0"/>
                <w:iCs w:val="0"/>
                <w:color w:val="auto"/>
                <w:sz w:val="24"/>
                <w:szCs w:val="24"/>
                <w:highlight w:val="none"/>
                <w:lang w:val="en-US" w:eastAsia="zh-CN"/>
              </w:rPr>
              <w:t>2026</w:t>
            </w:r>
            <w:r>
              <w:rPr>
                <w:rFonts w:hint="eastAsia" w:ascii="宋体" w:hAnsi="宋体" w:eastAsia="宋体" w:cs="宋体"/>
                <w:i w:val="0"/>
                <w:iCs w:val="0"/>
                <w:color w:val="auto"/>
                <w:sz w:val="24"/>
                <w:szCs w:val="24"/>
                <w:highlight w:val="none"/>
              </w:rPr>
              <w:t>年</w:t>
            </w:r>
            <w:r>
              <w:rPr>
                <w:rFonts w:hint="eastAsia" w:cs="宋体"/>
                <w:i w:val="0"/>
                <w:iCs w:val="0"/>
                <w:color w:val="auto"/>
                <w:sz w:val="24"/>
                <w:szCs w:val="24"/>
                <w:highlight w:val="none"/>
                <w:lang w:val="en-US" w:eastAsia="zh-CN"/>
              </w:rPr>
              <w:t>11</w:t>
            </w:r>
            <w:r>
              <w:rPr>
                <w:rFonts w:hint="eastAsia" w:ascii="宋体" w:hAnsi="宋体" w:eastAsia="宋体" w:cs="宋体"/>
                <w:i w:val="0"/>
                <w:iCs w:val="0"/>
                <w:color w:val="auto"/>
                <w:sz w:val="24"/>
                <w:szCs w:val="24"/>
                <w:highlight w:val="none"/>
              </w:rPr>
              <w:t>月</w:t>
            </w:r>
            <w:r>
              <w:rPr>
                <w:rFonts w:hint="eastAsia" w:cs="宋体"/>
                <w:i w:val="0"/>
                <w:iCs w:val="0"/>
                <w:color w:val="auto"/>
                <w:sz w:val="24"/>
                <w:szCs w:val="24"/>
                <w:highlight w:val="none"/>
                <w:lang w:val="en-US" w:eastAsia="zh-CN"/>
              </w:rPr>
              <w:t>13</w:t>
            </w:r>
            <w:r>
              <w:rPr>
                <w:rFonts w:hint="eastAsia" w:ascii="宋体" w:hAnsi="宋体" w:eastAsia="宋体" w:cs="宋体"/>
                <w:i w:val="0"/>
                <w:iCs w:val="0"/>
                <w:color w:val="auto"/>
                <w:sz w:val="24"/>
                <w:szCs w:val="24"/>
                <w:highlight w:val="none"/>
              </w:rPr>
              <w:t>日。</w:t>
            </w:r>
          </w:p>
          <w:p w14:paraId="55B1805C">
            <w:pPr>
              <w:pStyle w:val="49"/>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 本竞争性磋商文件所称的“以上”、“以下”、“内”、“以内”，包括本数；所称的“不足”，不包括本数。</w:t>
            </w:r>
          </w:p>
        </w:tc>
      </w:tr>
      <w:bookmarkEnd w:id="96"/>
    </w:tbl>
    <w:p w14:paraId="4EAF89F7">
      <w:pPr>
        <w:rPr>
          <w:i w:val="0"/>
          <w:iCs w:val="0"/>
          <w:color w:val="auto"/>
          <w:highlight w:val="none"/>
        </w:rPr>
      </w:pPr>
    </w:p>
    <w:p w14:paraId="326A6B0F">
      <w:pPr>
        <w:rPr>
          <w:i w:val="0"/>
          <w:iCs w:val="0"/>
          <w:color w:val="auto"/>
          <w:highlight w:val="none"/>
        </w:rPr>
        <w:sectPr>
          <w:footerReference r:id="rId7" w:type="default"/>
          <w:pgSz w:w="11906" w:h="16838"/>
          <w:pgMar w:top="1440" w:right="1800" w:bottom="1440" w:left="1800" w:header="851" w:footer="652" w:gutter="0"/>
          <w:pgNumType w:fmt="numberInDash"/>
          <w:cols w:space="0" w:num="1"/>
          <w:rtlGutter w:val="0"/>
          <w:docGrid w:type="lines" w:linePitch="312" w:charSpace="0"/>
        </w:sectPr>
      </w:pPr>
    </w:p>
    <w:p w14:paraId="168D2512">
      <w:pPr>
        <w:pStyle w:val="5"/>
        <w:keepNext/>
        <w:keepLines/>
        <w:pageBreakBefore w:val="0"/>
        <w:widowControl w:val="0"/>
        <w:numPr>
          <w:ilvl w:val="0"/>
          <w:numId w:val="0"/>
        </w:numPr>
        <w:kinsoku/>
        <w:wordWrap/>
        <w:overflowPunct/>
        <w:topLinePunct w:val="0"/>
        <w:autoSpaceDE/>
        <w:autoSpaceDN/>
        <w:bidi w:val="0"/>
        <w:adjustRightInd/>
        <w:snapToGrid/>
        <w:spacing w:before="80" w:after="80" w:line="360" w:lineRule="auto"/>
        <w:ind w:left="420" w:leftChars="0" w:hanging="420" w:firstLineChars="0"/>
        <w:jc w:val="both"/>
        <w:textAlignment w:val="auto"/>
        <w:rPr>
          <w:rFonts w:hint="eastAsia" w:ascii="等线 Light" w:hAnsi="等线 Light" w:eastAsia="宋体" w:cs="宋体"/>
          <w:b/>
          <w:bCs/>
          <w:i w:val="0"/>
          <w:iCs w:val="0"/>
          <w:color w:val="auto"/>
          <w:kern w:val="2"/>
          <w:sz w:val="28"/>
          <w:szCs w:val="28"/>
          <w:highlight w:val="none"/>
          <w:lang w:val="en-US" w:eastAsia="zh-CN" w:bidi="ar-SA"/>
        </w:rPr>
      </w:pPr>
      <w:bookmarkStart w:id="98" w:name="_Toc163493610"/>
      <w:bookmarkStart w:id="99" w:name="_Toc1575"/>
      <w:r>
        <w:rPr>
          <w:rFonts w:hint="eastAsia" w:ascii="等线 Light" w:hAnsi="等线 Light" w:eastAsia="宋体" w:cs="宋体"/>
          <w:b/>
          <w:bCs/>
          <w:i w:val="0"/>
          <w:iCs w:val="0"/>
          <w:color w:val="auto"/>
          <w:kern w:val="2"/>
          <w:sz w:val="28"/>
          <w:szCs w:val="28"/>
          <w:highlight w:val="none"/>
          <w:lang w:val="en-US" w:eastAsia="zh-CN" w:bidi="ar-SA"/>
        </w:rPr>
        <w:t>二、供应商须知</w:t>
      </w:r>
      <w:bookmarkEnd w:id="98"/>
      <w:bookmarkEnd w:id="99"/>
    </w:p>
    <w:p w14:paraId="324091D6">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00" w:name="_Toc109897433"/>
      <w:bookmarkStart w:id="101" w:name="_Toc163493611"/>
      <w:bookmarkStart w:id="102" w:name="_Toc109899532"/>
      <w:bookmarkStart w:id="103" w:name="_Toc109900370"/>
      <w:bookmarkStart w:id="104" w:name="_Toc109899951"/>
      <w:bookmarkStart w:id="105" w:name="_Toc46771638"/>
      <w:bookmarkStart w:id="106" w:name="_Toc470172694"/>
      <w:r>
        <w:rPr>
          <w:rFonts w:hint="eastAsia" w:ascii="宋体" w:hAnsi="宋体" w:eastAsia="宋体" w:cs="宋体"/>
          <w:b/>
          <w:bCs/>
          <w:i w:val="0"/>
          <w:iCs w:val="0"/>
          <w:color w:val="auto"/>
          <w:kern w:val="2"/>
          <w:sz w:val="24"/>
          <w:szCs w:val="24"/>
          <w:highlight w:val="none"/>
          <w:lang w:val="en-US" w:eastAsia="zh-CN" w:bidi="ar-SA"/>
        </w:rPr>
        <w:t>（一）总则</w:t>
      </w:r>
      <w:bookmarkEnd w:id="100"/>
      <w:bookmarkEnd w:id="101"/>
      <w:bookmarkEnd w:id="102"/>
      <w:bookmarkEnd w:id="103"/>
      <w:bookmarkEnd w:id="104"/>
      <w:bookmarkEnd w:id="105"/>
    </w:p>
    <w:p w14:paraId="6AAB9F3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07" w:name="_Toc46772240"/>
      <w:bookmarkStart w:id="108" w:name="_Toc52962726"/>
      <w:bookmarkStart w:id="109" w:name="_Toc470172664"/>
      <w:bookmarkStart w:id="110" w:name="_Toc48688788"/>
      <w:bookmarkStart w:id="111" w:name="_Toc109899952"/>
      <w:bookmarkStart w:id="112" w:name="_Toc109900371"/>
      <w:bookmarkStart w:id="113" w:name="_Toc51674210"/>
      <w:bookmarkStart w:id="114" w:name="_Toc109897434"/>
      <w:bookmarkStart w:id="115" w:name="_Toc109899533"/>
      <w:bookmarkStart w:id="116" w:name="_Toc48846108"/>
      <w:bookmarkStart w:id="117" w:name="_Toc52960552"/>
      <w:bookmarkStart w:id="118" w:name="_Toc27243"/>
      <w:bookmarkStart w:id="119" w:name="_Toc46771639"/>
      <w:r>
        <w:rPr>
          <w:rFonts w:hint="eastAsia" w:ascii="宋体" w:hAnsi="宋体" w:eastAsia="宋体" w:cs="宋体"/>
          <w:b/>
          <w:bCs/>
          <w:i w:val="0"/>
          <w:iCs w:val="0"/>
          <w:color w:val="auto"/>
          <w:kern w:val="2"/>
          <w:sz w:val="24"/>
          <w:szCs w:val="24"/>
          <w:highlight w:val="none"/>
          <w:lang w:val="en-US" w:eastAsia="zh-CN" w:bidi="ar-SA"/>
        </w:rPr>
        <w:t>1.适用范围</w:t>
      </w:r>
      <w:bookmarkEnd w:id="107"/>
      <w:bookmarkEnd w:id="108"/>
      <w:bookmarkEnd w:id="109"/>
      <w:bookmarkEnd w:id="110"/>
      <w:bookmarkEnd w:id="111"/>
      <w:bookmarkEnd w:id="112"/>
      <w:bookmarkEnd w:id="113"/>
      <w:bookmarkEnd w:id="114"/>
      <w:bookmarkEnd w:id="115"/>
      <w:bookmarkEnd w:id="116"/>
      <w:bookmarkEnd w:id="117"/>
      <w:bookmarkEnd w:id="118"/>
      <w:bookmarkEnd w:id="119"/>
    </w:p>
    <w:p w14:paraId="22826391">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rPr>
      </w:pPr>
      <w:r>
        <w:rPr>
          <w:rFonts w:hint="eastAsia" w:ascii="宋体" w:hAnsi="宋体" w:eastAsia="宋体" w:cs="宋体"/>
          <w:i w:val="0"/>
          <w:iCs w:val="0"/>
          <w:snapToGrid w:val="0"/>
          <w:color w:val="auto"/>
          <w:sz w:val="24"/>
          <w:szCs w:val="24"/>
          <w:highlight w:val="none"/>
        </w:rPr>
        <w:t>1.1本竞争性磋商文件（也称磋商文件或采购文件）仅适用于本次竞争性磋商中所述项目的采购活动。</w:t>
      </w:r>
    </w:p>
    <w:p w14:paraId="64F7C641">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20" w:name="_Toc163492824"/>
      <w:r>
        <w:rPr>
          <w:rFonts w:hint="eastAsia" w:ascii="宋体" w:hAnsi="宋体" w:eastAsia="宋体" w:cs="宋体"/>
          <w:b/>
          <w:bCs/>
          <w:i w:val="0"/>
          <w:iCs w:val="0"/>
          <w:color w:val="auto"/>
          <w:kern w:val="2"/>
          <w:sz w:val="24"/>
          <w:szCs w:val="24"/>
          <w:highlight w:val="none"/>
          <w:lang w:val="en-US" w:eastAsia="zh-CN" w:bidi="ar-SA"/>
        </w:rPr>
        <w:t>2.基本定义</w:t>
      </w:r>
      <w:bookmarkEnd w:id="120"/>
    </w:p>
    <w:p w14:paraId="4B9E186C">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2.1根据《中华人民共和国政府采购法》及其实施条例等有关法律、法规和规章的规定，制定本竞争性磋商文件。</w:t>
      </w:r>
    </w:p>
    <w:p w14:paraId="4D8D0E2F">
      <w:pPr>
        <w:keepNext w:val="0"/>
        <w:keepLines w:val="0"/>
        <w:pageBreakBefore w:val="0"/>
        <w:widowControl w:val="0"/>
        <w:suppressLineNumbers w:val="0"/>
        <w:kinsoku/>
        <w:overflowPunct/>
        <w:topLinePunct w:val="0"/>
        <w:autoSpaceDE/>
        <w:autoSpaceDN/>
        <w:bidi w:val="0"/>
        <w:adjustRightInd/>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2.2采购人：</w:t>
      </w:r>
      <w:r>
        <w:rPr>
          <w:rFonts w:hint="eastAsia" w:ascii="宋体" w:hAnsi="宋体" w:eastAsia="宋体" w:cs="宋体"/>
          <w:i w:val="0"/>
          <w:iCs w:val="0"/>
          <w:color w:val="auto"/>
          <w:kern w:val="0"/>
          <w:sz w:val="24"/>
          <w:szCs w:val="24"/>
          <w:highlight w:val="none"/>
          <w:lang w:val="en-US" w:eastAsia="zh-CN"/>
        </w:rPr>
        <w:t>指依法进行政府采购的国家机关、事业单位、团体组织</w:t>
      </w:r>
      <w:r>
        <w:rPr>
          <w:rFonts w:hint="eastAsia" w:ascii="宋体" w:hAnsi="宋体" w:eastAsia="宋体" w:cs="宋体"/>
          <w:i w:val="0"/>
          <w:iCs w:val="0"/>
          <w:color w:val="auto"/>
          <w:sz w:val="24"/>
          <w:szCs w:val="24"/>
          <w:highlight w:val="none"/>
        </w:rPr>
        <w:t>。</w:t>
      </w:r>
    </w:p>
    <w:p w14:paraId="4B956AC6">
      <w:pPr>
        <w:keepNext w:val="0"/>
        <w:keepLines w:val="0"/>
        <w:pageBreakBefore w:val="0"/>
        <w:widowControl w:val="0"/>
        <w:suppressLineNumbers w:val="0"/>
        <w:kinsoku/>
        <w:overflowPunct/>
        <w:topLinePunct w:val="0"/>
        <w:autoSpaceDE/>
        <w:autoSpaceDN/>
        <w:bidi w:val="0"/>
        <w:adjustRightInd/>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2.3采购代理机构：</w:t>
      </w:r>
      <w:r>
        <w:rPr>
          <w:rFonts w:hint="eastAsia" w:ascii="宋体" w:hAnsi="宋体" w:eastAsia="宋体" w:cs="宋体"/>
          <w:i w:val="0"/>
          <w:iCs w:val="0"/>
          <w:color w:val="auto"/>
          <w:kern w:val="0"/>
          <w:sz w:val="24"/>
          <w:szCs w:val="24"/>
          <w:highlight w:val="none"/>
          <w:lang w:val="en-US" w:eastAsia="zh-CN"/>
        </w:rPr>
        <w:t>指依法进行政府采购的国家机关、事业单位、团体组织</w:t>
      </w:r>
      <w:r>
        <w:rPr>
          <w:rFonts w:hint="eastAsia" w:ascii="宋体" w:hAnsi="宋体" w:eastAsia="宋体" w:cs="宋体"/>
          <w:i w:val="0"/>
          <w:iCs w:val="0"/>
          <w:color w:val="auto"/>
          <w:sz w:val="24"/>
          <w:szCs w:val="24"/>
          <w:highlight w:val="none"/>
          <w:lang w:val="en-US" w:eastAsia="zh-CN"/>
        </w:rPr>
        <w:t>委托的采购代理机构</w:t>
      </w:r>
      <w:r>
        <w:rPr>
          <w:rFonts w:hint="eastAsia" w:ascii="宋体" w:hAnsi="宋体" w:eastAsia="宋体" w:cs="宋体"/>
          <w:i w:val="0"/>
          <w:iCs w:val="0"/>
          <w:color w:val="auto"/>
          <w:sz w:val="24"/>
          <w:szCs w:val="24"/>
          <w:highlight w:val="none"/>
        </w:rPr>
        <w:t>。</w:t>
      </w:r>
    </w:p>
    <w:p w14:paraId="4103653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2.4政府采购监督管理部门：各级人民政府财政部门是负责政府采购监督管理的部门，依法履行对政府采购活动的监督管理职责。各级人民政府其他有关部门依法履行与政府采购活动有关的监督管理职责。</w:t>
      </w:r>
    </w:p>
    <w:p w14:paraId="66ADC5E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2.5 服务内容见</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须知前附表”</w:t>
      </w:r>
      <w:r>
        <w:rPr>
          <w:rFonts w:hint="eastAsia" w:ascii="宋体" w:hAnsi="宋体" w:eastAsia="宋体" w:cs="宋体"/>
          <w:i w:val="0"/>
          <w:iCs w:val="0"/>
          <w:color w:val="auto"/>
          <w:sz w:val="24"/>
          <w:szCs w:val="24"/>
          <w:highlight w:val="none"/>
          <w:lang w:val="en-US" w:eastAsia="zh-CN"/>
        </w:rPr>
        <w:t>。</w:t>
      </w:r>
    </w:p>
    <w:p w14:paraId="6DCCF72A">
      <w:pPr>
        <w:spacing w:line="360" w:lineRule="auto"/>
        <w:ind w:firstLine="480" w:firstLineChars="200"/>
        <w:jc w:val="both"/>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2.6供应商（也称“申请人”）：指向采购人提供货物、工程或者服务的法人、其他组织或者自然人。</w:t>
      </w:r>
      <w:r>
        <w:rPr>
          <w:rFonts w:hint="eastAsia" w:ascii="宋体" w:hAnsi="宋体" w:eastAsia="宋体" w:cs="宋体"/>
          <w:i w:val="0"/>
          <w:iCs w:val="0"/>
          <w:color w:val="auto"/>
          <w:sz w:val="24"/>
          <w:szCs w:val="24"/>
          <w:highlight w:val="none"/>
        </w:rPr>
        <w:t>分支机构不得参加政府采购活动，但银行、保险、石油石化、电力、电信等</w:t>
      </w:r>
      <w:r>
        <w:rPr>
          <w:rFonts w:hint="eastAsia" w:ascii="宋体" w:hAnsi="宋体" w:eastAsia="宋体" w:cs="宋体"/>
          <w:i w:val="0"/>
          <w:iCs w:val="0"/>
          <w:color w:val="auto"/>
          <w:sz w:val="24"/>
          <w:szCs w:val="24"/>
          <w:highlight w:val="none"/>
          <w:lang w:val="en-US" w:eastAsia="zh-CN"/>
        </w:rPr>
        <w:t>有</w:t>
      </w:r>
      <w:r>
        <w:rPr>
          <w:rFonts w:hint="eastAsia" w:ascii="宋体" w:hAnsi="宋体" w:eastAsia="宋体" w:cs="宋体"/>
          <w:i w:val="0"/>
          <w:iCs w:val="0"/>
          <w:color w:val="auto"/>
          <w:sz w:val="24"/>
          <w:szCs w:val="24"/>
          <w:highlight w:val="none"/>
        </w:rPr>
        <w:t>行业特殊</w:t>
      </w:r>
      <w:r>
        <w:rPr>
          <w:rFonts w:hint="eastAsia" w:ascii="宋体" w:hAnsi="宋体" w:eastAsia="宋体" w:cs="宋体"/>
          <w:i w:val="0"/>
          <w:iCs w:val="0"/>
          <w:color w:val="auto"/>
          <w:sz w:val="24"/>
          <w:szCs w:val="24"/>
          <w:highlight w:val="none"/>
          <w:lang w:val="en-US" w:eastAsia="zh-CN"/>
        </w:rPr>
        <w:t>情况的</w:t>
      </w:r>
      <w:r>
        <w:rPr>
          <w:rFonts w:hint="eastAsia" w:ascii="宋体" w:hAnsi="宋体" w:eastAsia="宋体" w:cs="宋体"/>
          <w:i w:val="0"/>
          <w:iCs w:val="0"/>
          <w:color w:val="auto"/>
          <w:sz w:val="24"/>
          <w:szCs w:val="24"/>
          <w:highlight w:val="none"/>
        </w:rPr>
        <w:t>除外。本项目的</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须满足以下条件：</w:t>
      </w:r>
    </w:p>
    <w:p w14:paraId="48BDF011">
      <w:pPr>
        <w:spacing w:line="360" w:lineRule="auto"/>
        <w:ind w:firstLine="480" w:firstLineChars="200"/>
        <w:jc w:val="both"/>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具备《中华人民共和国政府采购法》第二十二条规定的</w:t>
      </w:r>
      <w:r>
        <w:rPr>
          <w:rFonts w:hint="eastAsia" w:ascii="宋体" w:hAnsi="宋体" w:eastAsia="宋体" w:cs="宋体"/>
          <w:i w:val="0"/>
          <w:iCs w:val="0"/>
          <w:color w:val="auto"/>
          <w:sz w:val="24"/>
          <w:szCs w:val="24"/>
          <w:highlight w:val="none"/>
          <w:lang w:val="en-US" w:eastAsia="zh-CN"/>
        </w:rPr>
        <w:t>条件</w:t>
      </w:r>
      <w:r>
        <w:rPr>
          <w:rFonts w:hint="eastAsia" w:ascii="宋体" w:hAnsi="宋体" w:eastAsia="宋体" w:cs="宋体"/>
          <w:i w:val="0"/>
          <w:iCs w:val="0"/>
          <w:color w:val="auto"/>
          <w:sz w:val="24"/>
          <w:szCs w:val="24"/>
          <w:highlight w:val="none"/>
        </w:rPr>
        <w:t>，遵守本项目采购人本级和上级财政部门政府采购的有关规定。</w:t>
      </w:r>
    </w:p>
    <w:p w14:paraId="3DA22D5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以</w:t>
      </w:r>
      <w:r>
        <w:rPr>
          <w:rFonts w:hint="eastAsia" w:ascii="宋体" w:hAnsi="宋体" w:eastAsia="宋体" w:cs="宋体"/>
          <w:i w:val="0"/>
          <w:iCs w:val="0"/>
          <w:color w:val="auto"/>
          <w:sz w:val="24"/>
          <w:szCs w:val="24"/>
          <w:highlight w:val="none"/>
          <w:lang w:val="en-US" w:eastAsia="zh-CN"/>
        </w:rPr>
        <w:t>竞争性磋商公告中发布</w:t>
      </w:r>
      <w:r>
        <w:rPr>
          <w:rFonts w:hint="eastAsia" w:ascii="宋体" w:hAnsi="宋体" w:eastAsia="宋体" w:cs="宋体"/>
          <w:i w:val="0"/>
          <w:iCs w:val="0"/>
          <w:color w:val="auto"/>
          <w:sz w:val="24"/>
          <w:szCs w:val="24"/>
          <w:highlight w:val="none"/>
        </w:rPr>
        <w:t>的方式</w:t>
      </w:r>
      <w:r>
        <w:rPr>
          <w:rFonts w:hint="eastAsia" w:ascii="宋体" w:hAnsi="宋体" w:eastAsia="宋体" w:cs="宋体"/>
          <w:i w:val="0"/>
          <w:iCs w:val="0"/>
          <w:color w:val="auto"/>
          <w:sz w:val="24"/>
          <w:szCs w:val="24"/>
          <w:highlight w:val="none"/>
          <w:lang w:eastAsia="zh-CN"/>
        </w:rPr>
        <w:t>依法</w:t>
      </w:r>
      <w:r>
        <w:rPr>
          <w:rFonts w:hint="eastAsia" w:ascii="宋体" w:hAnsi="宋体" w:eastAsia="宋体" w:cs="宋体"/>
          <w:i w:val="0"/>
          <w:iCs w:val="0"/>
          <w:color w:val="auto"/>
          <w:sz w:val="24"/>
          <w:szCs w:val="24"/>
          <w:highlight w:val="none"/>
        </w:rPr>
        <w:t>获得了本项目的</w:t>
      </w:r>
      <w:r>
        <w:rPr>
          <w:rFonts w:hint="eastAsia" w:ascii="宋体" w:hAnsi="宋体" w:eastAsia="宋体" w:cs="宋体"/>
          <w:i w:val="0"/>
          <w:iCs w:val="0"/>
          <w:color w:val="auto"/>
          <w:sz w:val="24"/>
          <w:szCs w:val="24"/>
          <w:highlight w:val="none"/>
          <w:lang w:val="en-US" w:eastAsia="zh-CN"/>
        </w:rPr>
        <w:t>竞争性磋商</w:t>
      </w:r>
      <w:r>
        <w:rPr>
          <w:rFonts w:hint="eastAsia" w:ascii="宋体" w:hAnsi="宋体" w:eastAsia="宋体" w:cs="宋体"/>
          <w:i w:val="0"/>
          <w:iCs w:val="0"/>
          <w:color w:val="auto"/>
          <w:sz w:val="24"/>
          <w:szCs w:val="24"/>
          <w:highlight w:val="none"/>
        </w:rPr>
        <w:t>文件。</w:t>
      </w:r>
    </w:p>
    <w:p w14:paraId="5C5E591A">
      <w:pPr>
        <w:ind w:firstLine="480" w:firstLineChars="200"/>
        <w:jc w:val="both"/>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2.6.3符合本磋商文件规定并参加磋商的供应商。</w:t>
      </w:r>
    </w:p>
    <w:p w14:paraId="2DAA6067">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2.7</w:t>
      </w:r>
      <w:r>
        <w:rPr>
          <w:rFonts w:hint="eastAsia" w:ascii="宋体" w:hAnsi="宋体" w:eastAsia="宋体" w:cs="宋体"/>
          <w:i w:val="0"/>
          <w:iCs w:val="0"/>
          <w:color w:val="auto"/>
          <w:sz w:val="24"/>
          <w:szCs w:val="24"/>
          <w:highlight w:val="none"/>
          <w:shd w:val="clear" w:color="auto" w:fill="FFFFFF"/>
        </w:rPr>
        <w:t>潜在供应商</w:t>
      </w:r>
      <w:r>
        <w:rPr>
          <w:rFonts w:hint="eastAsia" w:ascii="宋体" w:hAnsi="宋体" w:eastAsia="宋体" w:cs="宋体"/>
          <w:i w:val="0"/>
          <w:iCs w:val="0"/>
          <w:color w:val="auto"/>
          <w:sz w:val="24"/>
          <w:szCs w:val="24"/>
          <w:highlight w:val="none"/>
          <w:shd w:val="clear" w:color="auto" w:fill="FFFFFF"/>
          <w:lang w:eastAsia="zh-CN"/>
        </w:rPr>
        <w:t>：</w:t>
      </w:r>
      <w:r>
        <w:rPr>
          <w:rFonts w:hint="eastAsia" w:ascii="宋体" w:hAnsi="宋体" w:eastAsia="宋体" w:cs="宋体"/>
          <w:i w:val="0"/>
          <w:iCs w:val="0"/>
          <w:color w:val="auto"/>
          <w:sz w:val="24"/>
          <w:szCs w:val="24"/>
          <w:highlight w:val="none"/>
          <w:shd w:val="clear" w:color="auto" w:fill="FFFFFF"/>
          <w:lang w:val="en-US" w:eastAsia="zh-CN"/>
        </w:rPr>
        <w:t>指</w:t>
      </w:r>
      <w:r>
        <w:rPr>
          <w:rFonts w:hint="eastAsia" w:ascii="宋体" w:hAnsi="宋体" w:eastAsia="宋体" w:cs="宋体"/>
          <w:i w:val="0"/>
          <w:iCs w:val="0"/>
          <w:color w:val="auto"/>
          <w:sz w:val="24"/>
          <w:szCs w:val="24"/>
          <w:highlight w:val="none"/>
          <w:lang w:val="en-US" w:eastAsia="zh-CN"/>
        </w:rPr>
        <w:t>符合本磋商文件规定的供应商</w:t>
      </w:r>
      <w:r>
        <w:rPr>
          <w:rFonts w:hint="eastAsia" w:ascii="宋体" w:hAnsi="宋体" w:eastAsia="宋体" w:cs="宋体"/>
          <w:i w:val="0"/>
          <w:iCs w:val="0"/>
          <w:color w:val="auto"/>
          <w:sz w:val="24"/>
          <w:szCs w:val="24"/>
          <w:highlight w:val="none"/>
        </w:rPr>
        <w:t>。</w:t>
      </w:r>
    </w:p>
    <w:p w14:paraId="094AC845">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21" w:name="_Toc470172667"/>
      <w:bookmarkStart w:id="122" w:name="_Toc46771642"/>
      <w:bookmarkStart w:id="123" w:name="_Toc48846111"/>
      <w:bookmarkStart w:id="124" w:name="_Toc109899536"/>
      <w:bookmarkStart w:id="125" w:name="_Toc9974"/>
      <w:bookmarkStart w:id="126" w:name="_Toc109900374"/>
      <w:bookmarkStart w:id="127" w:name="_Toc109897437"/>
      <w:bookmarkStart w:id="128" w:name="_Toc48688791"/>
      <w:bookmarkStart w:id="129" w:name="_Toc46772243"/>
      <w:bookmarkStart w:id="130" w:name="_Toc52960555"/>
      <w:bookmarkStart w:id="131" w:name="_Toc51674213"/>
      <w:bookmarkStart w:id="132" w:name="_Toc109899955"/>
      <w:bookmarkStart w:id="133" w:name="_Toc52962729"/>
      <w:r>
        <w:rPr>
          <w:rFonts w:hint="eastAsia" w:ascii="宋体" w:hAnsi="宋体" w:eastAsia="宋体" w:cs="宋体"/>
          <w:b/>
          <w:bCs/>
          <w:i w:val="0"/>
          <w:iCs w:val="0"/>
          <w:color w:val="auto"/>
          <w:kern w:val="2"/>
          <w:sz w:val="24"/>
          <w:szCs w:val="24"/>
          <w:highlight w:val="none"/>
          <w:lang w:val="en-US" w:eastAsia="zh-CN" w:bidi="ar-SA"/>
        </w:rPr>
        <w:t>3.资金来源</w:t>
      </w:r>
    </w:p>
    <w:p w14:paraId="6B1BA17D">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3.1资金来源：</w:t>
      </w:r>
      <w:r>
        <w:rPr>
          <w:rFonts w:hint="eastAsia" w:ascii="宋体" w:hAnsi="宋体" w:eastAsia="宋体" w:cs="宋体"/>
          <w:i w:val="0"/>
          <w:iCs w:val="0"/>
          <w:color w:val="auto"/>
          <w:sz w:val="24"/>
          <w:szCs w:val="24"/>
          <w:highlight w:val="none"/>
          <w:lang w:val="en-US" w:eastAsia="zh-CN"/>
        </w:rPr>
        <w:t>为财政性资金即</w:t>
      </w:r>
      <w:r>
        <w:rPr>
          <w:rFonts w:hint="eastAsia" w:ascii="宋体" w:hAnsi="宋体" w:eastAsia="宋体" w:cs="宋体"/>
          <w:i w:val="0"/>
          <w:iCs w:val="0"/>
          <w:color w:val="auto"/>
          <w:sz w:val="24"/>
          <w:szCs w:val="24"/>
          <w:highlight w:val="none"/>
        </w:rPr>
        <w:t>纳入预算管理的资金</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以财政性资金作为还款来源的借贷资金，视同财政性资金。财政性资金与非财政性资金无法分割采购的，统一适用《中华人民共和国政府采购法》及其实施条例。</w:t>
      </w:r>
    </w:p>
    <w:p w14:paraId="72E3AA28">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4.供应商资格要求</w:t>
      </w:r>
    </w:p>
    <w:p w14:paraId="5434237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4.1</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资格要求：见“</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color w:val="auto"/>
          <w:sz w:val="24"/>
          <w:szCs w:val="24"/>
          <w:highlight w:val="none"/>
        </w:rPr>
        <w:t>”；</w:t>
      </w:r>
    </w:p>
    <w:p w14:paraId="15F434F4">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color w:val="auto"/>
          <w:sz w:val="24"/>
          <w:szCs w:val="24"/>
          <w:highlight w:val="none"/>
          <w:lang w:val="zh-CN" w:eastAsia="zh-CN"/>
        </w:rPr>
        <w:t>”规定接受联合体</w:t>
      </w:r>
      <w:r>
        <w:rPr>
          <w:rFonts w:hint="eastAsia" w:ascii="宋体" w:hAnsi="宋体" w:eastAsia="宋体" w:cs="宋体"/>
          <w:i w:val="0"/>
          <w:iCs w:val="0"/>
          <w:color w:val="auto"/>
          <w:sz w:val="24"/>
          <w:szCs w:val="24"/>
          <w:highlight w:val="none"/>
          <w:lang w:val="en-US" w:eastAsia="zh-CN"/>
        </w:rPr>
        <w:t>磋商</w:t>
      </w:r>
      <w:r>
        <w:rPr>
          <w:rFonts w:hint="eastAsia" w:ascii="宋体" w:hAnsi="宋体" w:eastAsia="宋体" w:cs="宋体"/>
          <w:i w:val="0"/>
          <w:iCs w:val="0"/>
          <w:color w:val="auto"/>
          <w:sz w:val="24"/>
          <w:szCs w:val="24"/>
          <w:highlight w:val="none"/>
          <w:lang w:val="zh-CN" w:eastAsia="zh-CN"/>
        </w:rPr>
        <w:t>的，还应遵守以下规定：</w:t>
      </w:r>
    </w:p>
    <w:p w14:paraId="302549DF">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lang w:val="zh-CN" w:eastAsia="zh-CN"/>
        </w:rPr>
        <w:t>1两个以上的自然人、法人或者其他组织可以组成一个联合体，以一个供应商的身份共同参加政府采购。</w:t>
      </w:r>
      <w:r>
        <w:rPr>
          <w:rFonts w:hint="eastAsia" w:ascii="宋体" w:hAnsi="宋体" w:eastAsia="宋体" w:cs="宋体"/>
          <w:i w:val="0"/>
          <w:iCs w:val="0"/>
          <w:color w:val="auto"/>
          <w:kern w:val="2"/>
          <w:sz w:val="24"/>
          <w:szCs w:val="24"/>
          <w:highlight w:val="none"/>
          <w:shd w:val="clear" w:color="auto" w:fill="FFFFFF"/>
          <w:lang w:val="zh-CN" w:eastAsia="zh-CN" w:bidi="ar-SA"/>
        </w:rPr>
        <w:t>以联合体形式进行政府采购的，参加联合体的供应商均应当具备《政府采购法》第二十二条规定的条件。</w:t>
      </w:r>
    </w:p>
    <w:p w14:paraId="11199F5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4</w:t>
      </w:r>
      <w:r>
        <w:rPr>
          <w:rFonts w:hint="eastAsia" w:ascii="宋体" w:hAnsi="宋体" w:eastAsia="宋体" w:cs="宋体"/>
          <w:i w:val="0"/>
          <w:iCs w:val="0"/>
          <w:color w:val="auto"/>
          <w:kern w:val="2"/>
          <w:sz w:val="24"/>
          <w:szCs w:val="24"/>
          <w:highlight w:val="none"/>
          <w:shd w:val="clear" w:color="auto" w:fill="FFFFFF"/>
          <w:lang w:val="zh-CN" w:eastAsia="zh-CN" w:bidi="ar-SA"/>
        </w:rPr>
        <w:t>.</w:t>
      </w:r>
      <w:r>
        <w:rPr>
          <w:rFonts w:hint="eastAsia" w:ascii="宋体" w:hAnsi="宋体" w:eastAsia="宋体" w:cs="宋体"/>
          <w:i w:val="0"/>
          <w:iCs w:val="0"/>
          <w:color w:val="auto"/>
          <w:kern w:val="2"/>
          <w:sz w:val="24"/>
          <w:szCs w:val="24"/>
          <w:highlight w:val="none"/>
          <w:shd w:val="clear" w:color="auto" w:fill="FFFFFF"/>
          <w:lang w:val="en-US" w:eastAsia="zh-CN" w:bidi="ar-SA"/>
        </w:rPr>
        <w:t>2.2</w:t>
      </w:r>
      <w:r>
        <w:rPr>
          <w:rFonts w:hint="eastAsia" w:ascii="宋体" w:hAnsi="宋体" w:eastAsia="宋体" w:cs="宋体"/>
          <w:i w:val="0"/>
          <w:iCs w:val="0"/>
          <w:color w:val="auto"/>
          <w:kern w:val="2"/>
          <w:sz w:val="24"/>
          <w:szCs w:val="24"/>
          <w:highlight w:val="none"/>
          <w:shd w:val="clear" w:color="auto" w:fill="FFFFFF"/>
          <w:lang w:val="zh-CN" w:eastAsia="zh-CN" w:bidi="ar-SA"/>
        </w:rPr>
        <w:t>联合体各方应按竞争性磋商文件提供的格式签订联合</w:t>
      </w:r>
      <w:r>
        <w:rPr>
          <w:rFonts w:hint="eastAsia" w:ascii="宋体" w:hAnsi="宋体" w:eastAsia="宋体" w:cs="宋体"/>
          <w:i w:val="0"/>
          <w:iCs w:val="0"/>
          <w:color w:val="auto"/>
          <w:kern w:val="2"/>
          <w:sz w:val="24"/>
          <w:szCs w:val="24"/>
          <w:highlight w:val="none"/>
          <w:shd w:val="clear" w:color="auto" w:fill="FFFFFF"/>
          <w:lang w:val="en-US" w:eastAsia="zh-CN" w:bidi="ar-SA"/>
        </w:rPr>
        <w:t>体</w:t>
      </w:r>
      <w:r>
        <w:rPr>
          <w:rFonts w:hint="eastAsia" w:ascii="宋体" w:hAnsi="宋体" w:eastAsia="宋体" w:cs="宋体"/>
          <w:i w:val="0"/>
          <w:iCs w:val="0"/>
          <w:color w:val="auto"/>
          <w:kern w:val="2"/>
          <w:sz w:val="24"/>
          <w:szCs w:val="24"/>
          <w:highlight w:val="none"/>
          <w:shd w:val="clear" w:color="auto" w:fill="FFFFFF"/>
          <w:lang w:val="zh-CN" w:eastAsia="zh-CN" w:bidi="ar-SA"/>
        </w:rPr>
        <w:t>协议</w:t>
      </w:r>
      <w:r>
        <w:rPr>
          <w:rFonts w:hint="eastAsia" w:ascii="宋体" w:hAnsi="宋体" w:eastAsia="宋体" w:cs="宋体"/>
          <w:i w:val="0"/>
          <w:iCs w:val="0"/>
          <w:color w:val="auto"/>
          <w:kern w:val="2"/>
          <w:sz w:val="24"/>
          <w:szCs w:val="24"/>
          <w:highlight w:val="none"/>
          <w:shd w:val="clear" w:color="auto" w:fill="FFFFFF"/>
          <w:lang w:val="en-US" w:eastAsia="zh-CN" w:bidi="ar-SA"/>
        </w:rPr>
        <w:t>书</w:t>
      </w:r>
      <w:r>
        <w:rPr>
          <w:rFonts w:hint="eastAsia" w:ascii="宋体" w:hAnsi="宋体" w:eastAsia="宋体" w:cs="宋体"/>
          <w:i w:val="0"/>
          <w:iCs w:val="0"/>
          <w:color w:val="auto"/>
          <w:kern w:val="2"/>
          <w:sz w:val="24"/>
          <w:szCs w:val="24"/>
          <w:highlight w:val="none"/>
          <w:shd w:val="clear" w:color="auto" w:fill="FFFFFF"/>
          <w:lang w:val="zh-CN" w:eastAsia="zh-CN" w:bidi="ar-SA"/>
        </w:rPr>
        <w:t>，明确约定联合体各方承担的工作和相应的责任，并将联合</w:t>
      </w:r>
      <w:r>
        <w:rPr>
          <w:rFonts w:hint="eastAsia" w:ascii="宋体" w:hAnsi="宋体" w:eastAsia="宋体" w:cs="宋体"/>
          <w:i w:val="0"/>
          <w:iCs w:val="0"/>
          <w:color w:val="auto"/>
          <w:kern w:val="2"/>
          <w:sz w:val="24"/>
          <w:szCs w:val="24"/>
          <w:highlight w:val="none"/>
          <w:shd w:val="clear" w:color="auto" w:fill="FFFFFF"/>
          <w:lang w:val="en-US" w:eastAsia="zh-CN" w:bidi="ar-SA"/>
        </w:rPr>
        <w:t>体</w:t>
      </w:r>
      <w:r>
        <w:rPr>
          <w:rFonts w:hint="eastAsia" w:ascii="宋体" w:hAnsi="宋体" w:eastAsia="宋体" w:cs="宋体"/>
          <w:i w:val="0"/>
          <w:iCs w:val="0"/>
          <w:color w:val="auto"/>
          <w:kern w:val="2"/>
          <w:sz w:val="24"/>
          <w:szCs w:val="24"/>
          <w:highlight w:val="none"/>
          <w:shd w:val="clear" w:color="auto" w:fill="FFFFFF"/>
          <w:lang w:val="zh-CN" w:eastAsia="zh-CN" w:bidi="ar-SA"/>
        </w:rPr>
        <w:t>协议</w:t>
      </w:r>
      <w:r>
        <w:rPr>
          <w:rFonts w:hint="eastAsia" w:ascii="宋体" w:hAnsi="宋体" w:eastAsia="宋体" w:cs="宋体"/>
          <w:i w:val="0"/>
          <w:iCs w:val="0"/>
          <w:color w:val="auto"/>
          <w:kern w:val="2"/>
          <w:sz w:val="24"/>
          <w:szCs w:val="24"/>
          <w:highlight w:val="none"/>
          <w:shd w:val="clear" w:color="auto" w:fill="FFFFFF"/>
          <w:lang w:val="en-US" w:eastAsia="zh-CN" w:bidi="ar-SA"/>
        </w:rPr>
        <w:t>书</w:t>
      </w:r>
      <w:r>
        <w:rPr>
          <w:rFonts w:hint="eastAsia" w:ascii="宋体" w:hAnsi="宋体" w:eastAsia="宋体" w:cs="宋体"/>
          <w:i w:val="0"/>
          <w:iCs w:val="0"/>
          <w:color w:val="auto"/>
          <w:kern w:val="2"/>
          <w:sz w:val="24"/>
          <w:szCs w:val="24"/>
          <w:highlight w:val="none"/>
          <w:shd w:val="clear" w:color="auto" w:fill="FFFFFF"/>
          <w:lang w:val="zh-CN" w:eastAsia="zh-CN" w:bidi="ar-SA"/>
        </w:rPr>
        <w:t>作为</w:t>
      </w:r>
      <w:r>
        <w:rPr>
          <w:rFonts w:hint="eastAsia" w:ascii="宋体" w:hAnsi="宋体" w:eastAsia="宋体" w:cs="宋体"/>
          <w:i w:val="0"/>
          <w:iCs w:val="0"/>
          <w:color w:val="auto"/>
          <w:kern w:val="2"/>
          <w:sz w:val="24"/>
          <w:szCs w:val="24"/>
          <w:highlight w:val="none"/>
          <w:shd w:val="clear" w:color="auto" w:fill="FFFFFF"/>
          <w:lang w:val="en-US" w:eastAsia="zh-CN" w:bidi="ar-SA"/>
        </w:rPr>
        <w:t>响应</w:t>
      </w:r>
      <w:r>
        <w:rPr>
          <w:rFonts w:hint="eastAsia" w:ascii="宋体" w:hAnsi="宋体" w:eastAsia="宋体" w:cs="宋体"/>
          <w:i w:val="0"/>
          <w:iCs w:val="0"/>
          <w:color w:val="auto"/>
          <w:kern w:val="2"/>
          <w:sz w:val="24"/>
          <w:szCs w:val="24"/>
          <w:highlight w:val="none"/>
          <w:shd w:val="clear" w:color="auto" w:fill="FFFFFF"/>
          <w:lang w:val="zh-CN" w:eastAsia="zh-CN" w:bidi="ar-SA"/>
        </w:rPr>
        <w:t>文件的一部分提交，该协议书对联合</w:t>
      </w:r>
      <w:r>
        <w:rPr>
          <w:rFonts w:hint="eastAsia" w:ascii="宋体" w:hAnsi="宋体" w:eastAsia="宋体" w:cs="宋体"/>
          <w:i w:val="0"/>
          <w:iCs w:val="0"/>
          <w:color w:val="auto"/>
          <w:kern w:val="2"/>
          <w:sz w:val="24"/>
          <w:szCs w:val="24"/>
          <w:highlight w:val="none"/>
          <w:shd w:val="clear" w:color="auto" w:fill="FFFFFF"/>
          <w:lang w:val="en-US" w:eastAsia="zh-CN" w:bidi="ar-SA"/>
        </w:rPr>
        <w:t>体所有成员</w:t>
      </w:r>
      <w:r>
        <w:rPr>
          <w:rFonts w:hint="eastAsia" w:ascii="宋体" w:hAnsi="宋体" w:eastAsia="宋体" w:cs="宋体"/>
          <w:i w:val="0"/>
          <w:iCs w:val="0"/>
          <w:color w:val="auto"/>
          <w:kern w:val="2"/>
          <w:sz w:val="24"/>
          <w:szCs w:val="24"/>
          <w:highlight w:val="none"/>
          <w:shd w:val="clear" w:color="auto" w:fill="FFFFFF"/>
          <w:lang w:val="zh-CN" w:eastAsia="zh-CN" w:bidi="ar-SA"/>
        </w:rPr>
        <w:t>均具有法律约束力。</w:t>
      </w:r>
    </w:p>
    <w:p w14:paraId="029F5B9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4.2.3</w:t>
      </w:r>
      <w:r>
        <w:rPr>
          <w:rFonts w:hint="eastAsia" w:ascii="宋体" w:hAnsi="宋体" w:eastAsia="宋体" w:cs="宋体"/>
          <w:i w:val="0"/>
          <w:iCs w:val="0"/>
          <w:color w:val="auto"/>
          <w:kern w:val="2"/>
          <w:sz w:val="24"/>
          <w:szCs w:val="24"/>
          <w:highlight w:val="none"/>
          <w:shd w:val="clear" w:color="auto" w:fill="FFFFFF"/>
          <w:lang w:val="zh-CN" w:eastAsia="zh-CN" w:bidi="ar-SA"/>
        </w:rPr>
        <w:t>联合体中有同类资质的供应商按照联合体分工承担相同工作的，应当按照资质等级较低的供应商确定资质等级。</w:t>
      </w:r>
    </w:p>
    <w:p w14:paraId="2192BB8B">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4.2</w:t>
      </w:r>
      <w:r>
        <w:rPr>
          <w:rFonts w:hint="eastAsia" w:ascii="宋体" w:hAnsi="宋体" w:eastAsia="宋体" w:cs="宋体"/>
          <w:i w:val="0"/>
          <w:iCs w:val="0"/>
          <w:color w:val="auto"/>
          <w:kern w:val="2"/>
          <w:sz w:val="24"/>
          <w:szCs w:val="24"/>
          <w:highlight w:val="none"/>
          <w:shd w:val="clear" w:color="auto" w:fill="FFFFFF"/>
          <w:lang w:val="zh-CN" w:eastAsia="zh-CN" w:bidi="ar-SA"/>
        </w:rPr>
        <w:t>.</w:t>
      </w:r>
      <w:r>
        <w:rPr>
          <w:rFonts w:hint="eastAsia" w:ascii="宋体" w:hAnsi="宋体" w:eastAsia="宋体" w:cs="宋体"/>
          <w:i w:val="0"/>
          <w:iCs w:val="0"/>
          <w:color w:val="auto"/>
          <w:kern w:val="2"/>
          <w:sz w:val="24"/>
          <w:szCs w:val="24"/>
          <w:highlight w:val="none"/>
          <w:shd w:val="clear" w:color="auto" w:fill="FFFFFF"/>
          <w:lang w:val="en-US" w:eastAsia="zh-CN" w:bidi="ar-SA"/>
        </w:rPr>
        <w:t>4</w:t>
      </w:r>
      <w:r>
        <w:rPr>
          <w:rFonts w:hint="eastAsia" w:ascii="宋体" w:hAnsi="宋体" w:eastAsia="宋体" w:cs="宋体"/>
          <w:i w:val="0"/>
          <w:iCs w:val="0"/>
          <w:color w:val="auto"/>
          <w:kern w:val="2"/>
          <w:sz w:val="24"/>
          <w:szCs w:val="24"/>
          <w:highlight w:val="none"/>
          <w:shd w:val="clear" w:color="auto" w:fill="FFFFFF"/>
          <w:lang w:val="zh-CN" w:eastAsia="zh-CN" w:bidi="ar-SA"/>
        </w:rPr>
        <w:t>以联合体形式参加政府采购活动的，联合体各方不得再单独参加或者与其他供应商另外组成联合体参加</w:t>
      </w:r>
      <w:r>
        <w:rPr>
          <w:rFonts w:hint="eastAsia" w:ascii="宋体" w:hAnsi="宋体" w:eastAsia="宋体" w:cs="宋体"/>
          <w:i w:val="0"/>
          <w:iCs w:val="0"/>
          <w:color w:val="auto"/>
          <w:kern w:val="2"/>
          <w:sz w:val="24"/>
          <w:szCs w:val="24"/>
          <w:highlight w:val="none"/>
          <w:shd w:val="clear" w:color="auto" w:fill="FFFFFF"/>
          <w:lang w:val="en-US" w:eastAsia="zh-CN" w:bidi="ar-SA"/>
        </w:rPr>
        <w:t>同一合同项下的磋商</w:t>
      </w:r>
      <w:r>
        <w:rPr>
          <w:rFonts w:hint="eastAsia" w:ascii="宋体" w:hAnsi="宋体" w:eastAsia="宋体" w:cs="宋体"/>
          <w:i w:val="0"/>
          <w:iCs w:val="0"/>
          <w:color w:val="auto"/>
          <w:kern w:val="2"/>
          <w:sz w:val="24"/>
          <w:szCs w:val="24"/>
          <w:highlight w:val="none"/>
          <w:shd w:val="clear" w:color="auto" w:fill="FFFFFF"/>
          <w:lang w:val="zh-CN" w:eastAsia="zh-CN" w:bidi="ar-SA"/>
        </w:rPr>
        <w:t>，否则相关</w:t>
      </w:r>
      <w:r>
        <w:rPr>
          <w:rFonts w:hint="eastAsia" w:ascii="宋体" w:hAnsi="宋体" w:eastAsia="宋体" w:cs="宋体"/>
          <w:i w:val="0"/>
          <w:iCs w:val="0"/>
          <w:color w:val="auto"/>
          <w:kern w:val="2"/>
          <w:sz w:val="24"/>
          <w:szCs w:val="24"/>
          <w:highlight w:val="none"/>
          <w:shd w:val="clear" w:color="auto" w:fill="FFFFFF"/>
          <w:lang w:val="en-US" w:eastAsia="zh-CN" w:bidi="ar-SA"/>
        </w:rPr>
        <w:t>响应</w:t>
      </w:r>
      <w:r>
        <w:rPr>
          <w:rFonts w:hint="eastAsia" w:ascii="宋体" w:hAnsi="宋体" w:eastAsia="宋体" w:cs="宋体"/>
          <w:i w:val="0"/>
          <w:iCs w:val="0"/>
          <w:color w:val="auto"/>
          <w:kern w:val="2"/>
          <w:sz w:val="24"/>
          <w:szCs w:val="24"/>
          <w:highlight w:val="none"/>
          <w:shd w:val="clear" w:color="auto" w:fill="FFFFFF"/>
          <w:lang w:val="zh-CN" w:eastAsia="zh-CN" w:bidi="ar-SA"/>
        </w:rPr>
        <w:t>将被认定为</w:t>
      </w:r>
      <w:r>
        <w:rPr>
          <w:rFonts w:hint="eastAsia" w:ascii="宋体" w:hAnsi="宋体" w:eastAsia="宋体" w:cs="宋体"/>
          <w:b/>
          <w:bCs/>
          <w:i w:val="0"/>
          <w:iCs w:val="0"/>
          <w:color w:val="auto"/>
          <w:kern w:val="2"/>
          <w:sz w:val="24"/>
          <w:szCs w:val="24"/>
          <w:highlight w:val="none"/>
          <w:shd w:val="clear" w:color="auto" w:fill="FFFFFF"/>
          <w:lang w:val="en-US" w:eastAsia="zh-CN" w:bidi="ar-SA"/>
        </w:rPr>
        <w:t>响应</w:t>
      </w:r>
      <w:r>
        <w:rPr>
          <w:rFonts w:hint="eastAsia" w:ascii="宋体" w:hAnsi="宋体" w:eastAsia="宋体" w:cs="宋体"/>
          <w:b/>
          <w:bCs/>
          <w:i w:val="0"/>
          <w:iCs w:val="0"/>
          <w:color w:val="auto"/>
          <w:kern w:val="2"/>
          <w:sz w:val="24"/>
          <w:szCs w:val="24"/>
          <w:highlight w:val="none"/>
          <w:shd w:val="clear" w:color="auto" w:fill="FFFFFF"/>
          <w:lang w:val="zh-CN" w:eastAsia="zh-CN" w:bidi="ar-SA"/>
        </w:rPr>
        <w:t>无效</w:t>
      </w:r>
      <w:r>
        <w:rPr>
          <w:rFonts w:hint="eastAsia" w:ascii="宋体" w:hAnsi="宋体" w:eastAsia="宋体" w:cs="宋体"/>
          <w:i w:val="0"/>
          <w:iCs w:val="0"/>
          <w:color w:val="auto"/>
          <w:kern w:val="2"/>
          <w:sz w:val="24"/>
          <w:szCs w:val="24"/>
          <w:highlight w:val="none"/>
          <w:shd w:val="clear" w:color="auto" w:fill="FFFFFF"/>
          <w:lang w:val="zh-CN" w:eastAsia="zh-CN" w:bidi="ar-SA"/>
        </w:rPr>
        <w:t>。</w:t>
      </w:r>
    </w:p>
    <w:p w14:paraId="5C15C97D">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4.2</w:t>
      </w:r>
      <w:r>
        <w:rPr>
          <w:rFonts w:hint="eastAsia" w:ascii="宋体" w:hAnsi="宋体" w:eastAsia="宋体" w:cs="宋体"/>
          <w:i w:val="0"/>
          <w:iCs w:val="0"/>
          <w:color w:val="auto"/>
          <w:kern w:val="2"/>
          <w:sz w:val="24"/>
          <w:szCs w:val="24"/>
          <w:highlight w:val="none"/>
          <w:shd w:val="clear" w:color="auto" w:fill="FFFFFF"/>
          <w:lang w:val="zh-CN" w:eastAsia="zh-CN" w:bidi="ar-SA"/>
        </w:rPr>
        <w:t>.5大中型企业、其他自然人、法人或者非法人组织与小型、微型企业组成联合体共同参加</w:t>
      </w:r>
      <w:r>
        <w:rPr>
          <w:rFonts w:hint="eastAsia" w:ascii="宋体" w:hAnsi="宋体" w:eastAsia="宋体" w:cs="宋体"/>
          <w:i w:val="0"/>
          <w:iCs w:val="0"/>
          <w:color w:val="auto"/>
          <w:kern w:val="2"/>
          <w:sz w:val="24"/>
          <w:szCs w:val="24"/>
          <w:highlight w:val="none"/>
          <w:shd w:val="clear" w:color="auto" w:fill="FFFFFF"/>
          <w:lang w:val="en-US" w:eastAsia="zh-CN" w:bidi="ar-SA"/>
        </w:rPr>
        <w:t>磋商的</w:t>
      </w:r>
      <w:r>
        <w:rPr>
          <w:rFonts w:hint="eastAsia" w:ascii="宋体" w:hAnsi="宋体" w:eastAsia="宋体" w:cs="宋体"/>
          <w:i w:val="0"/>
          <w:iCs w:val="0"/>
          <w:color w:val="auto"/>
          <w:kern w:val="2"/>
          <w:sz w:val="24"/>
          <w:szCs w:val="24"/>
          <w:highlight w:val="none"/>
          <w:shd w:val="clear" w:color="auto" w:fill="FFFFFF"/>
          <w:lang w:val="zh-CN" w:eastAsia="zh-CN" w:bidi="ar-SA"/>
        </w:rPr>
        <w:t>，联合</w:t>
      </w:r>
      <w:r>
        <w:rPr>
          <w:rFonts w:hint="eastAsia" w:ascii="宋体" w:hAnsi="宋体" w:eastAsia="宋体" w:cs="宋体"/>
          <w:i w:val="0"/>
          <w:iCs w:val="0"/>
          <w:color w:val="auto"/>
          <w:kern w:val="2"/>
          <w:sz w:val="24"/>
          <w:szCs w:val="24"/>
          <w:highlight w:val="none"/>
          <w:shd w:val="clear" w:color="auto" w:fill="FFFFFF"/>
          <w:lang w:val="en-US" w:eastAsia="zh-CN" w:bidi="ar-SA"/>
        </w:rPr>
        <w:t>体</w:t>
      </w:r>
      <w:r>
        <w:rPr>
          <w:rFonts w:hint="eastAsia" w:ascii="宋体" w:hAnsi="宋体" w:eastAsia="宋体" w:cs="宋体"/>
          <w:i w:val="0"/>
          <w:iCs w:val="0"/>
          <w:color w:val="auto"/>
          <w:kern w:val="2"/>
          <w:sz w:val="24"/>
          <w:szCs w:val="24"/>
          <w:highlight w:val="none"/>
          <w:shd w:val="clear" w:color="auto" w:fill="FFFFFF"/>
          <w:lang w:val="zh-CN" w:eastAsia="zh-CN" w:bidi="ar-SA"/>
        </w:rPr>
        <w:t>协议</w:t>
      </w:r>
      <w:r>
        <w:rPr>
          <w:rFonts w:hint="eastAsia" w:ascii="宋体" w:hAnsi="宋体" w:eastAsia="宋体" w:cs="宋体"/>
          <w:i w:val="0"/>
          <w:iCs w:val="0"/>
          <w:color w:val="auto"/>
          <w:kern w:val="2"/>
          <w:sz w:val="24"/>
          <w:szCs w:val="24"/>
          <w:highlight w:val="none"/>
          <w:shd w:val="clear" w:color="auto" w:fill="FFFFFF"/>
          <w:lang w:val="en-US" w:eastAsia="zh-CN" w:bidi="ar-SA"/>
        </w:rPr>
        <w:t>书</w:t>
      </w:r>
      <w:r>
        <w:rPr>
          <w:rFonts w:hint="eastAsia" w:ascii="宋体" w:hAnsi="宋体" w:eastAsia="宋体" w:cs="宋体"/>
          <w:i w:val="0"/>
          <w:iCs w:val="0"/>
          <w:color w:val="auto"/>
          <w:kern w:val="2"/>
          <w:sz w:val="24"/>
          <w:szCs w:val="24"/>
          <w:highlight w:val="none"/>
          <w:shd w:val="clear" w:color="auto" w:fill="FFFFFF"/>
          <w:lang w:val="zh-CN" w:eastAsia="zh-CN" w:bidi="ar-SA"/>
        </w:rPr>
        <w:t>中应写明小型、微型企业的合同金额占到联合</w:t>
      </w:r>
      <w:r>
        <w:rPr>
          <w:rFonts w:hint="eastAsia" w:ascii="宋体" w:hAnsi="宋体" w:eastAsia="宋体" w:cs="宋体"/>
          <w:i w:val="0"/>
          <w:iCs w:val="0"/>
          <w:color w:val="auto"/>
          <w:kern w:val="2"/>
          <w:sz w:val="24"/>
          <w:szCs w:val="24"/>
          <w:highlight w:val="none"/>
          <w:shd w:val="clear" w:color="auto" w:fill="FFFFFF"/>
          <w:lang w:val="en-US" w:eastAsia="zh-CN" w:bidi="ar-SA"/>
        </w:rPr>
        <w:t>体磋商合同</w:t>
      </w:r>
      <w:r>
        <w:rPr>
          <w:rFonts w:hint="eastAsia" w:ascii="宋体" w:hAnsi="宋体" w:eastAsia="宋体" w:cs="宋体"/>
          <w:i w:val="0"/>
          <w:iCs w:val="0"/>
          <w:color w:val="auto"/>
          <w:kern w:val="2"/>
          <w:sz w:val="24"/>
          <w:szCs w:val="24"/>
          <w:highlight w:val="none"/>
          <w:shd w:val="clear" w:color="auto" w:fill="FFFFFF"/>
          <w:lang w:val="zh-CN" w:eastAsia="zh-CN" w:bidi="ar-SA"/>
        </w:rPr>
        <w:t>总金额的比例。</w:t>
      </w:r>
    </w:p>
    <w:p w14:paraId="6160E49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kern w:val="2"/>
          <w:sz w:val="24"/>
          <w:szCs w:val="24"/>
          <w:highlight w:val="none"/>
          <w:shd w:val="clear" w:color="auto" w:fill="FFFFFF"/>
          <w:lang w:val="zh-CN" w:eastAsia="zh-CN" w:bidi="ar-SA"/>
        </w:rPr>
        <w:t>4.2</w:t>
      </w:r>
      <w:r>
        <w:rPr>
          <w:rFonts w:hint="eastAsia" w:ascii="宋体" w:hAnsi="宋体" w:eastAsia="宋体" w:cs="宋体"/>
          <w:i w:val="0"/>
          <w:iCs w:val="0"/>
          <w:color w:val="auto"/>
          <w:kern w:val="2"/>
          <w:sz w:val="24"/>
          <w:szCs w:val="24"/>
          <w:highlight w:val="none"/>
          <w:shd w:val="clear" w:color="auto" w:fill="FFFFFF"/>
          <w:lang w:val="en-US" w:eastAsia="zh-CN" w:bidi="ar-SA"/>
        </w:rPr>
        <w:t>.6</w:t>
      </w:r>
      <w:r>
        <w:rPr>
          <w:rFonts w:hint="eastAsia" w:ascii="宋体" w:hAnsi="宋体" w:eastAsia="宋体" w:cs="宋体"/>
          <w:i w:val="0"/>
          <w:iCs w:val="0"/>
          <w:color w:val="auto"/>
          <w:kern w:val="2"/>
          <w:sz w:val="24"/>
          <w:szCs w:val="24"/>
          <w:highlight w:val="none"/>
          <w:shd w:val="clear" w:color="auto" w:fill="FFFFFF"/>
          <w:lang w:val="zh-CN" w:eastAsia="zh-CN" w:bidi="ar-SA"/>
        </w:rPr>
        <w:t>联合体</w:t>
      </w:r>
      <w:r>
        <w:rPr>
          <w:rFonts w:hint="eastAsia" w:ascii="宋体" w:hAnsi="宋体" w:eastAsia="宋体" w:cs="宋体"/>
          <w:i w:val="0"/>
          <w:iCs w:val="0"/>
          <w:color w:val="auto"/>
          <w:kern w:val="2"/>
          <w:sz w:val="24"/>
          <w:szCs w:val="24"/>
          <w:highlight w:val="none"/>
          <w:shd w:val="clear" w:color="auto" w:fill="FFFFFF"/>
          <w:lang w:val="en-US" w:eastAsia="zh-CN" w:bidi="ar-SA"/>
        </w:rPr>
        <w:t>成交</w:t>
      </w:r>
      <w:r>
        <w:rPr>
          <w:rFonts w:hint="eastAsia" w:ascii="宋体" w:hAnsi="宋体" w:eastAsia="宋体" w:cs="宋体"/>
          <w:i w:val="0"/>
          <w:iCs w:val="0"/>
          <w:color w:val="auto"/>
          <w:kern w:val="2"/>
          <w:sz w:val="24"/>
          <w:szCs w:val="24"/>
          <w:highlight w:val="none"/>
          <w:u w:val="none"/>
          <w:shd w:val="clear" w:color="auto" w:fill="FFFFFF"/>
          <w:lang w:val="en-US" w:eastAsia="zh-CN" w:bidi="ar-SA"/>
        </w:rPr>
        <w:t>的</w:t>
      </w:r>
      <w:r>
        <w:rPr>
          <w:rFonts w:hint="eastAsia" w:ascii="宋体" w:hAnsi="宋体" w:eastAsia="宋体" w:cs="宋体"/>
          <w:i w:val="0"/>
          <w:iCs w:val="0"/>
          <w:color w:val="auto"/>
          <w:kern w:val="2"/>
          <w:sz w:val="24"/>
          <w:szCs w:val="24"/>
          <w:highlight w:val="none"/>
          <w:shd w:val="clear" w:color="auto" w:fill="FFFFFF"/>
          <w:lang w:val="zh-CN" w:eastAsia="zh-CN" w:bidi="ar-SA"/>
        </w:rPr>
        <w:t>，</w:t>
      </w:r>
      <w:r>
        <w:rPr>
          <w:rFonts w:hint="eastAsia" w:ascii="宋体" w:hAnsi="宋体" w:eastAsia="宋体" w:cs="宋体"/>
          <w:i w:val="0"/>
          <w:iCs w:val="0"/>
          <w:color w:val="auto"/>
          <w:kern w:val="2"/>
          <w:sz w:val="24"/>
          <w:szCs w:val="24"/>
          <w:highlight w:val="none"/>
          <w:shd w:val="clear" w:color="auto" w:fill="FFFFFF"/>
          <w:lang w:val="en-US" w:eastAsia="zh-CN" w:bidi="ar-SA"/>
        </w:rPr>
        <w:t>采购</w:t>
      </w:r>
      <w:r>
        <w:rPr>
          <w:rFonts w:hint="eastAsia" w:ascii="宋体" w:hAnsi="宋体" w:eastAsia="宋体" w:cs="宋体"/>
          <w:i w:val="0"/>
          <w:iCs w:val="0"/>
          <w:color w:val="auto"/>
          <w:kern w:val="2"/>
          <w:sz w:val="24"/>
          <w:szCs w:val="24"/>
          <w:highlight w:val="none"/>
          <w:shd w:val="clear" w:color="auto" w:fill="FFFFFF"/>
          <w:lang w:val="zh-CN" w:eastAsia="zh-CN" w:bidi="ar-SA"/>
        </w:rPr>
        <w:t>合同应由</w:t>
      </w:r>
      <w:r>
        <w:rPr>
          <w:rFonts w:hint="eastAsia" w:ascii="宋体" w:hAnsi="宋体" w:eastAsia="宋体" w:cs="宋体"/>
          <w:i w:val="0"/>
          <w:iCs w:val="0"/>
          <w:color w:val="auto"/>
          <w:kern w:val="2"/>
          <w:sz w:val="24"/>
          <w:szCs w:val="24"/>
          <w:highlight w:val="none"/>
          <w:shd w:val="clear" w:color="auto" w:fill="FFFFFF"/>
          <w:lang w:val="en-US" w:eastAsia="zh-CN" w:bidi="ar-SA"/>
        </w:rPr>
        <w:t>联合体</w:t>
      </w:r>
      <w:r>
        <w:rPr>
          <w:rFonts w:hint="eastAsia" w:ascii="宋体" w:hAnsi="宋体" w:eastAsia="宋体" w:cs="宋体"/>
          <w:i w:val="0"/>
          <w:iCs w:val="0"/>
          <w:color w:val="auto"/>
          <w:kern w:val="2"/>
          <w:sz w:val="24"/>
          <w:szCs w:val="24"/>
          <w:highlight w:val="none"/>
          <w:shd w:val="clear" w:color="auto" w:fill="FFFFFF"/>
          <w:lang w:val="zh-CN" w:eastAsia="zh-CN" w:bidi="ar-SA"/>
        </w:rPr>
        <w:t>各成员的合法授权代表签字</w:t>
      </w:r>
      <w:r>
        <w:rPr>
          <w:rFonts w:hint="eastAsia" w:ascii="宋体" w:hAnsi="宋体" w:eastAsia="宋体" w:cs="宋体"/>
          <w:i w:val="0"/>
          <w:iCs w:val="0"/>
          <w:color w:val="auto"/>
          <w:kern w:val="2"/>
          <w:sz w:val="24"/>
          <w:szCs w:val="24"/>
          <w:highlight w:val="none"/>
          <w:shd w:val="clear" w:color="auto" w:fill="FFFFFF"/>
          <w:lang w:val="en-US" w:eastAsia="zh-CN" w:bidi="ar-SA"/>
        </w:rPr>
        <w:t>及</w:t>
      </w:r>
      <w:r>
        <w:rPr>
          <w:rFonts w:hint="eastAsia" w:ascii="宋体" w:hAnsi="宋体" w:eastAsia="宋体" w:cs="宋体"/>
          <w:i w:val="0"/>
          <w:iCs w:val="0"/>
          <w:color w:val="auto"/>
          <w:kern w:val="2"/>
          <w:sz w:val="24"/>
          <w:szCs w:val="24"/>
          <w:highlight w:val="none"/>
          <w:shd w:val="clear" w:color="auto" w:fill="FFFFFF"/>
          <w:lang w:val="zh-CN" w:eastAsia="zh-CN" w:bidi="ar-SA"/>
        </w:rPr>
        <w:t>加盖</w:t>
      </w:r>
      <w:r>
        <w:rPr>
          <w:rFonts w:hint="eastAsia" w:ascii="宋体" w:hAnsi="宋体" w:eastAsia="宋体" w:cs="宋体"/>
          <w:i w:val="0"/>
          <w:iCs w:val="0"/>
          <w:color w:val="auto"/>
          <w:kern w:val="2"/>
          <w:sz w:val="24"/>
          <w:szCs w:val="24"/>
          <w:highlight w:val="none"/>
          <w:shd w:val="clear" w:color="auto" w:fill="FFFFFF"/>
          <w:lang w:val="en-US" w:eastAsia="zh-CN" w:bidi="ar-SA"/>
        </w:rPr>
        <w:t>联合体</w:t>
      </w:r>
      <w:r>
        <w:rPr>
          <w:rFonts w:hint="eastAsia" w:ascii="宋体" w:hAnsi="宋体" w:eastAsia="宋体" w:cs="宋体"/>
          <w:i w:val="0"/>
          <w:iCs w:val="0"/>
          <w:color w:val="auto"/>
          <w:kern w:val="2"/>
          <w:sz w:val="24"/>
          <w:szCs w:val="24"/>
          <w:highlight w:val="none"/>
          <w:shd w:val="clear" w:color="auto" w:fill="FFFFFF"/>
          <w:lang w:val="zh-CN" w:eastAsia="zh-CN" w:bidi="ar-SA"/>
        </w:rPr>
        <w:t>各成员公章，</w:t>
      </w:r>
      <w:r>
        <w:rPr>
          <w:rFonts w:hint="eastAsia" w:ascii="宋体" w:hAnsi="宋体" w:eastAsia="宋体" w:cs="宋体"/>
          <w:i w:val="0"/>
          <w:iCs w:val="0"/>
          <w:color w:val="auto"/>
          <w:kern w:val="2"/>
          <w:sz w:val="24"/>
          <w:szCs w:val="24"/>
          <w:highlight w:val="none"/>
          <w:shd w:val="clear" w:color="auto" w:fill="FFFFFF"/>
          <w:lang w:val="en-US" w:eastAsia="zh-CN" w:bidi="ar-SA"/>
        </w:rPr>
        <w:t>并</w:t>
      </w:r>
      <w:r>
        <w:rPr>
          <w:rFonts w:hint="eastAsia" w:ascii="宋体" w:hAnsi="宋体" w:eastAsia="宋体" w:cs="宋体"/>
          <w:i w:val="0"/>
          <w:iCs w:val="0"/>
          <w:color w:val="auto"/>
          <w:kern w:val="2"/>
          <w:sz w:val="24"/>
          <w:szCs w:val="24"/>
          <w:highlight w:val="none"/>
          <w:shd w:val="clear" w:color="auto" w:fill="FFFFFF"/>
          <w:lang w:val="zh-CN" w:eastAsia="zh-CN" w:bidi="ar-SA"/>
        </w:rPr>
        <w:t>对联合体成员作为整体和他们各自作为独立体均具有法律约束力，但若该签字或公章不齐全或缺乏，该联合体的牵头人的签署或类似的意思表示人具有代表该联合体的签署或意思表示的法律效力，并且据此各成员为履行合同应向采购人与采购代理机构承担连带责任。</w:t>
      </w:r>
    </w:p>
    <w:p w14:paraId="776432ED">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kern w:val="2"/>
          <w:sz w:val="24"/>
          <w:szCs w:val="24"/>
          <w:highlight w:val="none"/>
          <w:shd w:val="clear" w:color="auto" w:fill="FFFFFF"/>
          <w:lang w:val="zh-CN" w:eastAsia="zh-CN" w:bidi="ar-SA"/>
        </w:rPr>
        <w:t>4.2</w:t>
      </w:r>
      <w:r>
        <w:rPr>
          <w:rFonts w:hint="eastAsia" w:ascii="宋体" w:hAnsi="宋体" w:eastAsia="宋体" w:cs="宋体"/>
          <w:i w:val="0"/>
          <w:iCs w:val="0"/>
          <w:color w:val="auto"/>
          <w:kern w:val="2"/>
          <w:sz w:val="24"/>
          <w:szCs w:val="24"/>
          <w:highlight w:val="none"/>
          <w:shd w:val="clear" w:color="auto" w:fill="FFFFFF"/>
          <w:lang w:val="en-US" w:eastAsia="zh-CN" w:bidi="ar-SA"/>
        </w:rPr>
        <w:t>.7</w:t>
      </w:r>
      <w:r>
        <w:rPr>
          <w:rFonts w:hint="eastAsia" w:ascii="宋体" w:hAnsi="宋体" w:eastAsia="宋体" w:cs="宋体"/>
          <w:i w:val="0"/>
          <w:iCs w:val="0"/>
          <w:color w:val="auto"/>
          <w:kern w:val="2"/>
          <w:sz w:val="24"/>
          <w:szCs w:val="24"/>
          <w:highlight w:val="none"/>
          <w:shd w:val="clear" w:color="auto" w:fill="FFFFFF"/>
          <w:lang w:val="zh-CN" w:eastAsia="zh-CN" w:bidi="ar-SA"/>
        </w:rPr>
        <w:t>联合体或其成员不得将其在合同项下的权利或义务全部或部分转让给第三人，有关分包事项须事先取得采购</w:t>
      </w:r>
      <w:r>
        <w:rPr>
          <w:rFonts w:hint="eastAsia" w:ascii="宋体" w:hAnsi="宋体" w:eastAsia="宋体" w:cs="宋体"/>
          <w:i w:val="0"/>
          <w:iCs w:val="0"/>
          <w:color w:val="auto"/>
          <w:kern w:val="2"/>
          <w:sz w:val="24"/>
          <w:szCs w:val="24"/>
          <w:highlight w:val="none"/>
          <w:shd w:val="clear" w:color="auto" w:fill="FFFFFF"/>
          <w:lang w:val="en-US" w:eastAsia="zh-CN" w:bidi="ar-SA"/>
        </w:rPr>
        <w:t>人</w:t>
      </w:r>
      <w:r>
        <w:rPr>
          <w:rFonts w:hint="eastAsia" w:ascii="宋体" w:hAnsi="宋体" w:eastAsia="宋体" w:cs="宋体"/>
          <w:i w:val="0"/>
          <w:iCs w:val="0"/>
          <w:color w:val="auto"/>
          <w:kern w:val="2"/>
          <w:sz w:val="24"/>
          <w:szCs w:val="24"/>
          <w:highlight w:val="none"/>
          <w:shd w:val="clear" w:color="auto" w:fill="FFFFFF"/>
          <w:lang w:val="zh-CN" w:eastAsia="zh-CN" w:bidi="ar-SA"/>
        </w:rPr>
        <w:t>书面同意并且须遵守相关法律、法规、本次</w:t>
      </w:r>
      <w:r>
        <w:rPr>
          <w:rFonts w:hint="eastAsia" w:ascii="宋体" w:hAnsi="宋体" w:eastAsia="宋体" w:cs="宋体"/>
          <w:i w:val="0"/>
          <w:iCs w:val="0"/>
          <w:color w:val="auto"/>
          <w:kern w:val="2"/>
          <w:sz w:val="24"/>
          <w:szCs w:val="24"/>
          <w:highlight w:val="none"/>
          <w:shd w:val="clear" w:color="auto" w:fill="FFFFFF"/>
          <w:lang w:val="en-US" w:eastAsia="zh-CN" w:bidi="ar-SA"/>
        </w:rPr>
        <w:t>磋商</w:t>
      </w:r>
      <w:r>
        <w:rPr>
          <w:rFonts w:hint="eastAsia" w:ascii="宋体" w:hAnsi="宋体" w:eastAsia="宋体" w:cs="宋体"/>
          <w:i w:val="0"/>
          <w:iCs w:val="0"/>
          <w:color w:val="auto"/>
          <w:kern w:val="2"/>
          <w:sz w:val="24"/>
          <w:szCs w:val="24"/>
          <w:highlight w:val="none"/>
          <w:shd w:val="clear" w:color="auto" w:fill="FFFFFF"/>
          <w:lang w:val="zh-CN" w:eastAsia="zh-CN" w:bidi="ar-SA"/>
        </w:rPr>
        <w:t>的全部相关规定。</w:t>
      </w:r>
    </w:p>
    <w:p w14:paraId="02BCBAF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zh-CN"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4.2</w:t>
      </w:r>
      <w:r>
        <w:rPr>
          <w:rFonts w:hint="eastAsia" w:ascii="宋体" w:hAnsi="宋体" w:eastAsia="宋体" w:cs="宋体"/>
          <w:i w:val="0"/>
          <w:iCs w:val="0"/>
          <w:color w:val="auto"/>
          <w:kern w:val="2"/>
          <w:sz w:val="24"/>
          <w:szCs w:val="24"/>
          <w:highlight w:val="none"/>
          <w:shd w:val="clear" w:color="auto" w:fill="FFFFFF"/>
          <w:lang w:val="zh-CN" w:eastAsia="zh-CN" w:bidi="ar-SA"/>
        </w:rPr>
        <w:t>.</w:t>
      </w:r>
      <w:r>
        <w:rPr>
          <w:rFonts w:hint="eastAsia" w:ascii="宋体" w:hAnsi="宋体" w:eastAsia="宋体" w:cs="宋体"/>
          <w:i w:val="0"/>
          <w:iCs w:val="0"/>
          <w:color w:val="auto"/>
          <w:kern w:val="2"/>
          <w:sz w:val="24"/>
          <w:szCs w:val="24"/>
          <w:highlight w:val="none"/>
          <w:shd w:val="clear" w:color="auto" w:fill="FFFFFF"/>
          <w:lang w:val="en-US" w:eastAsia="zh-CN" w:bidi="ar-SA"/>
        </w:rPr>
        <w:t>8</w:t>
      </w:r>
      <w:r>
        <w:rPr>
          <w:rFonts w:hint="eastAsia" w:ascii="宋体" w:hAnsi="宋体" w:eastAsia="宋体" w:cs="宋体"/>
          <w:i w:val="0"/>
          <w:iCs w:val="0"/>
          <w:color w:val="auto"/>
          <w:kern w:val="2"/>
          <w:sz w:val="24"/>
          <w:szCs w:val="24"/>
          <w:highlight w:val="none"/>
          <w:shd w:val="clear" w:color="auto" w:fill="FFFFFF"/>
          <w:lang w:val="zh-CN" w:eastAsia="zh-CN" w:bidi="ar-SA"/>
        </w:rPr>
        <w:t>对联合体</w:t>
      </w:r>
      <w:r>
        <w:rPr>
          <w:rFonts w:hint="eastAsia" w:ascii="宋体" w:hAnsi="宋体" w:eastAsia="宋体" w:cs="宋体"/>
          <w:i w:val="0"/>
          <w:iCs w:val="0"/>
          <w:color w:val="auto"/>
          <w:kern w:val="2"/>
          <w:sz w:val="24"/>
          <w:szCs w:val="24"/>
          <w:highlight w:val="none"/>
          <w:shd w:val="clear" w:color="auto" w:fill="FFFFFF"/>
          <w:lang w:val="en-US" w:eastAsia="zh-CN" w:bidi="ar-SA"/>
        </w:rPr>
        <w:t>磋商</w:t>
      </w:r>
      <w:r>
        <w:rPr>
          <w:rFonts w:hint="eastAsia" w:ascii="宋体" w:hAnsi="宋体" w:eastAsia="宋体" w:cs="宋体"/>
          <w:i w:val="0"/>
          <w:iCs w:val="0"/>
          <w:color w:val="auto"/>
          <w:kern w:val="2"/>
          <w:sz w:val="24"/>
          <w:szCs w:val="24"/>
          <w:highlight w:val="none"/>
          <w:shd w:val="clear" w:color="auto" w:fill="FFFFFF"/>
          <w:lang w:val="zh-CN" w:eastAsia="zh-CN" w:bidi="ar-SA"/>
        </w:rPr>
        <w:t>的其他资格要求见“</w:t>
      </w:r>
      <w:r>
        <w:rPr>
          <w:rFonts w:hint="eastAsia" w:ascii="宋体" w:hAnsi="宋体" w:eastAsia="宋体" w:cs="宋体"/>
          <w:i w:val="0"/>
          <w:iCs w:val="0"/>
          <w:color w:val="auto"/>
          <w:kern w:val="2"/>
          <w:sz w:val="24"/>
          <w:szCs w:val="24"/>
          <w:highlight w:val="none"/>
          <w:shd w:val="clear" w:color="auto" w:fill="FFFFFF"/>
          <w:lang w:val="en-US" w:eastAsia="zh-CN" w:bidi="ar-SA"/>
        </w:rPr>
        <w:t>第一章 竞争性磋商公告</w:t>
      </w:r>
      <w:r>
        <w:rPr>
          <w:rFonts w:hint="eastAsia" w:ascii="宋体" w:hAnsi="宋体" w:eastAsia="宋体" w:cs="宋体"/>
          <w:i w:val="0"/>
          <w:iCs w:val="0"/>
          <w:color w:val="auto"/>
          <w:kern w:val="2"/>
          <w:sz w:val="24"/>
          <w:szCs w:val="24"/>
          <w:highlight w:val="none"/>
          <w:shd w:val="clear" w:color="auto" w:fill="FFFFFF"/>
          <w:lang w:val="zh-CN" w:eastAsia="zh-CN" w:bidi="ar-SA"/>
        </w:rPr>
        <w:t>”</w:t>
      </w:r>
      <w:r>
        <w:rPr>
          <w:rFonts w:hint="eastAsia" w:ascii="宋体" w:hAnsi="宋体" w:eastAsia="宋体" w:cs="宋体"/>
          <w:i w:val="0"/>
          <w:iCs w:val="0"/>
          <w:color w:val="auto"/>
          <w:kern w:val="2"/>
          <w:sz w:val="24"/>
          <w:szCs w:val="24"/>
          <w:highlight w:val="none"/>
          <w:shd w:val="clear" w:color="auto" w:fill="FFFFFF"/>
          <w:lang w:val="en-US" w:eastAsia="zh-CN" w:bidi="ar-SA"/>
        </w:rPr>
        <w:t>中的“二、供应商的</w:t>
      </w:r>
      <w:r>
        <w:rPr>
          <w:rFonts w:hint="eastAsia" w:ascii="宋体" w:hAnsi="宋体" w:eastAsia="宋体" w:cs="宋体"/>
          <w:i w:val="0"/>
          <w:iCs w:val="0"/>
          <w:color w:val="auto"/>
          <w:kern w:val="2"/>
          <w:sz w:val="24"/>
          <w:szCs w:val="24"/>
          <w:highlight w:val="none"/>
          <w:shd w:val="clear" w:color="auto" w:fill="FFFFFF"/>
          <w:lang w:val="zh-CN" w:eastAsia="zh-CN" w:bidi="ar-SA"/>
        </w:rPr>
        <w:t>资格</w:t>
      </w:r>
      <w:r>
        <w:rPr>
          <w:rFonts w:hint="eastAsia" w:ascii="宋体" w:hAnsi="宋体" w:eastAsia="宋体" w:cs="宋体"/>
          <w:i w:val="0"/>
          <w:iCs w:val="0"/>
          <w:color w:val="auto"/>
          <w:kern w:val="2"/>
          <w:sz w:val="24"/>
          <w:szCs w:val="24"/>
          <w:highlight w:val="none"/>
          <w:shd w:val="clear" w:color="auto" w:fill="FFFFFF"/>
          <w:lang w:val="en-US" w:eastAsia="zh-CN" w:bidi="ar-SA"/>
        </w:rPr>
        <w:t>要求”</w:t>
      </w:r>
      <w:r>
        <w:rPr>
          <w:rFonts w:hint="eastAsia" w:ascii="宋体" w:hAnsi="宋体" w:eastAsia="宋体" w:cs="宋体"/>
          <w:i w:val="0"/>
          <w:iCs w:val="0"/>
          <w:color w:val="auto"/>
          <w:kern w:val="2"/>
          <w:sz w:val="24"/>
          <w:szCs w:val="24"/>
          <w:highlight w:val="none"/>
          <w:shd w:val="clear" w:color="auto" w:fill="FFFFFF"/>
          <w:lang w:val="zh-CN" w:eastAsia="zh-CN" w:bidi="ar-SA"/>
        </w:rPr>
        <w:t>。</w:t>
      </w:r>
    </w:p>
    <w:p w14:paraId="4BACA457">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5.费用</w:t>
      </w:r>
      <w:bookmarkEnd w:id="121"/>
      <w:bookmarkEnd w:id="122"/>
      <w:bookmarkEnd w:id="123"/>
      <w:bookmarkEnd w:id="124"/>
      <w:bookmarkEnd w:id="125"/>
      <w:bookmarkEnd w:id="126"/>
      <w:bookmarkEnd w:id="127"/>
      <w:bookmarkEnd w:id="128"/>
      <w:bookmarkEnd w:id="129"/>
      <w:bookmarkEnd w:id="130"/>
      <w:bookmarkEnd w:id="131"/>
      <w:bookmarkEnd w:id="132"/>
      <w:bookmarkEnd w:id="133"/>
      <w:r>
        <w:rPr>
          <w:rFonts w:hint="eastAsia" w:ascii="宋体" w:hAnsi="宋体" w:eastAsia="宋体" w:cs="宋体"/>
          <w:b/>
          <w:bCs/>
          <w:i w:val="0"/>
          <w:iCs w:val="0"/>
          <w:color w:val="auto"/>
          <w:kern w:val="2"/>
          <w:sz w:val="24"/>
          <w:szCs w:val="24"/>
          <w:highlight w:val="none"/>
          <w:lang w:val="en-US" w:eastAsia="zh-CN" w:bidi="ar-SA"/>
        </w:rPr>
        <w:t>承担</w:t>
      </w:r>
    </w:p>
    <w:p w14:paraId="63EBC1C3">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5.1</w:t>
      </w:r>
      <w:r>
        <w:rPr>
          <w:rFonts w:hint="eastAsia" w:ascii="宋体" w:hAnsi="宋体" w:eastAsia="宋体" w:cs="宋体"/>
          <w:i w:val="0"/>
          <w:iCs w:val="0"/>
          <w:snapToGrid w:val="0"/>
          <w:color w:val="auto"/>
          <w:sz w:val="24"/>
          <w:szCs w:val="24"/>
          <w:highlight w:val="none"/>
          <w:lang w:val="zh-CN" w:eastAsia="zh-CN"/>
        </w:rPr>
        <w:t>不论</w:t>
      </w:r>
      <w:r>
        <w:rPr>
          <w:rFonts w:hint="eastAsia" w:ascii="宋体" w:hAnsi="宋体" w:eastAsia="宋体" w:cs="宋体"/>
          <w:i w:val="0"/>
          <w:iCs w:val="0"/>
          <w:snapToGrid w:val="0"/>
          <w:color w:val="auto"/>
          <w:sz w:val="24"/>
          <w:szCs w:val="24"/>
          <w:highlight w:val="none"/>
          <w:lang w:val="en-US" w:eastAsia="zh-CN"/>
        </w:rPr>
        <w:t>磋商</w:t>
      </w:r>
      <w:r>
        <w:rPr>
          <w:rFonts w:hint="eastAsia" w:ascii="宋体" w:hAnsi="宋体" w:eastAsia="宋体" w:cs="宋体"/>
          <w:i w:val="0"/>
          <w:iCs w:val="0"/>
          <w:snapToGrid w:val="0"/>
          <w:color w:val="auto"/>
          <w:sz w:val="24"/>
          <w:szCs w:val="24"/>
          <w:highlight w:val="none"/>
          <w:lang w:val="zh-CN" w:eastAsia="zh-CN"/>
        </w:rPr>
        <w:t>的结果如何，</w:t>
      </w:r>
      <w:r>
        <w:rPr>
          <w:rFonts w:hint="eastAsia" w:ascii="宋体" w:hAnsi="宋体" w:eastAsia="宋体" w:cs="宋体"/>
          <w:i w:val="0"/>
          <w:iCs w:val="0"/>
          <w:snapToGrid w:val="0"/>
          <w:color w:val="auto"/>
          <w:sz w:val="24"/>
          <w:szCs w:val="24"/>
          <w:highlight w:val="none"/>
          <w:lang w:val="en-US" w:eastAsia="zh-CN"/>
        </w:rPr>
        <w:t>供应商</w:t>
      </w:r>
      <w:r>
        <w:rPr>
          <w:rFonts w:hint="eastAsia" w:ascii="宋体" w:hAnsi="宋体" w:eastAsia="宋体" w:cs="宋体"/>
          <w:i w:val="0"/>
          <w:iCs w:val="0"/>
          <w:snapToGrid w:val="0"/>
          <w:color w:val="auto"/>
          <w:sz w:val="24"/>
          <w:szCs w:val="24"/>
          <w:highlight w:val="none"/>
          <w:lang w:val="zh-CN" w:eastAsia="zh-CN"/>
        </w:rPr>
        <w:t>应承担所有与准备和参加</w:t>
      </w:r>
      <w:r>
        <w:rPr>
          <w:rFonts w:hint="eastAsia" w:ascii="宋体" w:hAnsi="宋体" w:eastAsia="宋体" w:cs="宋体"/>
          <w:i w:val="0"/>
          <w:iCs w:val="0"/>
          <w:snapToGrid w:val="0"/>
          <w:color w:val="auto"/>
          <w:sz w:val="24"/>
          <w:szCs w:val="24"/>
          <w:highlight w:val="none"/>
          <w:lang w:val="en-US" w:eastAsia="zh-CN"/>
        </w:rPr>
        <w:t>磋商</w:t>
      </w:r>
      <w:r>
        <w:rPr>
          <w:rFonts w:hint="eastAsia" w:ascii="宋体" w:hAnsi="宋体" w:eastAsia="宋体" w:cs="宋体"/>
          <w:i w:val="0"/>
          <w:iCs w:val="0"/>
          <w:snapToGrid w:val="0"/>
          <w:color w:val="auto"/>
          <w:sz w:val="24"/>
          <w:szCs w:val="24"/>
          <w:highlight w:val="none"/>
          <w:lang w:val="zh-CN" w:eastAsia="zh-CN"/>
        </w:rPr>
        <w:t>有关的费用。</w:t>
      </w:r>
    </w:p>
    <w:p w14:paraId="4F7C29D1">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34" w:name="_Toc140132761"/>
      <w:bookmarkStart w:id="135" w:name="_Toc161600293"/>
      <w:r>
        <w:rPr>
          <w:rFonts w:hint="eastAsia" w:ascii="宋体" w:hAnsi="宋体" w:eastAsia="宋体" w:cs="宋体"/>
          <w:b/>
          <w:bCs/>
          <w:i w:val="0"/>
          <w:iCs w:val="0"/>
          <w:color w:val="auto"/>
          <w:kern w:val="2"/>
          <w:sz w:val="24"/>
          <w:szCs w:val="24"/>
          <w:highlight w:val="none"/>
          <w:lang w:val="en-US" w:eastAsia="zh-CN" w:bidi="ar-SA"/>
        </w:rPr>
        <w:t>6.保密</w:t>
      </w:r>
      <w:bookmarkEnd w:id="134"/>
      <w:bookmarkEnd w:id="135"/>
    </w:p>
    <w:p w14:paraId="7887B051">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6.1</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参与磋商活动的各方应对竞争</w:t>
      </w:r>
      <w:r>
        <w:rPr>
          <w:rFonts w:hint="eastAsia" w:ascii="宋体" w:hAnsi="宋体" w:eastAsia="宋体" w:cs="宋体"/>
          <w:i w:val="0"/>
          <w:iCs w:val="0"/>
          <w:color w:val="auto"/>
          <w:sz w:val="24"/>
          <w:szCs w:val="24"/>
          <w:highlight w:val="none"/>
          <w:lang w:val="en-US" w:eastAsia="zh-CN"/>
        </w:rPr>
        <w:t>性</w:t>
      </w:r>
      <w:r>
        <w:rPr>
          <w:rFonts w:hint="eastAsia" w:ascii="宋体" w:hAnsi="宋体" w:eastAsia="宋体" w:cs="宋体"/>
          <w:i w:val="0"/>
          <w:iCs w:val="0"/>
          <w:color w:val="auto"/>
          <w:sz w:val="24"/>
          <w:szCs w:val="24"/>
          <w:highlight w:val="none"/>
        </w:rPr>
        <w:t>磋商文件和响应文件中的商业和技术等秘密保密，否则应承担相应的法律责任。</w:t>
      </w:r>
    </w:p>
    <w:p w14:paraId="4E472650">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rPr>
        <w:t>6</w:t>
      </w:r>
      <w:r>
        <w:rPr>
          <w:rFonts w:hint="eastAsia" w:ascii="宋体" w:hAnsi="宋体" w:eastAsia="宋体" w:cs="宋体"/>
          <w:i w:val="0"/>
          <w:iCs w:val="0"/>
          <w:color w:val="auto"/>
          <w:kern w:val="2"/>
          <w:sz w:val="24"/>
          <w:szCs w:val="24"/>
          <w:highlight w:val="none"/>
        </w:rPr>
        <w:t>.</w:t>
      </w:r>
      <w:r>
        <w:rPr>
          <w:rFonts w:hint="eastAsia" w:ascii="宋体" w:hAnsi="宋体" w:eastAsia="宋体" w:cs="宋体"/>
          <w:i w:val="0"/>
          <w:iCs w:val="0"/>
          <w:color w:val="auto"/>
          <w:kern w:val="2"/>
          <w:sz w:val="24"/>
          <w:szCs w:val="24"/>
          <w:highlight w:val="none"/>
          <w:lang w:val="en-US" w:eastAsia="zh-CN"/>
        </w:rPr>
        <w:t>2 供应商</w:t>
      </w:r>
      <w:r>
        <w:rPr>
          <w:rFonts w:hint="eastAsia" w:ascii="宋体" w:hAnsi="宋体" w:eastAsia="宋体" w:cs="宋体"/>
          <w:i w:val="0"/>
          <w:iCs w:val="0"/>
          <w:color w:val="auto"/>
          <w:kern w:val="2"/>
          <w:sz w:val="24"/>
          <w:szCs w:val="24"/>
          <w:highlight w:val="none"/>
        </w:rPr>
        <w:t>自领取竞争</w:t>
      </w:r>
      <w:r>
        <w:rPr>
          <w:rFonts w:hint="eastAsia" w:ascii="宋体" w:hAnsi="宋体" w:eastAsia="宋体" w:cs="宋体"/>
          <w:i w:val="0"/>
          <w:iCs w:val="0"/>
          <w:color w:val="auto"/>
          <w:kern w:val="2"/>
          <w:sz w:val="24"/>
          <w:szCs w:val="24"/>
          <w:highlight w:val="none"/>
          <w:lang w:val="en-US" w:eastAsia="zh-CN"/>
        </w:rPr>
        <w:t>性</w:t>
      </w:r>
      <w:r>
        <w:rPr>
          <w:rFonts w:hint="eastAsia" w:ascii="宋体" w:hAnsi="宋体" w:eastAsia="宋体" w:cs="宋体"/>
          <w:i w:val="0"/>
          <w:iCs w:val="0"/>
          <w:color w:val="auto"/>
          <w:kern w:val="2"/>
          <w:sz w:val="24"/>
          <w:szCs w:val="24"/>
          <w:highlight w:val="none"/>
        </w:rPr>
        <w:t>磋商文件之日起，须承担本竞争</w:t>
      </w:r>
      <w:r>
        <w:rPr>
          <w:rFonts w:hint="eastAsia" w:ascii="宋体" w:hAnsi="宋体" w:eastAsia="宋体" w:cs="宋体"/>
          <w:i w:val="0"/>
          <w:iCs w:val="0"/>
          <w:color w:val="auto"/>
          <w:kern w:val="2"/>
          <w:sz w:val="24"/>
          <w:szCs w:val="24"/>
          <w:highlight w:val="none"/>
          <w:lang w:val="en-US" w:eastAsia="zh-CN"/>
        </w:rPr>
        <w:t>性</w:t>
      </w:r>
      <w:r>
        <w:rPr>
          <w:rFonts w:hint="eastAsia" w:ascii="宋体" w:hAnsi="宋体" w:eastAsia="宋体" w:cs="宋体"/>
          <w:i w:val="0"/>
          <w:iCs w:val="0"/>
          <w:color w:val="auto"/>
          <w:kern w:val="2"/>
          <w:sz w:val="24"/>
          <w:szCs w:val="24"/>
          <w:highlight w:val="none"/>
        </w:rPr>
        <w:t>磋商项目保密义务，不得将因本次竞争</w:t>
      </w:r>
      <w:r>
        <w:rPr>
          <w:rFonts w:hint="eastAsia" w:ascii="宋体" w:hAnsi="宋体" w:eastAsia="宋体" w:cs="宋体"/>
          <w:i w:val="0"/>
          <w:iCs w:val="0"/>
          <w:color w:val="auto"/>
          <w:kern w:val="2"/>
          <w:sz w:val="24"/>
          <w:szCs w:val="24"/>
          <w:highlight w:val="none"/>
          <w:lang w:val="en-US" w:eastAsia="zh-CN"/>
        </w:rPr>
        <w:t>性</w:t>
      </w:r>
      <w:r>
        <w:rPr>
          <w:rFonts w:hint="eastAsia" w:ascii="宋体" w:hAnsi="宋体" w:eastAsia="宋体" w:cs="宋体"/>
          <w:i w:val="0"/>
          <w:iCs w:val="0"/>
          <w:color w:val="auto"/>
          <w:kern w:val="2"/>
          <w:sz w:val="24"/>
          <w:szCs w:val="24"/>
          <w:highlight w:val="none"/>
        </w:rPr>
        <w:t>磋商获得的信息向第三人外传。由采购人向</w:t>
      </w:r>
      <w:r>
        <w:rPr>
          <w:rFonts w:hint="eastAsia" w:ascii="宋体" w:hAnsi="宋体" w:eastAsia="宋体" w:cs="宋体"/>
          <w:i w:val="0"/>
          <w:iCs w:val="0"/>
          <w:color w:val="auto"/>
          <w:kern w:val="2"/>
          <w:sz w:val="24"/>
          <w:szCs w:val="24"/>
          <w:highlight w:val="none"/>
          <w:lang w:val="en-US" w:eastAsia="zh-CN"/>
        </w:rPr>
        <w:t>供应商</w:t>
      </w:r>
      <w:r>
        <w:rPr>
          <w:rFonts w:hint="eastAsia" w:ascii="宋体" w:hAnsi="宋体" w:eastAsia="宋体" w:cs="宋体"/>
          <w:i w:val="0"/>
          <w:iCs w:val="0"/>
          <w:color w:val="auto"/>
          <w:kern w:val="2"/>
          <w:sz w:val="24"/>
          <w:szCs w:val="24"/>
          <w:highlight w:val="none"/>
        </w:rPr>
        <w:t>提供的图纸、详细资料、样品、模型、模件和所有其它资料，被视为保密资料，仅被用于它所规定的用途。除非得到采购人的同意，不能向任何第三方透露。竞争</w:t>
      </w:r>
      <w:r>
        <w:rPr>
          <w:rFonts w:hint="eastAsia" w:ascii="宋体" w:hAnsi="宋体" w:eastAsia="宋体" w:cs="宋体"/>
          <w:i w:val="0"/>
          <w:iCs w:val="0"/>
          <w:color w:val="auto"/>
          <w:kern w:val="2"/>
          <w:sz w:val="24"/>
          <w:szCs w:val="24"/>
          <w:highlight w:val="none"/>
          <w:lang w:val="en-US" w:eastAsia="zh-CN"/>
        </w:rPr>
        <w:t>性</w:t>
      </w:r>
      <w:r>
        <w:rPr>
          <w:rFonts w:hint="eastAsia" w:ascii="宋体" w:hAnsi="宋体" w:eastAsia="宋体" w:cs="宋体"/>
          <w:i w:val="0"/>
          <w:iCs w:val="0"/>
          <w:color w:val="auto"/>
          <w:kern w:val="2"/>
          <w:sz w:val="24"/>
          <w:szCs w:val="24"/>
          <w:highlight w:val="none"/>
        </w:rPr>
        <w:t>磋商结束后，应采购人要求，</w:t>
      </w:r>
      <w:r>
        <w:rPr>
          <w:rFonts w:hint="eastAsia" w:ascii="宋体" w:hAnsi="宋体" w:eastAsia="宋体" w:cs="宋体"/>
          <w:i w:val="0"/>
          <w:iCs w:val="0"/>
          <w:color w:val="auto"/>
          <w:kern w:val="2"/>
          <w:sz w:val="24"/>
          <w:szCs w:val="24"/>
          <w:highlight w:val="none"/>
          <w:lang w:val="en-US" w:eastAsia="zh-CN"/>
        </w:rPr>
        <w:t>供应商</w:t>
      </w:r>
      <w:r>
        <w:rPr>
          <w:rFonts w:hint="eastAsia" w:ascii="宋体" w:hAnsi="宋体" w:eastAsia="宋体" w:cs="宋体"/>
          <w:i w:val="0"/>
          <w:iCs w:val="0"/>
          <w:color w:val="auto"/>
          <w:kern w:val="2"/>
          <w:sz w:val="24"/>
          <w:szCs w:val="24"/>
          <w:highlight w:val="none"/>
        </w:rPr>
        <w:t>应归还所有从采购人处获得的保密资料。</w:t>
      </w:r>
    </w:p>
    <w:p w14:paraId="65949E3E">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rPr>
        <w:t>6</w:t>
      </w:r>
      <w:r>
        <w:rPr>
          <w:rFonts w:hint="eastAsia" w:ascii="宋体" w:hAnsi="宋体" w:eastAsia="宋体" w:cs="宋体"/>
          <w:i w:val="0"/>
          <w:iCs w:val="0"/>
          <w:color w:val="auto"/>
          <w:kern w:val="2"/>
          <w:sz w:val="24"/>
          <w:szCs w:val="24"/>
          <w:highlight w:val="none"/>
        </w:rPr>
        <w:t>.</w:t>
      </w:r>
      <w:r>
        <w:rPr>
          <w:rFonts w:hint="eastAsia" w:ascii="宋体" w:hAnsi="宋体" w:eastAsia="宋体" w:cs="宋体"/>
          <w:i w:val="0"/>
          <w:iCs w:val="0"/>
          <w:color w:val="auto"/>
          <w:kern w:val="2"/>
          <w:sz w:val="24"/>
          <w:szCs w:val="24"/>
          <w:highlight w:val="none"/>
          <w:lang w:val="en-US" w:eastAsia="zh-CN"/>
        </w:rPr>
        <w:t xml:space="preserve">3 </w:t>
      </w:r>
      <w:r>
        <w:rPr>
          <w:rFonts w:hint="eastAsia" w:ascii="宋体" w:hAnsi="宋体" w:eastAsia="宋体" w:cs="宋体"/>
          <w:i w:val="0"/>
          <w:iCs w:val="0"/>
          <w:color w:val="auto"/>
          <w:kern w:val="2"/>
          <w:sz w:val="24"/>
          <w:szCs w:val="24"/>
          <w:highlight w:val="none"/>
        </w:rPr>
        <w:t>采购代理机构有权将</w:t>
      </w:r>
      <w:r>
        <w:rPr>
          <w:rFonts w:hint="eastAsia" w:ascii="宋体" w:hAnsi="宋体" w:eastAsia="宋体" w:cs="宋体"/>
          <w:i w:val="0"/>
          <w:iCs w:val="0"/>
          <w:color w:val="auto"/>
          <w:kern w:val="2"/>
          <w:sz w:val="24"/>
          <w:szCs w:val="24"/>
          <w:highlight w:val="none"/>
          <w:lang w:val="en-US" w:eastAsia="zh-CN"/>
        </w:rPr>
        <w:t>供应商</w:t>
      </w:r>
      <w:r>
        <w:rPr>
          <w:rFonts w:hint="eastAsia" w:ascii="宋体" w:hAnsi="宋体" w:eastAsia="宋体" w:cs="宋体"/>
          <w:i w:val="0"/>
          <w:iCs w:val="0"/>
          <w:color w:val="auto"/>
          <w:kern w:val="2"/>
          <w:sz w:val="24"/>
          <w:szCs w:val="24"/>
          <w:highlight w:val="none"/>
        </w:rPr>
        <w:t>提供的所有资料向有关政府部门或竞争</w:t>
      </w:r>
      <w:r>
        <w:rPr>
          <w:rFonts w:hint="eastAsia" w:ascii="宋体" w:hAnsi="宋体" w:eastAsia="宋体" w:cs="宋体"/>
          <w:i w:val="0"/>
          <w:iCs w:val="0"/>
          <w:color w:val="auto"/>
          <w:kern w:val="2"/>
          <w:sz w:val="24"/>
          <w:szCs w:val="24"/>
          <w:highlight w:val="none"/>
          <w:lang w:val="en-US" w:eastAsia="zh-CN"/>
        </w:rPr>
        <w:t>性</w:t>
      </w:r>
      <w:r>
        <w:rPr>
          <w:rFonts w:hint="eastAsia" w:ascii="宋体" w:hAnsi="宋体" w:eastAsia="宋体" w:cs="宋体"/>
          <w:i w:val="0"/>
          <w:iCs w:val="0"/>
          <w:color w:val="auto"/>
          <w:kern w:val="2"/>
          <w:sz w:val="24"/>
          <w:szCs w:val="24"/>
          <w:highlight w:val="none"/>
        </w:rPr>
        <w:t>磋商的有关人员披露。</w:t>
      </w:r>
    </w:p>
    <w:p w14:paraId="2EEAF30B">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2"/>
          <w:sz w:val="24"/>
          <w:szCs w:val="24"/>
          <w:highlight w:val="none"/>
          <w:lang w:val="en-US" w:eastAsia="zh-CN"/>
        </w:rPr>
        <w:t>6</w:t>
      </w:r>
      <w:r>
        <w:rPr>
          <w:rFonts w:hint="eastAsia" w:ascii="宋体" w:hAnsi="宋体" w:eastAsia="宋体" w:cs="宋体"/>
          <w:i w:val="0"/>
          <w:iCs w:val="0"/>
          <w:color w:val="auto"/>
          <w:kern w:val="2"/>
          <w:sz w:val="24"/>
          <w:szCs w:val="24"/>
          <w:highlight w:val="none"/>
        </w:rPr>
        <w:t>.</w:t>
      </w:r>
      <w:r>
        <w:rPr>
          <w:rFonts w:hint="eastAsia" w:ascii="宋体" w:hAnsi="宋体" w:eastAsia="宋体" w:cs="宋体"/>
          <w:i w:val="0"/>
          <w:iCs w:val="0"/>
          <w:color w:val="auto"/>
          <w:kern w:val="2"/>
          <w:sz w:val="24"/>
          <w:szCs w:val="24"/>
          <w:highlight w:val="none"/>
          <w:lang w:val="en-US" w:eastAsia="zh-CN"/>
        </w:rPr>
        <w:t>4 各级人民政府财政部门对政府采购活动进行监督检查，有权查阅、复制有关文件、资料，相关单位和人员应当予以配合</w:t>
      </w:r>
      <w:r>
        <w:rPr>
          <w:rFonts w:hint="eastAsia" w:ascii="宋体" w:hAnsi="宋体" w:eastAsia="宋体" w:cs="宋体"/>
          <w:i w:val="0"/>
          <w:iCs w:val="0"/>
          <w:color w:val="auto"/>
          <w:kern w:val="2"/>
          <w:sz w:val="24"/>
          <w:szCs w:val="24"/>
          <w:highlight w:val="none"/>
        </w:rPr>
        <w:t>。</w:t>
      </w:r>
      <w:r>
        <w:rPr>
          <w:rFonts w:hint="eastAsia" w:ascii="宋体" w:hAnsi="宋体" w:eastAsia="宋体" w:cs="宋体"/>
          <w:i w:val="0"/>
          <w:iCs w:val="0"/>
          <w:color w:val="auto"/>
          <w:sz w:val="24"/>
          <w:szCs w:val="24"/>
          <w:highlight w:val="none"/>
        </w:rPr>
        <w:t xml:space="preserve"> </w:t>
      </w:r>
    </w:p>
    <w:p w14:paraId="65E2867F">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36" w:name="_Toc140132762"/>
      <w:bookmarkStart w:id="137" w:name="_Toc161600294"/>
      <w:r>
        <w:rPr>
          <w:rFonts w:hint="eastAsia" w:ascii="宋体" w:hAnsi="宋体" w:eastAsia="宋体" w:cs="宋体"/>
          <w:b/>
          <w:bCs/>
          <w:i w:val="0"/>
          <w:iCs w:val="0"/>
          <w:color w:val="auto"/>
          <w:kern w:val="2"/>
          <w:sz w:val="24"/>
          <w:szCs w:val="24"/>
          <w:highlight w:val="none"/>
          <w:lang w:val="en-US" w:eastAsia="zh-CN" w:bidi="ar-SA"/>
        </w:rPr>
        <w:t>7.语言文字</w:t>
      </w:r>
      <w:bookmarkEnd w:id="136"/>
      <w:bookmarkEnd w:id="137"/>
    </w:p>
    <w:p w14:paraId="79B0DA0E">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7.1竞争</w:t>
      </w:r>
      <w:r>
        <w:rPr>
          <w:rFonts w:hint="eastAsia" w:ascii="宋体" w:hAnsi="宋体" w:eastAsia="宋体" w:cs="宋体"/>
          <w:i w:val="0"/>
          <w:iCs w:val="0"/>
          <w:color w:val="auto"/>
          <w:sz w:val="24"/>
          <w:szCs w:val="24"/>
          <w:highlight w:val="none"/>
          <w:lang w:val="en-US" w:eastAsia="zh-CN"/>
        </w:rPr>
        <w:t>性</w:t>
      </w:r>
      <w:r>
        <w:rPr>
          <w:rFonts w:hint="eastAsia" w:ascii="宋体" w:hAnsi="宋体" w:eastAsia="宋体" w:cs="宋体"/>
          <w:i w:val="0"/>
          <w:iCs w:val="0"/>
          <w:color w:val="auto"/>
          <w:sz w:val="24"/>
          <w:szCs w:val="24"/>
          <w:highlight w:val="none"/>
        </w:rPr>
        <w:t>磋商</w:t>
      </w:r>
      <w:r>
        <w:rPr>
          <w:rFonts w:hint="eastAsia" w:ascii="宋体" w:hAnsi="宋体" w:eastAsia="宋体" w:cs="宋体"/>
          <w:i w:val="0"/>
          <w:iCs w:val="0"/>
          <w:color w:val="auto"/>
          <w:sz w:val="24"/>
          <w:szCs w:val="24"/>
          <w:highlight w:val="none"/>
          <w:lang w:val="en-US" w:eastAsia="zh-CN"/>
        </w:rPr>
        <w:t>文件及响应</w:t>
      </w:r>
      <w:r>
        <w:rPr>
          <w:rFonts w:hint="eastAsia" w:ascii="宋体" w:hAnsi="宋体" w:eastAsia="宋体" w:cs="宋体"/>
          <w:i w:val="0"/>
          <w:iCs w:val="0"/>
          <w:color w:val="auto"/>
          <w:sz w:val="24"/>
          <w:szCs w:val="24"/>
          <w:highlight w:val="none"/>
        </w:rPr>
        <w:t>文件使用的语言文字为中文。专用术语使用外文的，应附有中文注释。</w:t>
      </w:r>
      <w:r>
        <w:rPr>
          <w:rFonts w:hint="eastAsia" w:ascii="宋体" w:hAnsi="宋体" w:eastAsia="宋体" w:cs="宋体"/>
          <w:i w:val="0"/>
          <w:iCs w:val="0"/>
          <w:color w:val="auto"/>
          <w:sz w:val="24"/>
          <w:szCs w:val="24"/>
          <w:highlight w:val="none"/>
          <w:lang w:val="en-US" w:eastAsia="zh-CN"/>
        </w:rPr>
        <w:t>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3186F51">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38" w:name="_Toc161600295"/>
      <w:bookmarkStart w:id="139" w:name="_Toc140132763"/>
      <w:r>
        <w:rPr>
          <w:rFonts w:hint="eastAsia" w:ascii="宋体" w:hAnsi="宋体" w:eastAsia="宋体" w:cs="宋体"/>
          <w:b/>
          <w:bCs/>
          <w:i w:val="0"/>
          <w:iCs w:val="0"/>
          <w:color w:val="auto"/>
          <w:kern w:val="2"/>
          <w:sz w:val="24"/>
          <w:szCs w:val="24"/>
          <w:highlight w:val="none"/>
          <w:lang w:val="en-US" w:eastAsia="zh-CN" w:bidi="ar-SA"/>
        </w:rPr>
        <w:t>8.计量单位</w:t>
      </w:r>
      <w:bookmarkEnd w:id="138"/>
      <w:bookmarkEnd w:id="139"/>
    </w:p>
    <w:p w14:paraId="7EB8D6E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8.1所有计量均采用中华人民共和国法定计量单位。</w:t>
      </w:r>
    </w:p>
    <w:p w14:paraId="3E224CA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40" w:name="_Toc161600296"/>
      <w:bookmarkStart w:id="141" w:name="_Toc140132764"/>
      <w:r>
        <w:rPr>
          <w:rFonts w:hint="eastAsia" w:ascii="宋体" w:hAnsi="宋体" w:eastAsia="宋体" w:cs="宋体"/>
          <w:b/>
          <w:bCs/>
          <w:i w:val="0"/>
          <w:iCs w:val="0"/>
          <w:color w:val="auto"/>
          <w:kern w:val="2"/>
          <w:sz w:val="24"/>
          <w:szCs w:val="24"/>
          <w:highlight w:val="none"/>
          <w:lang w:val="en-US" w:eastAsia="zh-CN" w:bidi="ar-SA"/>
        </w:rPr>
        <w:t>9.现场考察和答疑会</w:t>
      </w:r>
      <w:bookmarkEnd w:id="140"/>
      <w:bookmarkEnd w:id="141"/>
    </w:p>
    <w:p w14:paraId="3C55EC3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bookmarkStart w:id="142" w:name="_Hlk143529198"/>
      <w:r>
        <w:rPr>
          <w:rFonts w:hint="eastAsia" w:ascii="宋体" w:hAnsi="宋体" w:eastAsia="宋体" w:cs="宋体"/>
          <w:i w:val="0"/>
          <w:iCs w:val="0"/>
          <w:color w:val="auto"/>
          <w:sz w:val="24"/>
          <w:szCs w:val="24"/>
          <w:highlight w:val="none"/>
        </w:rPr>
        <w:t xml:space="preserve">9.1 “供应商须知前附表”规定组织现场考察的，采购代理机构按“供应商须知前附表”规定的时间、地点组织供应商项目现场考察。 </w:t>
      </w:r>
    </w:p>
    <w:p w14:paraId="77BCE208">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9.2 供应商现场考察发生的费用自理。</w:t>
      </w:r>
    </w:p>
    <w:p w14:paraId="76FE361D">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9.3 在现场考察中，因供应商自身原因发生的人员伤亡和财产损失，由供应商自行负责。</w:t>
      </w:r>
    </w:p>
    <w:p w14:paraId="4994216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9.4 采购人在现场考察中介绍的项目场地和相关的周边环境情况，仅供供应商在编制响应文件时参考，采购人和采购代理机构不对供应商据此作出的判断和决策负责。</w:t>
      </w:r>
    </w:p>
    <w:p w14:paraId="7052CB1C">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9.5 “供应商须知前附表”规定召开答疑会的，采购代理机构按“供应商须知前附表”规定的时间和地点召开答疑会，澄清供应商提出的问题。</w:t>
      </w:r>
    </w:p>
    <w:p w14:paraId="1257892D">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9.6 由于未参加现场考察或未参加答疑会而导致对项目实际情况不了解，影响响应文件编制、磋商报价准确性、综合因素响应不全面等问题的，由供应商自行承担不利评审后果。</w:t>
      </w:r>
    </w:p>
    <w:bookmarkEnd w:id="142"/>
    <w:p w14:paraId="019CC3B1">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43" w:name="_Toc161600298"/>
      <w:bookmarkStart w:id="144" w:name="_Toc155185858"/>
      <w:r>
        <w:rPr>
          <w:rFonts w:hint="eastAsia" w:ascii="宋体" w:hAnsi="宋体" w:eastAsia="宋体" w:cs="宋体"/>
          <w:b/>
          <w:bCs/>
          <w:i w:val="0"/>
          <w:iCs w:val="0"/>
          <w:color w:val="auto"/>
          <w:kern w:val="2"/>
          <w:sz w:val="24"/>
          <w:szCs w:val="24"/>
          <w:highlight w:val="none"/>
          <w:lang w:val="en-US" w:eastAsia="zh-CN" w:bidi="ar-SA"/>
        </w:rPr>
        <w:t>10.电子标说明</w:t>
      </w:r>
      <w:bookmarkEnd w:id="143"/>
      <w:bookmarkEnd w:id="144"/>
    </w:p>
    <w:p w14:paraId="01F3FC84">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10.1 本次采购采用电子交易方式，电子交易平台为</w:t>
      </w:r>
      <w:r>
        <w:rPr>
          <w:rFonts w:hint="eastAsia" w:cs="宋体"/>
          <w:i w:val="0"/>
          <w:iCs w:val="0"/>
          <w:color w:val="auto"/>
          <w:sz w:val="24"/>
          <w:szCs w:val="24"/>
          <w:highlight w:val="none"/>
          <w:lang w:val="en-US" w:eastAsia="zh-CN"/>
        </w:rPr>
        <w:t>新疆</w:t>
      </w:r>
      <w:r>
        <w:rPr>
          <w:rFonts w:hint="eastAsia" w:ascii="宋体" w:hAnsi="宋体" w:eastAsia="宋体" w:cs="宋体"/>
          <w:i w:val="0"/>
          <w:iCs w:val="0"/>
          <w:color w:val="auto"/>
          <w:sz w:val="24"/>
          <w:szCs w:val="24"/>
          <w:highlight w:val="none"/>
          <w:lang w:val="en-US" w:eastAsia="zh-CN"/>
        </w:rPr>
        <w:t>政府采购电子交易云平台（网址：https://www.zcygov.cn/）。供应商参与本项目电子交易活动前，</w:t>
      </w:r>
      <w:r>
        <w:rPr>
          <w:rFonts w:hint="eastAsia" w:ascii="宋体" w:hAnsi="宋体" w:eastAsia="宋体" w:cs="宋体"/>
          <w:i w:val="0"/>
          <w:iCs w:val="0"/>
          <w:color w:val="auto"/>
          <w:sz w:val="24"/>
          <w:szCs w:val="24"/>
          <w:highlight w:val="none"/>
        </w:rPr>
        <w:t>应</w:t>
      </w:r>
      <w:r>
        <w:rPr>
          <w:rFonts w:hint="eastAsia" w:ascii="宋体" w:hAnsi="宋体" w:eastAsia="宋体" w:cs="宋体"/>
          <w:i w:val="0"/>
          <w:iCs w:val="0"/>
          <w:color w:val="auto"/>
          <w:sz w:val="24"/>
          <w:szCs w:val="24"/>
          <w:highlight w:val="none"/>
          <w:lang w:val="en-US" w:eastAsia="zh-CN"/>
        </w:rPr>
        <w:t>在</w:t>
      </w:r>
      <w:r>
        <w:rPr>
          <w:rFonts w:hint="eastAsia" w:ascii="宋体" w:hAnsi="宋体" w:eastAsia="宋体" w:cs="宋体"/>
          <w:i w:val="0"/>
          <w:iCs w:val="0"/>
          <w:color w:val="auto"/>
          <w:sz w:val="24"/>
          <w:szCs w:val="24"/>
          <w:highlight w:val="none"/>
        </w:rPr>
        <w:t>政</w:t>
      </w:r>
      <w:r>
        <w:rPr>
          <w:rFonts w:hint="eastAsia" w:ascii="宋体" w:hAnsi="宋体" w:eastAsia="宋体" w:cs="宋体"/>
          <w:i w:val="0"/>
          <w:iCs w:val="0"/>
          <w:color w:val="auto"/>
          <w:sz w:val="24"/>
          <w:szCs w:val="24"/>
          <w:highlight w:val="none"/>
          <w:lang w:val="en-US" w:eastAsia="zh-CN"/>
        </w:rPr>
        <w:t>采</w:t>
      </w:r>
      <w:r>
        <w:rPr>
          <w:rFonts w:hint="eastAsia" w:ascii="宋体" w:hAnsi="宋体" w:eastAsia="宋体" w:cs="宋体"/>
          <w:i w:val="0"/>
          <w:iCs w:val="0"/>
          <w:color w:val="auto"/>
          <w:sz w:val="24"/>
          <w:szCs w:val="24"/>
          <w:highlight w:val="none"/>
          <w:lang w:val="en-US"/>
        </w:rPr>
        <w:t>云</w:t>
      </w:r>
      <w:r>
        <w:rPr>
          <w:rFonts w:hint="eastAsia" w:ascii="宋体" w:hAnsi="宋体" w:eastAsia="宋体" w:cs="宋体"/>
          <w:i w:val="0"/>
          <w:iCs w:val="0"/>
          <w:color w:val="auto"/>
          <w:sz w:val="24"/>
          <w:szCs w:val="24"/>
          <w:highlight w:val="none"/>
        </w:rPr>
        <w:t>平台</w:t>
      </w:r>
      <w:r>
        <w:rPr>
          <w:rFonts w:hint="eastAsia" w:ascii="宋体" w:hAnsi="宋体" w:eastAsia="宋体" w:cs="宋体"/>
          <w:i w:val="0"/>
          <w:iCs w:val="0"/>
          <w:color w:val="auto"/>
          <w:sz w:val="24"/>
          <w:szCs w:val="24"/>
          <w:highlight w:val="none"/>
          <w:lang w:val="en-US" w:eastAsia="zh-CN"/>
        </w:rPr>
        <w:t>上</w:t>
      </w:r>
      <w:r>
        <w:rPr>
          <w:rFonts w:hint="eastAsia" w:ascii="宋体" w:hAnsi="宋体" w:eastAsia="宋体" w:cs="宋体"/>
          <w:i w:val="0"/>
          <w:iCs w:val="0"/>
          <w:color w:val="auto"/>
          <w:sz w:val="24"/>
          <w:szCs w:val="24"/>
          <w:highlight w:val="none"/>
        </w:rPr>
        <w:t>注册</w:t>
      </w:r>
      <w:r>
        <w:rPr>
          <w:rFonts w:hint="eastAsia" w:ascii="宋体" w:hAnsi="宋体" w:eastAsia="宋体" w:cs="宋体"/>
          <w:i w:val="0"/>
          <w:iCs w:val="0"/>
          <w:color w:val="auto"/>
          <w:sz w:val="24"/>
          <w:szCs w:val="24"/>
          <w:highlight w:val="none"/>
          <w:lang w:val="en-US" w:eastAsia="zh-CN"/>
        </w:rPr>
        <w:t>供应商账号</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编制电子响应文件前还需申领CA证书并绑定帐号。供应商应充分考虑完成平台注册、申领CA证书等所需的时间。潜在供应商领取文件须提前完成注册、CA证书和电子签章申领和绑定、下载</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投标客户端</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。因未办理CA数字证书、CA证书故障、操作不当等原因造成无法磋商或磋商失败等后果由供应商自行承担。供应商登录</w:t>
      </w:r>
      <w:r>
        <w:rPr>
          <w:rFonts w:hint="eastAsia" w:cs="宋体"/>
          <w:i w:val="0"/>
          <w:iCs w:val="0"/>
          <w:color w:val="auto"/>
          <w:sz w:val="24"/>
          <w:szCs w:val="24"/>
          <w:highlight w:val="none"/>
          <w:lang w:val="en-US" w:eastAsia="zh-CN"/>
        </w:rPr>
        <w:t>新疆</w:t>
      </w:r>
      <w:r>
        <w:rPr>
          <w:rFonts w:hint="eastAsia" w:ascii="宋体" w:hAnsi="宋体" w:eastAsia="宋体" w:cs="宋体"/>
          <w:i w:val="0"/>
          <w:iCs w:val="0"/>
          <w:color w:val="auto"/>
          <w:sz w:val="24"/>
          <w:szCs w:val="24"/>
          <w:highlight w:val="none"/>
          <w:lang w:val="en-US" w:eastAsia="zh-CN"/>
        </w:rPr>
        <w:t>政府采购网“供应商注册”—“</w:t>
      </w:r>
      <w:r>
        <w:rPr>
          <w:rFonts w:hint="eastAsia" w:cs="宋体"/>
          <w:i w:val="0"/>
          <w:iCs w:val="0"/>
          <w:color w:val="auto"/>
          <w:sz w:val="24"/>
          <w:szCs w:val="24"/>
          <w:highlight w:val="none"/>
          <w:lang w:val="en-US" w:eastAsia="zh-CN"/>
        </w:rPr>
        <w:t>新疆</w:t>
      </w:r>
      <w:r>
        <w:rPr>
          <w:rFonts w:hint="eastAsia" w:ascii="宋体" w:hAnsi="宋体" w:eastAsia="宋体" w:cs="宋体"/>
          <w:i w:val="0"/>
          <w:iCs w:val="0"/>
          <w:color w:val="auto"/>
          <w:sz w:val="24"/>
          <w:szCs w:val="24"/>
          <w:highlight w:val="none"/>
          <w:lang w:val="en-US" w:eastAsia="zh-CN"/>
        </w:rPr>
        <w:t>政府采购供应商入驻登记”—“立即登记”进行自助注册绑定。</w:t>
      </w:r>
    </w:p>
    <w:p w14:paraId="07629647">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10.2 供应商将</w:t>
      </w:r>
      <w:r>
        <w:rPr>
          <w:rFonts w:hint="eastAsia" w:cs="宋体"/>
          <w:i w:val="0"/>
          <w:iCs w:val="0"/>
          <w:color w:val="auto"/>
          <w:sz w:val="24"/>
          <w:szCs w:val="24"/>
          <w:highlight w:val="none"/>
          <w:lang w:val="en-US" w:eastAsia="zh-CN"/>
        </w:rPr>
        <w:t>新疆</w:t>
      </w:r>
      <w:r>
        <w:rPr>
          <w:rFonts w:hint="eastAsia" w:ascii="宋体" w:hAnsi="宋体" w:eastAsia="宋体" w:cs="宋体"/>
          <w:i w:val="0"/>
          <w:iCs w:val="0"/>
          <w:color w:val="auto"/>
          <w:sz w:val="24"/>
          <w:szCs w:val="24"/>
          <w:highlight w:val="none"/>
          <w:lang w:val="en-US" w:eastAsia="zh-CN"/>
        </w:rPr>
        <w:t>政府采购电子交易云平台电子交易客户端下载、安装完成后，可通过账号密码或CA登录客户端进行响应文件制作。在使用政采云</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投标客户端</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时，建议使用WIN7及以上操作系统。供应商登录</w:t>
      </w:r>
      <w:r>
        <w:rPr>
          <w:rFonts w:hint="eastAsia" w:cs="宋体"/>
          <w:i w:val="0"/>
          <w:iCs w:val="0"/>
          <w:color w:val="auto"/>
          <w:sz w:val="24"/>
          <w:szCs w:val="24"/>
          <w:highlight w:val="none"/>
          <w:lang w:val="en-US" w:eastAsia="zh-CN"/>
        </w:rPr>
        <w:t>新疆</w:t>
      </w:r>
      <w:r>
        <w:rPr>
          <w:rFonts w:hint="eastAsia" w:ascii="宋体" w:hAnsi="宋体" w:eastAsia="宋体" w:cs="宋体"/>
          <w:i w:val="0"/>
          <w:iCs w:val="0"/>
          <w:color w:val="auto"/>
          <w:sz w:val="24"/>
          <w:szCs w:val="24"/>
          <w:highlight w:val="none"/>
          <w:lang w:val="en-US" w:eastAsia="zh-CN"/>
        </w:rPr>
        <w:t>政府采购网“下载专区”—“电子招投标客户端下载”下载相关客户端，如有问题可拨打政采云客户服务热线95763进行咨询。</w:t>
      </w:r>
    </w:p>
    <w:p w14:paraId="070D41FE">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10.3 加密的电子响应文件应在响应文件递交截止时间前通过政采云平台上传完成。逾期上传或者未上传指定地点的响应文件，不予受理。</w:t>
      </w:r>
    </w:p>
    <w:p w14:paraId="3DE8C6BB">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10.4 供应商在磋商前须提前配置好电脑及浏览器，磋商时请使用制作加密电子响应文件的CA锁进行解密及报价确认。本项目响应文件解密时间详“供应商须知前附表”，如因自身原因导致无法正常解密，后果由供应商自行承担。</w:t>
      </w:r>
    </w:p>
    <w:p w14:paraId="761D26E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10.5 如遇“</w:t>
      </w:r>
      <w:r>
        <w:rPr>
          <w:rFonts w:hint="eastAsia" w:cs="宋体"/>
          <w:i w:val="0"/>
          <w:iCs w:val="0"/>
          <w:color w:val="auto"/>
          <w:sz w:val="24"/>
          <w:szCs w:val="24"/>
          <w:highlight w:val="none"/>
          <w:lang w:val="en-US" w:eastAsia="zh-CN"/>
        </w:rPr>
        <w:t>新疆</w:t>
      </w:r>
      <w:r>
        <w:rPr>
          <w:rFonts w:hint="eastAsia" w:ascii="宋体" w:hAnsi="宋体" w:eastAsia="宋体" w:cs="宋体"/>
          <w:i w:val="0"/>
          <w:iCs w:val="0"/>
          <w:color w:val="auto"/>
          <w:sz w:val="24"/>
          <w:szCs w:val="24"/>
          <w:highlight w:val="none"/>
          <w:lang w:val="en-US" w:eastAsia="zh-CN"/>
        </w:rPr>
        <w:t>政府采购电子交易云平台（网址：https://www.zcygov.cn/）”电子交易规则调整，以最新要求为准。</w:t>
      </w:r>
    </w:p>
    <w:p w14:paraId="0D34C7F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10.6 电子交易系统咨询：供应商应当充分考虑到电子响应可能会发生的各种问题和风险，特别是响应文件签署、提交等问题，可按照“第一章 竞争性磋商公告”的联系方式咨询相关人员。</w:t>
      </w:r>
    </w:p>
    <w:p w14:paraId="1065350D">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10.7 由于本项目采用电子磋商方式，潜在供应商的名单将在递交响应文件截止时间后才会解密。因此，采购人或采购代理机构无法通过传统的传真或邮件方式，将竞争性磋商文件的澄清或修改内容逐一通知到每位已获取竞争性磋商文件的潜在供应商。为确保信息的及时性和准确性，澄清或修改的内容将仅在政采云平台以更正公告的形式发布。潜在供应商需密切关注该网站，及时查看并下载相关更正公告。若因潜在供应商未能及时查看或下载相关更正公告，而导致的一切后果，将由潜在供应商自行承担。</w:t>
      </w:r>
    </w:p>
    <w:p w14:paraId="67CAB661">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45" w:name="_Toc109899956"/>
      <w:bookmarkStart w:id="146" w:name="_Toc109900375"/>
      <w:bookmarkStart w:id="147" w:name="_Toc109897438"/>
      <w:bookmarkStart w:id="148" w:name="_Toc109899537"/>
      <w:bookmarkStart w:id="149" w:name="_Toc163493612"/>
      <w:bookmarkStart w:id="150" w:name="_Toc46771643"/>
      <w:bookmarkStart w:id="151" w:name="_Toc470172668"/>
      <w:r>
        <w:rPr>
          <w:rFonts w:hint="eastAsia" w:ascii="宋体" w:hAnsi="宋体" w:eastAsia="宋体" w:cs="宋体"/>
          <w:b/>
          <w:bCs/>
          <w:i w:val="0"/>
          <w:iCs w:val="0"/>
          <w:color w:val="auto"/>
          <w:kern w:val="2"/>
          <w:sz w:val="24"/>
          <w:szCs w:val="24"/>
          <w:highlight w:val="none"/>
          <w:lang w:val="en-US" w:eastAsia="zh-CN" w:bidi="ar-SA"/>
        </w:rPr>
        <w:t>（二）磋商文件</w:t>
      </w:r>
      <w:bookmarkEnd w:id="145"/>
      <w:bookmarkEnd w:id="146"/>
      <w:bookmarkEnd w:id="147"/>
      <w:bookmarkEnd w:id="148"/>
      <w:bookmarkEnd w:id="149"/>
      <w:bookmarkEnd w:id="150"/>
      <w:bookmarkEnd w:id="151"/>
    </w:p>
    <w:p w14:paraId="7CCCF2A0">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52" w:name="_Toc109899538"/>
      <w:bookmarkStart w:id="153" w:name="_Toc4547"/>
      <w:bookmarkStart w:id="154" w:name="_Toc48688793"/>
      <w:bookmarkStart w:id="155" w:name="_Toc52960557"/>
      <w:bookmarkStart w:id="156" w:name="_Toc109899957"/>
      <w:bookmarkStart w:id="157" w:name="_Toc46772245"/>
      <w:bookmarkStart w:id="158" w:name="_Toc46771644"/>
      <w:bookmarkStart w:id="159" w:name="_Toc109900376"/>
      <w:bookmarkStart w:id="160" w:name="_Toc109897439"/>
      <w:bookmarkStart w:id="161" w:name="_Toc52962731"/>
      <w:bookmarkStart w:id="162" w:name="_Toc51674215"/>
      <w:bookmarkStart w:id="163" w:name="_Toc470172669"/>
      <w:bookmarkStart w:id="164" w:name="_Toc48846113"/>
      <w:r>
        <w:rPr>
          <w:rFonts w:hint="eastAsia" w:ascii="宋体" w:hAnsi="宋体" w:eastAsia="宋体" w:cs="宋体"/>
          <w:b/>
          <w:bCs/>
          <w:i w:val="0"/>
          <w:iCs w:val="0"/>
          <w:color w:val="auto"/>
          <w:kern w:val="2"/>
          <w:sz w:val="24"/>
          <w:szCs w:val="24"/>
          <w:highlight w:val="none"/>
          <w:lang w:val="en-US" w:eastAsia="zh-CN" w:bidi="ar-SA"/>
        </w:rPr>
        <w:t>11.磋商文件的构成</w:t>
      </w:r>
      <w:bookmarkEnd w:id="152"/>
      <w:bookmarkEnd w:id="153"/>
      <w:bookmarkEnd w:id="154"/>
      <w:bookmarkEnd w:id="155"/>
      <w:bookmarkEnd w:id="156"/>
      <w:bookmarkEnd w:id="157"/>
      <w:bookmarkEnd w:id="158"/>
      <w:bookmarkEnd w:id="159"/>
      <w:bookmarkEnd w:id="160"/>
      <w:bookmarkEnd w:id="161"/>
      <w:bookmarkEnd w:id="162"/>
      <w:bookmarkEnd w:id="163"/>
      <w:bookmarkEnd w:id="164"/>
    </w:p>
    <w:p w14:paraId="07895472">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lang w:eastAsia="zh-CN"/>
        </w:rPr>
      </w:pPr>
      <w:bookmarkStart w:id="165" w:name="_Toc48688794"/>
      <w:bookmarkStart w:id="166" w:name="_Toc109900377"/>
      <w:bookmarkStart w:id="167" w:name="_Toc52960558"/>
      <w:bookmarkStart w:id="168" w:name="_Toc46772246"/>
      <w:bookmarkStart w:id="169" w:name="_Toc46771645"/>
      <w:bookmarkStart w:id="170" w:name="_Toc478415174"/>
      <w:bookmarkStart w:id="171" w:name="_Toc48846114"/>
      <w:bookmarkStart w:id="172" w:name="_Toc109899539"/>
      <w:bookmarkStart w:id="173" w:name="_Toc52962732"/>
      <w:bookmarkStart w:id="174" w:name="_Toc109897440"/>
      <w:bookmarkStart w:id="175" w:name="_Toc109899958"/>
      <w:bookmarkStart w:id="176" w:name="_Toc51674216"/>
      <w:r>
        <w:rPr>
          <w:rFonts w:hint="eastAsia" w:ascii="宋体" w:hAnsi="宋体" w:eastAsia="宋体" w:cs="宋体"/>
          <w:i w:val="0"/>
          <w:iCs w:val="0"/>
          <w:color w:val="auto"/>
          <w:sz w:val="24"/>
          <w:szCs w:val="24"/>
          <w:highlight w:val="none"/>
        </w:rPr>
        <w:t>第一章 竞争性磋商</w:t>
      </w:r>
      <w:r>
        <w:rPr>
          <w:rFonts w:hint="eastAsia" w:ascii="宋体" w:hAnsi="宋体" w:eastAsia="宋体" w:cs="宋体"/>
          <w:i w:val="0"/>
          <w:iCs w:val="0"/>
          <w:color w:val="auto"/>
          <w:sz w:val="24"/>
          <w:szCs w:val="24"/>
          <w:highlight w:val="none"/>
          <w:lang w:val="en-US" w:eastAsia="zh-CN"/>
        </w:rPr>
        <w:t>公告</w:t>
      </w:r>
    </w:p>
    <w:p w14:paraId="243B1F57">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第二章 供应商须知</w:t>
      </w:r>
    </w:p>
    <w:p w14:paraId="7CD650C0">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p>
    <w:p w14:paraId="4A11D74D">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第四章 评审</w:t>
      </w:r>
      <w:r>
        <w:rPr>
          <w:rFonts w:hint="eastAsia" w:ascii="宋体" w:hAnsi="宋体" w:eastAsia="宋体" w:cs="宋体"/>
          <w:i w:val="0"/>
          <w:iCs w:val="0"/>
          <w:color w:val="auto"/>
          <w:sz w:val="24"/>
          <w:szCs w:val="24"/>
          <w:highlight w:val="none"/>
          <w:lang w:val="en-US" w:eastAsia="zh-CN"/>
        </w:rPr>
        <w:t>方</w:t>
      </w:r>
      <w:r>
        <w:rPr>
          <w:rFonts w:hint="eastAsia" w:ascii="宋体" w:hAnsi="宋体" w:eastAsia="宋体" w:cs="宋体"/>
          <w:i w:val="0"/>
          <w:iCs w:val="0"/>
          <w:color w:val="auto"/>
          <w:sz w:val="24"/>
          <w:szCs w:val="24"/>
          <w:highlight w:val="none"/>
        </w:rPr>
        <w:t>法及标准</w:t>
      </w:r>
    </w:p>
    <w:p w14:paraId="49F27CFF">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第五章 合同草案</w:t>
      </w:r>
    </w:p>
    <w:p w14:paraId="68B79FAD">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第六章 响应文件的格式</w:t>
      </w:r>
    </w:p>
    <w:p w14:paraId="5F1C8684">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12.磋商文件的澄清或修改</w:t>
      </w:r>
      <w:bookmarkEnd w:id="165"/>
      <w:bookmarkEnd w:id="166"/>
      <w:bookmarkEnd w:id="167"/>
      <w:bookmarkEnd w:id="168"/>
      <w:bookmarkEnd w:id="169"/>
      <w:bookmarkEnd w:id="170"/>
      <w:bookmarkEnd w:id="171"/>
      <w:bookmarkEnd w:id="172"/>
      <w:bookmarkEnd w:id="173"/>
      <w:bookmarkEnd w:id="174"/>
      <w:bookmarkEnd w:id="175"/>
      <w:bookmarkEnd w:id="176"/>
    </w:p>
    <w:p w14:paraId="460DA133">
      <w:pPr>
        <w:keepNext w:val="0"/>
        <w:keepLines w:val="0"/>
        <w:pageBreakBefore w:val="0"/>
        <w:widowControl w:val="0"/>
        <w:kinsoku/>
        <w:overflowPunct/>
        <w:topLinePunct w:val="0"/>
        <w:autoSpaceDE/>
        <w:autoSpaceDN/>
        <w:bidi w:val="0"/>
        <w:adjustRightInd/>
        <w:ind w:firstLine="480" w:firstLineChars="200"/>
        <w:jc w:val="both"/>
        <w:textAlignment w:val="auto"/>
        <w:rPr>
          <w:rFonts w:eastAsia="宋体" w:cs="仿宋_GB2312"/>
          <w:color w:val="auto"/>
          <w:sz w:val="24"/>
          <w:szCs w:val="24"/>
          <w:highlight w:val="none"/>
        </w:rPr>
      </w:pPr>
      <w:r>
        <w:rPr>
          <w:rFonts w:hint="eastAsia" w:cs="仿宋_GB2312"/>
          <w:color w:val="auto"/>
          <w:sz w:val="24"/>
          <w:szCs w:val="24"/>
          <w:highlight w:val="none"/>
          <w:lang w:val="en-US" w:eastAsia="zh-CN"/>
        </w:rPr>
        <w:t>12</w:t>
      </w:r>
      <w:r>
        <w:rPr>
          <w:rFonts w:eastAsia="宋体" w:cs="仿宋_GB2312"/>
          <w:color w:val="auto"/>
          <w:sz w:val="24"/>
          <w:szCs w:val="24"/>
          <w:highlight w:val="none"/>
        </w:rPr>
        <w:t>.</w:t>
      </w:r>
      <w:r>
        <w:rPr>
          <w:rFonts w:hint="eastAsia" w:eastAsia="宋体" w:cs="仿宋_GB2312"/>
          <w:color w:val="auto"/>
          <w:sz w:val="24"/>
          <w:szCs w:val="24"/>
          <w:highlight w:val="none"/>
        </w:rPr>
        <w:t>1供应商</w:t>
      </w:r>
      <w:r>
        <w:rPr>
          <w:rFonts w:eastAsia="宋体" w:cs="仿宋_GB2312"/>
          <w:color w:val="auto"/>
          <w:sz w:val="24"/>
          <w:szCs w:val="24"/>
          <w:highlight w:val="none"/>
        </w:rPr>
        <w:t>如对</w:t>
      </w:r>
      <w:r>
        <w:rPr>
          <w:rFonts w:hint="eastAsia" w:eastAsia="宋体" w:cs="仿宋_GB2312"/>
          <w:color w:val="auto"/>
          <w:sz w:val="24"/>
          <w:szCs w:val="24"/>
          <w:highlight w:val="none"/>
        </w:rPr>
        <w:t>竞争性</w:t>
      </w:r>
      <w:r>
        <w:rPr>
          <w:rFonts w:hint="eastAsia" w:eastAsia="宋体" w:cs="仿宋_GB2312"/>
          <w:color w:val="auto"/>
          <w:sz w:val="24"/>
          <w:szCs w:val="24"/>
          <w:highlight w:val="none"/>
          <w:lang w:val="en-US" w:eastAsia="zh-CN"/>
        </w:rPr>
        <w:t>磋商</w:t>
      </w:r>
      <w:r>
        <w:rPr>
          <w:rFonts w:hint="eastAsia" w:eastAsia="宋体" w:cs="仿宋_GB2312"/>
          <w:color w:val="auto"/>
          <w:sz w:val="24"/>
          <w:szCs w:val="24"/>
          <w:highlight w:val="none"/>
        </w:rPr>
        <w:t>文件</w:t>
      </w:r>
      <w:r>
        <w:rPr>
          <w:rFonts w:eastAsia="宋体" w:cs="仿宋_GB2312"/>
          <w:color w:val="auto"/>
          <w:sz w:val="24"/>
          <w:szCs w:val="24"/>
          <w:highlight w:val="none"/>
        </w:rPr>
        <w:t>内容有疑问，须在</w:t>
      </w:r>
      <w:r>
        <w:rPr>
          <w:rFonts w:hint="eastAsia" w:cs="仿宋_GB2312"/>
          <w:color w:val="auto"/>
          <w:sz w:val="24"/>
          <w:szCs w:val="24"/>
          <w:highlight w:val="none"/>
          <w:lang w:eastAsia="zh-CN"/>
        </w:rPr>
        <w:t>“</w:t>
      </w:r>
      <w:r>
        <w:rPr>
          <w:rFonts w:hint="eastAsia" w:eastAsia="宋体" w:cs="仿宋_GB2312"/>
          <w:color w:val="auto"/>
          <w:sz w:val="24"/>
          <w:szCs w:val="24"/>
          <w:highlight w:val="none"/>
        </w:rPr>
        <w:t>供应商</w:t>
      </w:r>
      <w:r>
        <w:rPr>
          <w:rFonts w:eastAsia="宋体" w:cs="仿宋_GB2312"/>
          <w:color w:val="auto"/>
          <w:sz w:val="24"/>
          <w:szCs w:val="24"/>
          <w:highlight w:val="none"/>
        </w:rPr>
        <w:t>须知前附表</w:t>
      </w:r>
      <w:r>
        <w:rPr>
          <w:rFonts w:hint="eastAsia" w:cs="仿宋_GB2312"/>
          <w:color w:val="auto"/>
          <w:sz w:val="24"/>
          <w:szCs w:val="24"/>
          <w:highlight w:val="none"/>
          <w:lang w:eastAsia="zh-CN"/>
        </w:rPr>
        <w:t>”</w:t>
      </w:r>
      <w:r>
        <w:rPr>
          <w:rFonts w:eastAsia="宋体" w:cs="仿宋_GB2312"/>
          <w:color w:val="auto"/>
          <w:sz w:val="24"/>
          <w:szCs w:val="24"/>
          <w:highlight w:val="none"/>
        </w:rPr>
        <w:t>规定的</w:t>
      </w:r>
      <w:r>
        <w:rPr>
          <w:rFonts w:hint="eastAsia" w:eastAsia="宋体" w:cs="仿宋_GB2312"/>
          <w:color w:val="auto"/>
          <w:sz w:val="24"/>
          <w:szCs w:val="24"/>
          <w:highlight w:val="none"/>
        </w:rPr>
        <w:t>询问</w:t>
      </w:r>
      <w:r>
        <w:rPr>
          <w:rFonts w:hint="eastAsia" w:cs="仿宋_GB2312"/>
          <w:color w:val="auto"/>
          <w:sz w:val="24"/>
          <w:szCs w:val="24"/>
          <w:highlight w:val="none"/>
          <w:lang w:val="en-US" w:eastAsia="zh-CN"/>
        </w:rPr>
        <w:t>方式和</w:t>
      </w:r>
      <w:r>
        <w:rPr>
          <w:rFonts w:eastAsia="宋体" w:cs="仿宋_GB2312"/>
          <w:color w:val="auto"/>
          <w:sz w:val="24"/>
          <w:szCs w:val="24"/>
          <w:highlight w:val="none"/>
        </w:rPr>
        <w:t>时间提交给</w:t>
      </w:r>
      <w:r>
        <w:rPr>
          <w:rFonts w:hint="eastAsia" w:cs="仿宋_GB2312"/>
          <w:color w:val="auto"/>
          <w:sz w:val="24"/>
          <w:szCs w:val="24"/>
          <w:highlight w:val="none"/>
          <w:lang w:val="en-US" w:eastAsia="zh-CN"/>
        </w:rPr>
        <w:t>采购人或</w:t>
      </w:r>
      <w:r>
        <w:rPr>
          <w:rFonts w:eastAsia="宋体" w:cs="仿宋_GB2312"/>
          <w:color w:val="auto"/>
          <w:sz w:val="24"/>
          <w:szCs w:val="24"/>
          <w:highlight w:val="none"/>
        </w:rPr>
        <w:t>采购代理机构。</w:t>
      </w:r>
    </w:p>
    <w:p w14:paraId="602B14BA">
      <w:pPr>
        <w:keepNext w:val="0"/>
        <w:keepLines w:val="0"/>
        <w:pageBreakBefore w:val="0"/>
        <w:widowControl w:val="0"/>
        <w:kinsoku/>
        <w:overflowPunct/>
        <w:topLinePunct w:val="0"/>
        <w:autoSpaceDE/>
        <w:autoSpaceDN/>
        <w:bidi w:val="0"/>
        <w:adjustRightInd/>
        <w:ind w:firstLine="480" w:firstLineChars="200"/>
        <w:jc w:val="both"/>
        <w:textAlignment w:val="auto"/>
        <w:rPr>
          <w:rFonts w:eastAsia="宋体" w:cs="仿宋_GB2312"/>
          <w:color w:val="auto"/>
          <w:sz w:val="24"/>
          <w:szCs w:val="24"/>
          <w:highlight w:val="none"/>
        </w:rPr>
      </w:pPr>
      <w:r>
        <w:rPr>
          <w:rFonts w:hint="eastAsia" w:cs="仿宋_GB2312"/>
          <w:color w:val="auto"/>
          <w:sz w:val="24"/>
          <w:szCs w:val="24"/>
          <w:highlight w:val="none"/>
          <w:lang w:val="en-US" w:eastAsia="zh-CN"/>
        </w:rPr>
        <w:t>12</w:t>
      </w:r>
      <w:r>
        <w:rPr>
          <w:rFonts w:eastAsia="宋体" w:cs="仿宋_GB2312"/>
          <w:color w:val="auto"/>
          <w:sz w:val="24"/>
          <w:szCs w:val="24"/>
          <w:highlight w:val="none"/>
        </w:rPr>
        <w:t>.</w:t>
      </w:r>
      <w:r>
        <w:rPr>
          <w:rFonts w:hint="eastAsia" w:eastAsia="宋体" w:cs="仿宋_GB2312"/>
          <w:color w:val="auto"/>
          <w:sz w:val="24"/>
          <w:szCs w:val="24"/>
          <w:highlight w:val="none"/>
        </w:rPr>
        <w:t>2采购人可主动地或在</w:t>
      </w:r>
      <w:r>
        <w:rPr>
          <w:rFonts w:hint="eastAsia" w:eastAsia="宋体" w:cs="仿宋_GB2312"/>
          <w:color w:val="auto"/>
          <w:sz w:val="24"/>
          <w:szCs w:val="24"/>
          <w:highlight w:val="none"/>
          <w:lang w:val="en-US" w:eastAsia="zh-CN"/>
        </w:rPr>
        <w:t>答复</w:t>
      </w:r>
      <w:r>
        <w:rPr>
          <w:rFonts w:hint="eastAsia" w:eastAsia="宋体" w:cs="仿宋_GB2312"/>
          <w:color w:val="auto"/>
          <w:sz w:val="24"/>
          <w:szCs w:val="24"/>
          <w:highlight w:val="none"/>
        </w:rPr>
        <w:t>供应商提出的</w:t>
      </w:r>
      <w:r>
        <w:rPr>
          <w:rFonts w:hint="eastAsia" w:eastAsia="宋体" w:cs="仿宋_GB2312"/>
          <w:color w:val="auto"/>
          <w:sz w:val="24"/>
          <w:szCs w:val="24"/>
          <w:highlight w:val="none"/>
          <w:lang w:val="en-US" w:eastAsia="zh-CN"/>
        </w:rPr>
        <w:t>询问</w:t>
      </w:r>
      <w:r>
        <w:rPr>
          <w:rFonts w:hint="eastAsia" w:eastAsia="宋体" w:cs="仿宋_GB2312"/>
          <w:color w:val="auto"/>
          <w:sz w:val="24"/>
          <w:szCs w:val="24"/>
          <w:highlight w:val="none"/>
        </w:rPr>
        <w:t>时对竞争性</w:t>
      </w:r>
      <w:r>
        <w:rPr>
          <w:rFonts w:hint="eastAsia" w:eastAsia="宋体" w:cs="仿宋_GB2312"/>
          <w:color w:val="auto"/>
          <w:sz w:val="24"/>
          <w:szCs w:val="24"/>
          <w:highlight w:val="none"/>
          <w:lang w:val="en-US" w:eastAsia="zh-CN"/>
        </w:rPr>
        <w:t>磋商</w:t>
      </w:r>
      <w:r>
        <w:rPr>
          <w:rFonts w:hint="eastAsia" w:eastAsia="宋体" w:cs="仿宋_GB2312"/>
          <w:color w:val="auto"/>
          <w:sz w:val="24"/>
          <w:szCs w:val="24"/>
          <w:highlight w:val="none"/>
        </w:rPr>
        <w:t>文件进行澄清与修改。</w:t>
      </w:r>
      <w:r>
        <w:rPr>
          <w:rFonts w:eastAsia="宋体" w:cs="仿宋_GB2312"/>
          <w:color w:val="auto"/>
          <w:sz w:val="24"/>
          <w:szCs w:val="24"/>
          <w:highlight w:val="none"/>
        </w:rPr>
        <w:t>采购代理机构将</w:t>
      </w:r>
      <w:r>
        <w:rPr>
          <w:rFonts w:hint="eastAsia" w:eastAsia="宋体" w:cs="仿宋_GB2312"/>
          <w:color w:val="auto"/>
          <w:sz w:val="24"/>
          <w:szCs w:val="24"/>
          <w:highlight w:val="none"/>
        </w:rPr>
        <w:t>在</w:t>
      </w:r>
      <w:r>
        <w:rPr>
          <w:rFonts w:hint="eastAsia" w:cs="仿宋_GB2312"/>
          <w:color w:val="auto"/>
          <w:sz w:val="24"/>
          <w:szCs w:val="24"/>
          <w:highlight w:val="none"/>
          <w:lang w:val="en-US" w:eastAsia="zh-CN"/>
        </w:rPr>
        <w:t>新疆政府采购云平台</w:t>
      </w:r>
      <w:r>
        <w:rPr>
          <w:rFonts w:hint="eastAsia" w:eastAsia="宋体" w:cs="仿宋_GB2312"/>
          <w:color w:val="auto"/>
          <w:sz w:val="24"/>
          <w:szCs w:val="24"/>
          <w:highlight w:val="none"/>
        </w:rPr>
        <w:t>以发布更正公告的方式澄清或修改竞争性</w:t>
      </w:r>
      <w:r>
        <w:rPr>
          <w:rFonts w:hint="eastAsia" w:eastAsia="宋体" w:cs="仿宋_GB2312"/>
          <w:color w:val="auto"/>
          <w:sz w:val="24"/>
          <w:szCs w:val="24"/>
          <w:highlight w:val="none"/>
          <w:lang w:val="en-US" w:eastAsia="zh-CN"/>
        </w:rPr>
        <w:t>磋商</w:t>
      </w:r>
      <w:r>
        <w:rPr>
          <w:rFonts w:hint="eastAsia" w:eastAsia="宋体" w:cs="仿宋_GB2312"/>
          <w:color w:val="auto"/>
          <w:sz w:val="24"/>
          <w:szCs w:val="24"/>
          <w:highlight w:val="none"/>
        </w:rPr>
        <w:t>文件，更正公告的</w:t>
      </w:r>
      <w:r>
        <w:rPr>
          <w:rFonts w:eastAsia="宋体" w:cs="仿宋_GB2312"/>
          <w:color w:val="auto"/>
          <w:sz w:val="24"/>
          <w:szCs w:val="24"/>
          <w:highlight w:val="none"/>
        </w:rPr>
        <w:t>内容</w:t>
      </w:r>
      <w:r>
        <w:rPr>
          <w:rFonts w:hint="eastAsia" w:eastAsia="宋体" w:cs="仿宋_GB2312"/>
          <w:color w:val="auto"/>
          <w:sz w:val="24"/>
          <w:szCs w:val="24"/>
          <w:highlight w:val="none"/>
        </w:rPr>
        <w:t>作</w:t>
      </w:r>
      <w:r>
        <w:rPr>
          <w:rFonts w:eastAsia="宋体" w:cs="仿宋_GB2312"/>
          <w:color w:val="auto"/>
          <w:sz w:val="24"/>
          <w:szCs w:val="24"/>
          <w:highlight w:val="none"/>
        </w:rPr>
        <w:t>为</w:t>
      </w:r>
      <w:r>
        <w:rPr>
          <w:rFonts w:hint="eastAsia" w:eastAsia="宋体" w:cs="仿宋_GB2312"/>
          <w:color w:val="auto"/>
          <w:sz w:val="24"/>
          <w:szCs w:val="24"/>
          <w:highlight w:val="none"/>
        </w:rPr>
        <w:t>竞争性</w:t>
      </w:r>
      <w:r>
        <w:rPr>
          <w:rFonts w:hint="eastAsia" w:eastAsia="宋体" w:cs="仿宋_GB2312"/>
          <w:color w:val="auto"/>
          <w:sz w:val="24"/>
          <w:szCs w:val="24"/>
          <w:highlight w:val="none"/>
          <w:lang w:val="en-US" w:eastAsia="zh-CN"/>
        </w:rPr>
        <w:t>磋商</w:t>
      </w:r>
      <w:r>
        <w:rPr>
          <w:rFonts w:hint="eastAsia" w:eastAsia="宋体" w:cs="仿宋_GB2312"/>
          <w:color w:val="auto"/>
          <w:sz w:val="24"/>
          <w:szCs w:val="24"/>
          <w:highlight w:val="none"/>
        </w:rPr>
        <w:t>文件的</w:t>
      </w:r>
      <w:r>
        <w:rPr>
          <w:rFonts w:eastAsia="宋体" w:cs="仿宋_GB2312"/>
          <w:color w:val="auto"/>
          <w:sz w:val="24"/>
          <w:szCs w:val="24"/>
          <w:highlight w:val="none"/>
        </w:rPr>
        <w:t>组成部分，对</w:t>
      </w:r>
      <w:r>
        <w:rPr>
          <w:rFonts w:hint="eastAsia" w:eastAsia="宋体" w:cs="仿宋_GB2312"/>
          <w:color w:val="auto"/>
          <w:sz w:val="24"/>
          <w:szCs w:val="24"/>
          <w:highlight w:val="none"/>
        </w:rPr>
        <w:t>供应商</w:t>
      </w:r>
      <w:r>
        <w:rPr>
          <w:rFonts w:eastAsia="宋体" w:cs="仿宋_GB2312"/>
          <w:color w:val="auto"/>
          <w:sz w:val="24"/>
          <w:szCs w:val="24"/>
          <w:highlight w:val="none"/>
        </w:rPr>
        <w:t>起约束作用</w:t>
      </w:r>
      <w:r>
        <w:rPr>
          <w:rFonts w:hint="eastAsia" w:eastAsia="宋体" w:cs="仿宋_GB2312"/>
          <w:color w:val="auto"/>
          <w:sz w:val="24"/>
          <w:szCs w:val="24"/>
          <w:highlight w:val="none"/>
        </w:rPr>
        <w:t>。供应商应主动上网查询。采购代理机构不承担供应商未及时关注相关信息引发的相关责任。</w:t>
      </w:r>
    </w:p>
    <w:p w14:paraId="5041EBB6">
      <w:pPr>
        <w:keepNext w:val="0"/>
        <w:keepLines w:val="0"/>
        <w:pageBreakBefore w:val="0"/>
        <w:widowControl w:val="0"/>
        <w:kinsoku/>
        <w:overflowPunct/>
        <w:topLinePunct w:val="0"/>
        <w:autoSpaceDE/>
        <w:autoSpaceDN/>
        <w:bidi w:val="0"/>
        <w:adjustRightInd/>
        <w:ind w:firstLine="480" w:firstLineChars="200"/>
        <w:jc w:val="both"/>
        <w:textAlignment w:val="auto"/>
        <w:rPr>
          <w:rFonts w:hint="eastAsia" w:eastAsia="宋体" w:cs="仿宋_GB2312"/>
          <w:color w:val="auto"/>
          <w:sz w:val="24"/>
          <w:szCs w:val="24"/>
          <w:highlight w:val="none"/>
        </w:rPr>
      </w:pPr>
      <w:r>
        <w:rPr>
          <w:rFonts w:eastAsia="宋体" w:cs="仿宋_GB2312"/>
          <w:color w:val="auto"/>
          <w:sz w:val="24"/>
          <w:szCs w:val="24"/>
          <w:highlight w:val="none"/>
        </w:rPr>
        <w:t>1</w:t>
      </w:r>
      <w:r>
        <w:rPr>
          <w:rFonts w:hint="eastAsia" w:eastAsia="宋体" w:cs="仿宋_GB2312"/>
          <w:color w:val="auto"/>
          <w:sz w:val="24"/>
          <w:szCs w:val="24"/>
          <w:highlight w:val="none"/>
          <w:lang w:val="en-US" w:eastAsia="zh-CN"/>
        </w:rPr>
        <w:t>2</w:t>
      </w:r>
      <w:r>
        <w:rPr>
          <w:rFonts w:hint="eastAsia" w:eastAsia="宋体" w:cs="仿宋_GB2312"/>
          <w:color w:val="auto"/>
          <w:sz w:val="24"/>
          <w:szCs w:val="24"/>
          <w:highlight w:val="none"/>
        </w:rPr>
        <w:t>.3 竞争性</w:t>
      </w:r>
      <w:r>
        <w:rPr>
          <w:rFonts w:hint="eastAsia" w:eastAsia="宋体" w:cs="仿宋_GB2312"/>
          <w:color w:val="auto"/>
          <w:sz w:val="24"/>
          <w:szCs w:val="24"/>
          <w:highlight w:val="none"/>
          <w:lang w:val="en-US" w:eastAsia="zh-CN"/>
        </w:rPr>
        <w:t>磋商</w:t>
      </w:r>
      <w:r>
        <w:rPr>
          <w:rFonts w:hint="eastAsia" w:eastAsia="宋体" w:cs="仿宋_GB2312"/>
          <w:color w:val="auto"/>
          <w:sz w:val="24"/>
          <w:szCs w:val="24"/>
          <w:highlight w:val="none"/>
        </w:rPr>
        <w:t>文件的澄清或者修改的内容可能影响</w:t>
      </w:r>
      <w:r>
        <w:rPr>
          <w:rFonts w:hint="eastAsia" w:cs="仿宋_GB2312"/>
          <w:color w:val="auto"/>
          <w:sz w:val="24"/>
          <w:szCs w:val="24"/>
          <w:highlight w:val="none"/>
          <w:lang w:val="en-US" w:eastAsia="zh-CN"/>
        </w:rPr>
        <w:t>响应</w:t>
      </w:r>
      <w:r>
        <w:rPr>
          <w:rFonts w:hint="eastAsia" w:eastAsia="宋体" w:cs="仿宋_GB2312"/>
          <w:color w:val="auto"/>
          <w:sz w:val="24"/>
          <w:szCs w:val="24"/>
          <w:highlight w:val="none"/>
        </w:rPr>
        <w:t>文件编制的，</w:t>
      </w:r>
      <w:r>
        <w:rPr>
          <w:rFonts w:hint="eastAsia" w:eastAsia="宋体" w:cs="仿宋_GB2312"/>
          <w:color w:val="auto"/>
          <w:sz w:val="24"/>
          <w:szCs w:val="24"/>
          <w:highlight w:val="none"/>
          <w:lang w:val="zh-CN"/>
        </w:rPr>
        <w:t>采购人、采购代理机构或者磋商小组应当在提交首次响应文件截止之日5日前，以书面形式通知所有接收</w:t>
      </w:r>
      <w:r>
        <w:rPr>
          <w:rFonts w:hint="eastAsia" w:eastAsia="宋体" w:cs="仿宋_GB2312"/>
          <w:color w:val="auto"/>
          <w:sz w:val="24"/>
          <w:szCs w:val="24"/>
          <w:highlight w:val="none"/>
        </w:rPr>
        <w:t>竞争性</w:t>
      </w:r>
      <w:r>
        <w:rPr>
          <w:rFonts w:hint="eastAsia" w:eastAsia="宋体" w:cs="仿宋_GB2312"/>
          <w:color w:val="auto"/>
          <w:sz w:val="24"/>
          <w:szCs w:val="24"/>
          <w:highlight w:val="none"/>
          <w:lang w:val="zh-CN"/>
        </w:rPr>
        <w:t>磋商文件的供应商，不足5日的，应当顺延提交首次响应文件</w:t>
      </w:r>
      <w:r>
        <w:rPr>
          <w:rFonts w:hint="eastAsia" w:eastAsia="宋体" w:cs="仿宋_GB2312"/>
          <w:color w:val="auto"/>
          <w:sz w:val="24"/>
          <w:szCs w:val="24"/>
          <w:highlight w:val="none"/>
          <w:lang w:val="en-US" w:eastAsia="zh-CN"/>
        </w:rPr>
        <w:t>的</w:t>
      </w:r>
      <w:r>
        <w:rPr>
          <w:rFonts w:hint="eastAsia" w:eastAsia="宋体" w:cs="仿宋_GB2312"/>
          <w:color w:val="auto"/>
          <w:sz w:val="24"/>
          <w:szCs w:val="24"/>
          <w:highlight w:val="none"/>
          <w:lang w:val="zh-CN"/>
        </w:rPr>
        <w:t>截止时间</w:t>
      </w:r>
      <w:r>
        <w:rPr>
          <w:rFonts w:hint="eastAsia" w:eastAsia="宋体" w:cs="仿宋_GB2312"/>
          <w:color w:val="auto"/>
          <w:sz w:val="24"/>
          <w:szCs w:val="24"/>
          <w:highlight w:val="none"/>
        </w:rPr>
        <w:t>。</w:t>
      </w:r>
    </w:p>
    <w:p w14:paraId="0641A8B6">
      <w:pPr>
        <w:keepNext w:val="0"/>
        <w:keepLines w:val="0"/>
        <w:pageBreakBefore w:val="0"/>
        <w:widowControl w:val="0"/>
        <w:kinsoku/>
        <w:overflowPunct/>
        <w:topLinePunct w:val="0"/>
        <w:autoSpaceDE/>
        <w:autoSpaceDN/>
        <w:bidi w:val="0"/>
        <w:adjustRightInd/>
        <w:ind w:firstLine="480" w:firstLineChars="200"/>
        <w:jc w:val="both"/>
        <w:textAlignment w:val="auto"/>
        <w:rPr>
          <w:rFonts w:eastAsia="宋体" w:cs="仿宋_GB2312"/>
          <w:color w:val="auto"/>
          <w:sz w:val="24"/>
          <w:szCs w:val="24"/>
          <w:highlight w:val="none"/>
        </w:rPr>
      </w:pPr>
      <w:r>
        <w:rPr>
          <w:rFonts w:hint="eastAsia" w:cs="仿宋_GB2312"/>
          <w:color w:val="auto"/>
          <w:sz w:val="24"/>
          <w:szCs w:val="24"/>
          <w:highlight w:val="none"/>
          <w:lang w:val="en-US" w:eastAsia="zh-CN"/>
        </w:rPr>
        <w:t>12</w:t>
      </w:r>
      <w:r>
        <w:rPr>
          <w:rFonts w:hint="eastAsia" w:eastAsia="宋体" w:cs="仿宋_GB2312"/>
          <w:color w:val="auto"/>
          <w:sz w:val="24"/>
          <w:szCs w:val="24"/>
          <w:highlight w:val="none"/>
        </w:rPr>
        <w:t>.</w:t>
      </w:r>
      <w:r>
        <w:rPr>
          <w:rFonts w:hint="eastAsia" w:cs="仿宋_GB2312"/>
          <w:color w:val="auto"/>
          <w:sz w:val="24"/>
          <w:szCs w:val="24"/>
          <w:highlight w:val="none"/>
          <w:lang w:val="en-US" w:eastAsia="zh-CN"/>
        </w:rPr>
        <w:t>4</w:t>
      </w:r>
      <w:r>
        <w:rPr>
          <w:rFonts w:hint="eastAsia" w:eastAsia="宋体" w:cs="仿宋_GB2312"/>
          <w:color w:val="auto"/>
          <w:sz w:val="24"/>
          <w:szCs w:val="24"/>
          <w:highlight w:val="none"/>
        </w:rPr>
        <w:t>任何人或任何组织向</w:t>
      </w:r>
      <w:r>
        <w:rPr>
          <w:rFonts w:hint="eastAsia" w:cs="仿宋_GB2312"/>
          <w:color w:val="auto"/>
          <w:sz w:val="24"/>
          <w:szCs w:val="24"/>
          <w:highlight w:val="none"/>
          <w:lang w:val="en-US" w:eastAsia="zh-CN"/>
        </w:rPr>
        <w:t>供应商</w:t>
      </w:r>
      <w:r>
        <w:rPr>
          <w:rFonts w:hint="eastAsia" w:eastAsia="宋体" w:cs="仿宋_GB2312"/>
          <w:color w:val="auto"/>
          <w:sz w:val="24"/>
          <w:szCs w:val="24"/>
          <w:highlight w:val="none"/>
        </w:rPr>
        <w:t>提供的任何书面或口头资料，未经采购代理机构在网上发布或书面通知，均作无效处理，不得作为竞争性</w:t>
      </w:r>
      <w:r>
        <w:rPr>
          <w:rFonts w:hint="eastAsia" w:eastAsia="宋体" w:cs="仿宋_GB2312"/>
          <w:color w:val="auto"/>
          <w:sz w:val="24"/>
          <w:szCs w:val="24"/>
          <w:highlight w:val="none"/>
          <w:lang w:val="en-US" w:eastAsia="zh-CN"/>
        </w:rPr>
        <w:t>磋商</w:t>
      </w:r>
      <w:r>
        <w:rPr>
          <w:rFonts w:hint="eastAsia" w:eastAsia="宋体" w:cs="仿宋_GB2312"/>
          <w:color w:val="auto"/>
          <w:sz w:val="24"/>
          <w:szCs w:val="24"/>
          <w:highlight w:val="none"/>
        </w:rPr>
        <w:t>文件的组成部分。采购代理机构对</w:t>
      </w:r>
      <w:r>
        <w:rPr>
          <w:rFonts w:hint="eastAsia" w:cs="仿宋_GB2312"/>
          <w:color w:val="auto"/>
          <w:sz w:val="24"/>
          <w:szCs w:val="24"/>
          <w:highlight w:val="none"/>
          <w:lang w:val="en-US" w:eastAsia="zh-CN"/>
        </w:rPr>
        <w:t>供应商</w:t>
      </w:r>
      <w:r>
        <w:rPr>
          <w:rFonts w:hint="eastAsia" w:eastAsia="宋体" w:cs="仿宋_GB2312"/>
          <w:color w:val="auto"/>
          <w:sz w:val="24"/>
          <w:szCs w:val="24"/>
          <w:highlight w:val="none"/>
        </w:rPr>
        <w:t>由此而做出的推论、理解和结论概不负责。</w:t>
      </w:r>
    </w:p>
    <w:p w14:paraId="5E8D573E">
      <w:pPr>
        <w:keepNext w:val="0"/>
        <w:keepLines w:val="0"/>
        <w:pageBreakBefore w:val="0"/>
        <w:widowControl w:val="0"/>
        <w:kinsoku/>
        <w:overflowPunct/>
        <w:topLinePunct w:val="0"/>
        <w:autoSpaceDE/>
        <w:autoSpaceDN/>
        <w:bidi w:val="0"/>
        <w:adjustRightInd/>
        <w:ind w:firstLine="480" w:firstLineChars="200"/>
        <w:jc w:val="both"/>
        <w:textAlignment w:val="auto"/>
        <w:rPr>
          <w:rFonts w:eastAsia="宋体" w:cs="仿宋_GB2312"/>
          <w:color w:val="auto"/>
          <w:sz w:val="24"/>
          <w:szCs w:val="24"/>
          <w:highlight w:val="none"/>
        </w:rPr>
      </w:pPr>
      <w:r>
        <w:rPr>
          <w:rFonts w:hint="eastAsia" w:cs="仿宋_GB2312"/>
          <w:color w:val="auto"/>
          <w:sz w:val="24"/>
          <w:szCs w:val="24"/>
          <w:highlight w:val="none"/>
          <w:lang w:val="en-US" w:eastAsia="zh-CN"/>
        </w:rPr>
        <w:t>12.5</w:t>
      </w:r>
      <w:r>
        <w:rPr>
          <w:rFonts w:eastAsia="宋体" w:cs="仿宋_GB2312"/>
          <w:color w:val="auto"/>
          <w:sz w:val="24"/>
          <w:szCs w:val="24"/>
          <w:highlight w:val="none"/>
        </w:rPr>
        <w:t>对于没有提出</w:t>
      </w:r>
      <w:r>
        <w:rPr>
          <w:rFonts w:hint="eastAsia" w:eastAsia="宋体" w:cs="仿宋_GB2312"/>
          <w:color w:val="auto"/>
          <w:sz w:val="24"/>
          <w:szCs w:val="24"/>
          <w:highlight w:val="none"/>
        </w:rPr>
        <w:t>疑问</w:t>
      </w:r>
      <w:r>
        <w:rPr>
          <w:rFonts w:eastAsia="宋体" w:cs="仿宋_GB2312"/>
          <w:color w:val="auto"/>
          <w:sz w:val="24"/>
          <w:szCs w:val="24"/>
          <w:highlight w:val="none"/>
        </w:rPr>
        <w:t>又参与了</w:t>
      </w:r>
      <w:r>
        <w:rPr>
          <w:rFonts w:hint="eastAsia" w:eastAsia="宋体" w:cs="仿宋_GB2312"/>
          <w:color w:val="auto"/>
          <w:sz w:val="24"/>
          <w:szCs w:val="24"/>
          <w:highlight w:val="none"/>
        </w:rPr>
        <w:t>本</w:t>
      </w:r>
      <w:r>
        <w:rPr>
          <w:rFonts w:eastAsia="宋体" w:cs="仿宋_GB2312"/>
          <w:color w:val="auto"/>
          <w:sz w:val="24"/>
          <w:szCs w:val="24"/>
          <w:highlight w:val="none"/>
        </w:rPr>
        <w:t>项目</w:t>
      </w:r>
      <w:r>
        <w:rPr>
          <w:rFonts w:hint="eastAsia" w:cs="仿宋_GB2312"/>
          <w:color w:val="auto"/>
          <w:sz w:val="24"/>
          <w:szCs w:val="24"/>
          <w:highlight w:val="none"/>
          <w:lang w:val="en-US" w:eastAsia="zh-CN"/>
        </w:rPr>
        <w:t>磋商</w:t>
      </w:r>
      <w:r>
        <w:rPr>
          <w:rFonts w:eastAsia="宋体" w:cs="仿宋_GB2312"/>
          <w:color w:val="auto"/>
          <w:sz w:val="24"/>
          <w:szCs w:val="24"/>
          <w:highlight w:val="none"/>
        </w:rPr>
        <w:t>的</w:t>
      </w:r>
      <w:r>
        <w:rPr>
          <w:rFonts w:hint="eastAsia" w:eastAsia="宋体" w:cs="仿宋_GB2312"/>
          <w:color w:val="auto"/>
          <w:sz w:val="24"/>
          <w:szCs w:val="24"/>
          <w:highlight w:val="none"/>
        </w:rPr>
        <w:t>供应商</w:t>
      </w:r>
      <w:r>
        <w:rPr>
          <w:rFonts w:eastAsia="宋体" w:cs="仿宋_GB2312"/>
          <w:color w:val="auto"/>
          <w:sz w:val="24"/>
          <w:szCs w:val="24"/>
          <w:highlight w:val="none"/>
        </w:rPr>
        <w:t>将被视为完全认同</w:t>
      </w:r>
      <w:r>
        <w:rPr>
          <w:rFonts w:hint="eastAsia" w:eastAsia="宋体" w:cs="仿宋_GB2312"/>
          <w:color w:val="auto"/>
          <w:sz w:val="24"/>
          <w:szCs w:val="24"/>
          <w:highlight w:val="none"/>
        </w:rPr>
        <w:t>本竞争性</w:t>
      </w:r>
      <w:r>
        <w:rPr>
          <w:rFonts w:hint="eastAsia" w:eastAsia="宋体" w:cs="仿宋_GB2312"/>
          <w:color w:val="auto"/>
          <w:sz w:val="24"/>
          <w:szCs w:val="24"/>
          <w:highlight w:val="none"/>
          <w:lang w:val="en-US" w:eastAsia="zh-CN"/>
        </w:rPr>
        <w:t>磋商</w:t>
      </w:r>
      <w:r>
        <w:rPr>
          <w:rFonts w:hint="eastAsia" w:eastAsia="宋体" w:cs="仿宋_GB2312"/>
          <w:color w:val="auto"/>
          <w:sz w:val="24"/>
          <w:szCs w:val="24"/>
          <w:highlight w:val="none"/>
        </w:rPr>
        <w:t>文件</w:t>
      </w:r>
      <w:r>
        <w:rPr>
          <w:rFonts w:eastAsia="宋体" w:cs="仿宋_GB2312"/>
          <w:color w:val="auto"/>
          <w:sz w:val="24"/>
          <w:szCs w:val="24"/>
          <w:highlight w:val="none"/>
        </w:rPr>
        <w:t>（含</w:t>
      </w:r>
      <w:r>
        <w:rPr>
          <w:rFonts w:hint="eastAsia" w:eastAsia="宋体" w:cs="仿宋_GB2312"/>
          <w:color w:val="auto"/>
          <w:sz w:val="24"/>
          <w:szCs w:val="24"/>
          <w:highlight w:val="none"/>
        </w:rPr>
        <w:t>更正公告的</w:t>
      </w:r>
      <w:r>
        <w:rPr>
          <w:rFonts w:eastAsia="宋体" w:cs="仿宋_GB2312"/>
          <w:color w:val="auto"/>
          <w:sz w:val="24"/>
          <w:szCs w:val="24"/>
          <w:highlight w:val="none"/>
        </w:rPr>
        <w:t>内容）</w:t>
      </w:r>
      <w:r>
        <w:rPr>
          <w:rFonts w:hint="eastAsia" w:eastAsia="宋体" w:cs="仿宋_GB2312"/>
          <w:color w:val="auto"/>
          <w:sz w:val="24"/>
          <w:szCs w:val="24"/>
          <w:highlight w:val="none"/>
        </w:rPr>
        <w:t>。</w:t>
      </w:r>
    </w:p>
    <w:p w14:paraId="6698B976">
      <w:pPr>
        <w:pStyle w:val="38"/>
        <w:keepNext w:val="0"/>
        <w:keepLines w:val="0"/>
        <w:pageBreakBefore w:val="0"/>
        <w:widowControl w:val="0"/>
        <w:kinsoku/>
        <w:overflowPunct/>
        <w:topLinePunct w:val="0"/>
        <w:autoSpaceDE/>
        <w:autoSpaceDN/>
        <w:bidi w:val="0"/>
        <w:adjustRightInd/>
        <w:jc w:val="both"/>
        <w:textAlignment w:val="auto"/>
        <w:rPr>
          <w:rFonts w:hint="eastAsia" w:eastAsia="宋体"/>
          <w:color w:val="auto"/>
          <w:sz w:val="24"/>
          <w:highlight w:val="none"/>
        </w:rPr>
      </w:pPr>
      <w:r>
        <w:rPr>
          <w:rFonts w:eastAsia="宋体"/>
          <w:color w:val="auto"/>
          <w:sz w:val="24"/>
          <w:highlight w:val="none"/>
        </w:rPr>
        <w:t>1</w:t>
      </w:r>
      <w:r>
        <w:rPr>
          <w:rFonts w:hint="eastAsia" w:eastAsia="宋体"/>
          <w:color w:val="auto"/>
          <w:sz w:val="24"/>
          <w:highlight w:val="none"/>
          <w:lang w:val="en-US" w:eastAsia="zh-CN"/>
        </w:rPr>
        <w:t>2</w:t>
      </w:r>
      <w:r>
        <w:rPr>
          <w:rFonts w:eastAsia="宋体"/>
          <w:color w:val="auto"/>
          <w:sz w:val="24"/>
          <w:highlight w:val="none"/>
        </w:rPr>
        <w:t>.</w:t>
      </w:r>
      <w:r>
        <w:rPr>
          <w:rFonts w:hint="eastAsia"/>
          <w:color w:val="auto"/>
          <w:sz w:val="24"/>
          <w:highlight w:val="none"/>
          <w:lang w:val="en-US" w:eastAsia="zh-CN"/>
        </w:rPr>
        <w:t>6</w:t>
      </w:r>
      <w:r>
        <w:rPr>
          <w:rFonts w:hint="eastAsia" w:eastAsia="宋体"/>
          <w:color w:val="auto"/>
          <w:sz w:val="24"/>
          <w:highlight w:val="none"/>
        </w:rPr>
        <w:t xml:space="preserve"> </w:t>
      </w:r>
      <w:r>
        <w:rPr>
          <w:rFonts w:hint="eastAsia" w:eastAsia="宋体" w:cs="仿宋_GB2312"/>
          <w:color w:val="auto"/>
          <w:sz w:val="24"/>
          <w:szCs w:val="24"/>
          <w:highlight w:val="none"/>
          <w:lang w:val="en-US" w:eastAsia="zh-CN"/>
        </w:rPr>
        <w:t>“</w:t>
      </w:r>
      <w:r>
        <w:rPr>
          <w:rFonts w:hint="eastAsia" w:eastAsia="宋体" w:cs="仿宋_GB2312"/>
          <w:color w:val="auto"/>
          <w:sz w:val="24"/>
          <w:szCs w:val="24"/>
          <w:highlight w:val="none"/>
        </w:rPr>
        <w:t>供应商须知”所称“</w:t>
      </w:r>
      <w:r>
        <w:rPr>
          <w:rFonts w:hint="eastAsia" w:eastAsia="宋体"/>
          <w:color w:val="auto"/>
          <w:sz w:val="24"/>
          <w:highlight w:val="none"/>
        </w:rPr>
        <w:t>书面形式</w:t>
      </w:r>
      <w:r>
        <w:rPr>
          <w:rFonts w:hint="eastAsia" w:eastAsia="宋体" w:cs="仿宋_GB2312"/>
          <w:color w:val="auto"/>
          <w:sz w:val="24"/>
          <w:szCs w:val="24"/>
          <w:highlight w:val="none"/>
        </w:rPr>
        <w:t>”</w:t>
      </w:r>
      <w:r>
        <w:rPr>
          <w:rFonts w:hint="eastAsia" w:eastAsia="宋体"/>
          <w:color w:val="auto"/>
          <w:sz w:val="24"/>
          <w:highlight w:val="none"/>
        </w:rPr>
        <w:t>包括系统消息、政府采购</w:t>
      </w:r>
      <w:r>
        <w:rPr>
          <w:rFonts w:hint="eastAsia" w:eastAsia="宋体"/>
          <w:color w:val="auto"/>
          <w:sz w:val="24"/>
          <w:highlight w:val="none"/>
          <w:lang w:val="en-US" w:eastAsia="zh-CN"/>
        </w:rPr>
        <w:t>云平台</w:t>
      </w:r>
      <w:r>
        <w:rPr>
          <w:rFonts w:hint="eastAsia" w:eastAsia="宋体"/>
          <w:color w:val="auto"/>
          <w:sz w:val="24"/>
          <w:highlight w:val="none"/>
        </w:rPr>
        <w:t>发布的公告。</w:t>
      </w:r>
    </w:p>
    <w:p w14:paraId="475B029B">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color w:val="auto"/>
          <w:kern w:val="2"/>
          <w:sz w:val="24"/>
          <w:szCs w:val="22"/>
          <w:highlight w:val="none"/>
          <w:lang w:val="en-US" w:eastAsia="zh-CN"/>
        </w:rPr>
        <w:t>12.7</w:t>
      </w:r>
      <w:r>
        <w:rPr>
          <w:rFonts w:hint="eastAsia" w:ascii="宋体" w:hAnsi="宋体" w:eastAsia="宋体" w:cs="宋体"/>
          <w:color w:val="auto"/>
          <w:kern w:val="2"/>
          <w:sz w:val="24"/>
          <w:szCs w:val="22"/>
          <w:highlight w:val="none"/>
        </w:rPr>
        <w:t>当竞争性</w:t>
      </w:r>
      <w:r>
        <w:rPr>
          <w:rFonts w:hint="eastAsia" w:ascii="宋体" w:hAnsi="宋体" w:eastAsia="宋体" w:cs="宋体"/>
          <w:color w:val="auto"/>
          <w:kern w:val="2"/>
          <w:sz w:val="24"/>
          <w:szCs w:val="22"/>
          <w:highlight w:val="none"/>
          <w:lang w:val="en-US" w:eastAsia="zh-CN"/>
        </w:rPr>
        <w:t>磋商</w:t>
      </w:r>
      <w:r>
        <w:rPr>
          <w:rFonts w:hint="eastAsia" w:ascii="宋体" w:hAnsi="宋体" w:eastAsia="宋体" w:cs="宋体"/>
          <w:color w:val="auto"/>
          <w:kern w:val="2"/>
          <w:sz w:val="24"/>
          <w:szCs w:val="22"/>
          <w:highlight w:val="none"/>
        </w:rPr>
        <w:t>文件的澄清、修改及其他答复等就同一内容的表述不一致时，以最后发布的内容为准。</w:t>
      </w:r>
    </w:p>
    <w:p w14:paraId="69B31714">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77" w:name="_Toc470172672"/>
      <w:bookmarkStart w:id="178" w:name="_Toc163493613"/>
      <w:bookmarkStart w:id="179" w:name="_Toc109899541"/>
      <w:bookmarkStart w:id="180" w:name="_Toc109900379"/>
      <w:bookmarkStart w:id="181" w:name="_Toc46771647"/>
      <w:bookmarkStart w:id="182" w:name="_Toc109899960"/>
      <w:bookmarkStart w:id="183" w:name="_Toc109897442"/>
      <w:r>
        <w:rPr>
          <w:rFonts w:hint="eastAsia" w:ascii="宋体" w:hAnsi="宋体" w:eastAsia="宋体" w:cs="宋体"/>
          <w:b/>
          <w:bCs/>
          <w:i w:val="0"/>
          <w:iCs w:val="0"/>
          <w:color w:val="auto"/>
          <w:kern w:val="2"/>
          <w:sz w:val="24"/>
          <w:szCs w:val="24"/>
          <w:highlight w:val="none"/>
          <w:lang w:val="en-US" w:eastAsia="zh-CN" w:bidi="ar-SA"/>
        </w:rPr>
        <w:t>（三）响应文件</w:t>
      </w:r>
      <w:bookmarkEnd w:id="177"/>
      <w:bookmarkEnd w:id="178"/>
      <w:bookmarkEnd w:id="179"/>
      <w:bookmarkEnd w:id="180"/>
      <w:bookmarkEnd w:id="181"/>
      <w:bookmarkEnd w:id="182"/>
      <w:bookmarkEnd w:id="183"/>
    </w:p>
    <w:p w14:paraId="48EACCCF">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84" w:name="_Toc109897444"/>
      <w:bookmarkStart w:id="185" w:name="_Toc109899543"/>
      <w:bookmarkStart w:id="186" w:name="_Toc48846118"/>
      <w:bookmarkStart w:id="187" w:name="_Toc46771649"/>
      <w:bookmarkStart w:id="188" w:name="_Toc46772250"/>
      <w:bookmarkStart w:id="189" w:name="_Toc109900381"/>
      <w:bookmarkStart w:id="190" w:name="_Toc52960562"/>
      <w:bookmarkStart w:id="191" w:name="_Toc52962736"/>
      <w:bookmarkStart w:id="192" w:name="_Toc32272"/>
      <w:bookmarkStart w:id="193" w:name="_Toc48688798"/>
      <w:bookmarkStart w:id="194" w:name="_Toc51674220"/>
      <w:bookmarkStart w:id="195" w:name="_Toc470172674"/>
      <w:bookmarkStart w:id="196" w:name="_Toc109899962"/>
      <w:r>
        <w:rPr>
          <w:rFonts w:hint="eastAsia" w:ascii="宋体" w:hAnsi="宋体" w:eastAsia="宋体" w:cs="宋体"/>
          <w:b/>
          <w:bCs/>
          <w:i w:val="0"/>
          <w:iCs w:val="0"/>
          <w:color w:val="auto"/>
          <w:kern w:val="2"/>
          <w:sz w:val="24"/>
          <w:szCs w:val="24"/>
          <w:highlight w:val="none"/>
          <w:lang w:val="en-US" w:eastAsia="zh-CN" w:bidi="ar-SA"/>
        </w:rPr>
        <w:t>13.响应文件的</w:t>
      </w:r>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eastAsia" w:ascii="宋体" w:hAnsi="宋体" w:eastAsia="宋体" w:cs="宋体"/>
          <w:b/>
          <w:bCs/>
          <w:i w:val="0"/>
          <w:iCs w:val="0"/>
          <w:color w:val="auto"/>
          <w:kern w:val="2"/>
          <w:sz w:val="24"/>
          <w:szCs w:val="24"/>
          <w:highlight w:val="none"/>
          <w:lang w:val="en-US" w:eastAsia="zh-CN" w:bidi="ar-SA"/>
        </w:rPr>
        <w:t>组成</w:t>
      </w:r>
    </w:p>
    <w:p w14:paraId="73E6C9BA">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rPr>
        <w:t>13</w:t>
      </w:r>
      <w:r>
        <w:rPr>
          <w:rFonts w:hint="eastAsia" w:ascii="宋体" w:hAnsi="宋体" w:eastAsia="宋体" w:cs="宋体"/>
          <w:i w:val="0"/>
          <w:iCs w:val="0"/>
          <w:color w:val="auto"/>
          <w:kern w:val="2"/>
          <w:sz w:val="24"/>
          <w:szCs w:val="24"/>
          <w:highlight w:val="none"/>
        </w:rPr>
        <w:t>.1</w:t>
      </w:r>
      <w:r>
        <w:rPr>
          <w:rFonts w:hint="eastAsia" w:ascii="宋体" w:hAnsi="宋体" w:eastAsia="宋体" w:cs="宋体"/>
          <w:i w:val="0"/>
          <w:iCs w:val="0"/>
          <w:color w:val="auto"/>
          <w:kern w:val="2"/>
          <w:sz w:val="24"/>
          <w:szCs w:val="24"/>
          <w:highlight w:val="none"/>
          <w:lang w:val="en-US" w:eastAsia="zh-CN"/>
        </w:rPr>
        <w:t>供应商</w:t>
      </w:r>
      <w:r>
        <w:rPr>
          <w:rFonts w:hint="eastAsia" w:ascii="宋体" w:hAnsi="宋体" w:eastAsia="宋体" w:cs="宋体"/>
          <w:i w:val="0"/>
          <w:iCs w:val="0"/>
          <w:color w:val="auto"/>
          <w:kern w:val="2"/>
          <w:sz w:val="24"/>
          <w:szCs w:val="24"/>
          <w:highlight w:val="none"/>
        </w:rPr>
        <w:t>应完整地按竞争性</w:t>
      </w:r>
      <w:r>
        <w:rPr>
          <w:rFonts w:hint="eastAsia" w:ascii="宋体" w:hAnsi="宋体" w:eastAsia="宋体" w:cs="宋体"/>
          <w:i w:val="0"/>
          <w:iCs w:val="0"/>
          <w:color w:val="auto"/>
          <w:kern w:val="2"/>
          <w:sz w:val="24"/>
          <w:szCs w:val="24"/>
          <w:highlight w:val="none"/>
          <w:lang w:val="zh-CN"/>
        </w:rPr>
        <w:t>磋商</w:t>
      </w:r>
      <w:r>
        <w:rPr>
          <w:rFonts w:hint="eastAsia" w:ascii="宋体" w:hAnsi="宋体" w:eastAsia="宋体" w:cs="宋体"/>
          <w:i w:val="0"/>
          <w:iCs w:val="0"/>
          <w:color w:val="auto"/>
          <w:kern w:val="2"/>
          <w:sz w:val="24"/>
          <w:szCs w:val="24"/>
          <w:highlight w:val="none"/>
        </w:rPr>
        <w:t>文件提供的</w:t>
      </w:r>
      <w:r>
        <w:rPr>
          <w:rFonts w:hint="eastAsia" w:ascii="宋体" w:hAnsi="宋体" w:eastAsia="宋体" w:cs="宋体"/>
          <w:i w:val="0"/>
          <w:iCs w:val="0"/>
          <w:color w:val="auto"/>
          <w:kern w:val="2"/>
          <w:sz w:val="24"/>
          <w:szCs w:val="24"/>
          <w:highlight w:val="none"/>
          <w:lang w:val="en-US" w:eastAsia="zh-CN"/>
        </w:rPr>
        <w:t>响应</w:t>
      </w:r>
      <w:r>
        <w:rPr>
          <w:rFonts w:hint="eastAsia" w:ascii="宋体" w:hAnsi="宋体" w:eastAsia="宋体" w:cs="宋体"/>
          <w:i w:val="0"/>
          <w:iCs w:val="0"/>
          <w:color w:val="auto"/>
          <w:kern w:val="2"/>
          <w:sz w:val="24"/>
          <w:szCs w:val="24"/>
          <w:highlight w:val="none"/>
        </w:rPr>
        <w:t>文件格式及要求编写</w:t>
      </w:r>
      <w:r>
        <w:rPr>
          <w:rFonts w:hint="eastAsia" w:ascii="宋体" w:hAnsi="宋体" w:eastAsia="宋体" w:cs="宋体"/>
          <w:i w:val="0"/>
          <w:iCs w:val="0"/>
          <w:color w:val="auto"/>
          <w:kern w:val="2"/>
          <w:sz w:val="24"/>
          <w:szCs w:val="24"/>
          <w:highlight w:val="none"/>
          <w:lang w:val="en-US" w:eastAsia="zh-CN"/>
        </w:rPr>
        <w:t>响应</w:t>
      </w:r>
      <w:r>
        <w:rPr>
          <w:rFonts w:hint="eastAsia" w:ascii="宋体" w:hAnsi="宋体" w:eastAsia="宋体" w:cs="宋体"/>
          <w:i w:val="0"/>
          <w:iCs w:val="0"/>
          <w:color w:val="auto"/>
          <w:kern w:val="2"/>
          <w:sz w:val="24"/>
          <w:szCs w:val="24"/>
          <w:highlight w:val="none"/>
        </w:rPr>
        <w:t>文件，具体内容详见</w:t>
      </w:r>
      <w:r>
        <w:rPr>
          <w:rFonts w:hint="eastAsia" w:ascii="宋体" w:hAnsi="宋体" w:eastAsia="宋体" w:cs="宋体"/>
          <w:i w:val="0"/>
          <w:iCs w:val="0"/>
          <w:color w:val="auto"/>
          <w:kern w:val="2"/>
          <w:sz w:val="24"/>
          <w:szCs w:val="24"/>
          <w:highlight w:val="none"/>
          <w:lang w:eastAsia="zh-CN"/>
        </w:rPr>
        <w:t>“</w:t>
      </w:r>
      <w:r>
        <w:rPr>
          <w:rFonts w:hint="eastAsia" w:ascii="宋体" w:hAnsi="宋体" w:eastAsia="宋体" w:cs="宋体"/>
          <w:i w:val="0"/>
          <w:iCs w:val="0"/>
          <w:color w:val="auto"/>
          <w:kern w:val="2"/>
          <w:sz w:val="24"/>
          <w:szCs w:val="24"/>
          <w:highlight w:val="none"/>
          <w:lang w:val="en-US" w:eastAsia="zh-CN"/>
        </w:rPr>
        <w:t>第六章 响应</w:t>
      </w:r>
      <w:r>
        <w:rPr>
          <w:rFonts w:hint="eastAsia" w:ascii="宋体" w:hAnsi="宋体" w:eastAsia="宋体" w:cs="宋体"/>
          <w:i w:val="0"/>
          <w:iCs w:val="0"/>
          <w:color w:val="auto"/>
          <w:kern w:val="2"/>
          <w:sz w:val="24"/>
          <w:szCs w:val="24"/>
          <w:highlight w:val="none"/>
        </w:rPr>
        <w:t>文件</w:t>
      </w:r>
      <w:r>
        <w:rPr>
          <w:rFonts w:hint="eastAsia" w:ascii="宋体" w:hAnsi="宋体" w:eastAsia="宋体" w:cs="宋体"/>
          <w:i w:val="0"/>
          <w:iCs w:val="0"/>
          <w:color w:val="auto"/>
          <w:kern w:val="2"/>
          <w:sz w:val="24"/>
          <w:szCs w:val="24"/>
          <w:highlight w:val="none"/>
          <w:lang w:val="en-US" w:eastAsia="zh-CN"/>
        </w:rPr>
        <w:t>的</w:t>
      </w:r>
      <w:r>
        <w:rPr>
          <w:rFonts w:hint="eastAsia" w:ascii="宋体" w:hAnsi="宋体" w:eastAsia="宋体" w:cs="宋体"/>
          <w:i w:val="0"/>
          <w:iCs w:val="0"/>
          <w:color w:val="auto"/>
          <w:kern w:val="2"/>
          <w:sz w:val="24"/>
          <w:szCs w:val="24"/>
          <w:highlight w:val="none"/>
        </w:rPr>
        <w:t>格式</w:t>
      </w:r>
      <w:r>
        <w:rPr>
          <w:rFonts w:hint="eastAsia" w:ascii="宋体" w:hAnsi="宋体" w:eastAsia="宋体" w:cs="宋体"/>
          <w:i w:val="0"/>
          <w:iCs w:val="0"/>
          <w:color w:val="auto"/>
          <w:kern w:val="2"/>
          <w:sz w:val="24"/>
          <w:szCs w:val="24"/>
          <w:highlight w:val="none"/>
          <w:lang w:eastAsia="zh-CN"/>
        </w:rPr>
        <w:t>”</w:t>
      </w:r>
      <w:r>
        <w:rPr>
          <w:rFonts w:hint="eastAsia" w:ascii="宋体" w:hAnsi="宋体" w:eastAsia="宋体" w:cs="宋体"/>
          <w:i w:val="0"/>
          <w:iCs w:val="0"/>
          <w:color w:val="auto"/>
          <w:kern w:val="2"/>
          <w:sz w:val="24"/>
          <w:szCs w:val="24"/>
          <w:highlight w:val="none"/>
        </w:rPr>
        <w:t>的相关内容。</w:t>
      </w:r>
    </w:p>
    <w:p w14:paraId="462AD21A">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lang w:val="en-US" w:eastAsia="zh-CN"/>
        </w:rPr>
      </w:pPr>
      <w:r>
        <w:rPr>
          <w:rFonts w:hint="eastAsia" w:ascii="宋体" w:hAnsi="宋体" w:eastAsia="宋体" w:cs="宋体"/>
          <w:i w:val="0"/>
          <w:iCs w:val="0"/>
          <w:color w:val="auto"/>
          <w:kern w:val="2"/>
          <w:sz w:val="24"/>
          <w:szCs w:val="24"/>
          <w:highlight w:val="none"/>
          <w:lang w:val="en-US" w:eastAsia="zh-CN"/>
        </w:rPr>
        <w:t>13.2供应商</w:t>
      </w:r>
      <w:r>
        <w:rPr>
          <w:rFonts w:hint="eastAsia" w:ascii="宋体" w:hAnsi="宋体" w:eastAsia="宋体" w:cs="宋体"/>
          <w:i w:val="0"/>
          <w:iCs w:val="0"/>
          <w:color w:val="auto"/>
          <w:kern w:val="2"/>
          <w:sz w:val="24"/>
          <w:szCs w:val="24"/>
          <w:highlight w:val="none"/>
        </w:rPr>
        <w:t>应提交竞争性</w:t>
      </w:r>
      <w:r>
        <w:rPr>
          <w:rFonts w:hint="eastAsia" w:ascii="宋体" w:hAnsi="宋体" w:eastAsia="宋体" w:cs="宋体"/>
          <w:i w:val="0"/>
          <w:iCs w:val="0"/>
          <w:color w:val="auto"/>
          <w:kern w:val="2"/>
          <w:sz w:val="24"/>
          <w:szCs w:val="24"/>
          <w:highlight w:val="none"/>
          <w:lang w:val="zh-CN"/>
        </w:rPr>
        <w:t>磋商</w:t>
      </w:r>
      <w:r>
        <w:rPr>
          <w:rFonts w:hint="eastAsia" w:ascii="宋体" w:hAnsi="宋体" w:eastAsia="宋体" w:cs="宋体"/>
          <w:i w:val="0"/>
          <w:iCs w:val="0"/>
          <w:color w:val="auto"/>
          <w:kern w:val="2"/>
          <w:sz w:val="24"/>
          <w:szCs w:val="24"/>
          <w:highlight w:val="none"/>
        </w:rPr>
        <w:t>文件要求的证明文件，证明其</w:t>
      </w:r>
      <w:r>
        <w:rPr>
          <w:rFonts w:hint="eastAsia" w:ascii="宋体" w:hAnsi="宋体" w:eastAsia="宋体" w:cs="宋体"/>
          <w:i w:val="0"/>
          <w:iCs w:val="0"/>
          <w:color w:val="auto"/>
          <w:kern w:val="2"/>
          <w:sz w:val="24"/>
          <w:szCs w:val="24"/>
          <w:highlight w:val="none"/>
          <w:lang w:val="en-US" w:eastAsia="zh-CN"/>
        </w:rPr>
        <w:t>响应</w:t>
      </w:r>
      <w:r>
        <w:rPr>
          <w:rFonts w:hint="eastAsia" w:ascii="宋体" w:hAnsi="宋体" w:eastAsia="宋体" w:cs="宋体"/>
          <w:i w:val="0"/>
          <w:iCs w:val="0"/>
          <w:color w:val="auto"/>
          <w:kern w:val="2"/>
          <w:sz w:val="24"/>
          <w:szCs w:val="24"/>
          <w:highlight w:val="none"/>
        </w:rPr>
        <w:t>内容符合竞争性</w:t>
      </w:r>
      <w:r>
        <w:rPr>
          <w:rFonts w:hint="eastAsia" w:ascii="宋体" w:hAnsi="宋体" w:eastAsia="宋体" w:cs="宋体"/>
          <w:i w:val="0"/>
          <w:iCs w:val="0"/>
          <w:color w:val="auto"/>
          <w:kern w:val="2"/>
          <w:sz w:val="24"/>
          <w:szCs w:val="24"/>
          <w:highlight w:val="none"/>
          <w:lang w:val="zh-CN"/>
        </w:rPr>
        <w:t>磋商</w:t>
      </w:r>
      <w:r>
        <w:rPr>
          <w:rFonts w:hint="eastAsia" w:ascii="宋体" w:hAnsi="宋体" w:eastAsia="宋体" w:cs="宋体"/>
          <w:i w:val="0"/>
          <w:iCs w:val="0"/>
          <w:color w:val="auto"/>
          <w:kern w:val="2"/>
          <w:sz w:val="24"/>
          <w:szCs w:val="24"/>
          <w:highlight w:val="none"/>
        </w:rPr>
        <w:t>文件规定</w:t>
      </w:r>
      <w:r>
        <w:rPr>
          <w:rFonts w:hint="eastAsia" w:ascii="宋体" w:hAnsi="宋体" w:eastAsia="宋体" w:cs="宋体"/>
          <w:i w:val="0"/>
          <w:iCs w:val="0"/>
          <w:color w:val="auto"/>
          <w:kern w:val="2"/>
          <w:sz w:val="24"/>
          <w:szCs w:val="24"/>
          <w:highlight w:val="none"/>
          <w:lang w:eastAsia="zh-CN"/>
        </w:rPr>
        <w:t>，</w:t>
      </w:r>
      <w:r>
        <w:rPr>
          <w:rFonts w:hint="eastAsia" w:ascii="宋体" w:hAnsi="宋体" w:eastAsia="宋体" w:cs="宋体"/>
          <w:i w:val="0"/>
          <w:iCs w:val="0"/>
          <w:color w:val="auto"/>
          <w:kern w:val="2"/>
          <w:sz w:val="24"/>
          <w:szCs w:val="24"/>
          <w:highlight w:val="none"/>
        </w:rPr>
        <w:t>该证明文件是</w:t>
      </w:r>
      <w:r>
        <w:rPr>
          <w:rFonts w:hint="eastAsia" w:ascii="宋体" w:hAnsi="宋体" w:eastAsia="宋体" w:cs="宋体"/>
          <w:i w:val="0"/>
          <w:iCs w:val="0"/>
          <w:color w:val="auto"/>
          <w:kern w:val="2"/>
          <w:sz w:val="24"/>
          <w:szCs w:val="24"/>
          <w:highlight w:val="none"/>
          <w:lang w:val="en-US" w:eastAsia="zh-CN"/>
        </w:rPr>
        <w:t>响应</w:t>
      </w:r>
      <w:r>
        <w:rPr>
          <w:rFonts w:hint="eastAsia" w:ascii="宋体" w:hAnsi="宋体" w:eastAsia="宋体" w:cs="宋体"/>
          <w:i w:val="0"/>
          <w:iCs w:val="0"/>
          <w:color w:val="auto"/>
          <w:kern w:val="2"/>
          <w:sz w:val="24"/>
          <w:szCs w:val="24"/>
          <w:highlight w:val="none"/>
        </w:rPr>
        <w:t>文件的一部分</w:t>
      </w:r>
      <w:r>
        <w:rPr>
          <w:rFonts w:hint="eastAsia" w:ascii="宋体" w:hAnsi="宋体" w:eastAsia="宋体" w:cs="宋体"/>
          <w:i w:val="0"/>
          <w:iCs w:val="0"/>
          <w:color w:val="auto"/>
          <w:kern w:val="2"/>
          <w:sz w:val="24"/>
          <w:szCs w:val="24"/>
          <w:highlight w:val="none"/>
          <w:lang w:eastAsia="zh-CN"/>
        </w:rPr>
        <w:t>。</w:t>
      </w:r>
      <w:r>
        <w:rPr>
          <w:rFonts w:hint="eastAsia" w:ascii="宋体" w:hAnsi="宋体" w:eastAsia="宋体" w:cs="宋体"/>
          <w:i w:val="0"/>
          <w:iCs w:val="0"/>
          <w:color w:val="auto"/>
          <w:kern w:val="2"/>
          <w:sz w:val="24"/>
          <w:szCs w:val="24"/>
          <w:highlight w:val="none"/>
        </w:rPr>
        <w:t>证明文件</w:t>
      </w:r>
      <w:r>
        <w:rPr>
          <w:rFonts w:hint="eastAsia" w:ascii="宋体" w:hAnsi="宋体" w:eastAsia="宋体" w:cs="宋体"/>
          <w:i w:val="0"/>
          <w:iCs w:val="0"/>
          <w:color w:val="auto"/>
          <w:kern w:val="2"/>
          <w:sz w:val="24"/>
          <w:szCs w:val="24"/>
          <w:highlight w:val="none"/>
          <w:lang w:val="en-US" w:eastAsia="zh-CN"/>
        </w:rPr>
        <w:t>形式</w:t>
      </w:r>
      <w:r>
        <w:rPr>
          <w:rFonts w:hint="eastAsia" w:ascii="宋体" w:hAnsi="宋体" w:eastAsia="宋体" w:cs="宋体"/>
          <w:i w:val="0"/>
          <w:iCs w:val="0"/>
          <w:color w:val="auto"/>
          <w:kern w:val="2"/>
          <w:sz w:val="24"/>
          <w:szCs w:val="24"/>
          <w:highlight w:val="none"/>
        </w:rPr>
        <w:t>可以是文字资料、图纸和数据</w:t>
      </w:r>
      <w:bookmarkStart w:id="197" w:name="_Hlk11703583"/>
      <w:r>
        <w:rPr>
          <w:rFonts w:hint="eastAsia" w:ascii="宋体" w:hAnsi="宋体" w:eastAsia="宋体" w:cs="宋体"/>
          <w:i w:val="0"/>
          <w:iCs w:val="0"/>
          <w:color w:val="auto"/>
          <w:kern w:val="2"/>
          <w:sz w:val="24"/>
          <w:szCs w:val="24"/>
          <w:highlight w:val="none"/>
          <w:lang w:val="en-US" w:eastAsia="zh-CN"/>
        </w:rPr>
        <w:t>等。</w:t>
      </w:r>
    </w:p>
    <w:bookmarkEnd w:id="197"/>
    <w:p w14:paraId="5980AEB9">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lang w:val="en-US" w:eastAsia="zh-CN"/>
        </w:rPr>
      </w:pPr>
      <w:r>
        <w:rPr>
          <w:rFonts w:hint="eastAsia" w:ascii="宋体" w:hAnsi="宋体" w:eastAsia="宋体" w:cs="宋体"/>
          <w:i w:val="0"/>
          <w:iCs w:val="0"/>
          <w:color w:val="auto"/>
          <w:kern w:val="2"/>
          <w:sz w:val="24"/>
          <w:szCs w:val="24"/>
          <w:highlight w:val="none"/>
          <w:lang w:val="en-US" w:eastAsia="zh-CN"/>
        </w:rPr>
        <w:t>13.3</w:t>
      </w:r>
      <w:r>
        <w:rPr>
          <w:rFonts w:hint="eastAsia" w:ascii="宋体" w:hAnsi="宋体" w:eastAsia="宋体" w:cs="宋体"/>
          <w:i w:val="0"/>
          <w:iCs w:val="0"/>
          <w:color w:val="auto"/>
          <w:kern w:val="2"/>
          <w:sz w:val="24"/>
          <w:szCs w:val="24"/>
          <w:highlight w:val="none"/>
        </w:rPr>
        <w:t>为保证公平公正，除非</w:t>
      </w:r>
      <w:r>
        <w:rPr>
          <w:rFonts w:hint="eastAsia" w:ascii="宋体" w:hAnsi="宋体" w:eastAsia="宋体" w:cs="宋体"/>
          <w:i w:val="0"/>
          <w:iCs w:val="0"/>
          <w:color w:val="auto"/>
          <w:kern w:val="2"/>
          <w:sz w:val="24"/>
          <w:szCs w:val="24"/>
          <w:highlight w:val="none"/>
          <w:lang w:val="en-US" w:eastAsia="zh-CN"/>
        </w:rPr>
        <w:t>本磋商文件</w:t>
      </w:r>
      <w:r>
        <w:rPr>
          <w:rFonts w:hint="eastAsia" w:ascii="宋体" w:hAnsi="宋体" w:eastAsia="宋体" w:cs="宋体"/>
          <w:i w:val="0"/>
          <w:iCs w:val="0"/>
          <w:color w:val="auto"/>
          <w:kern w:val="2"/>
          <w:sz w:val="24"/>
          <w:szCs w:val="24"/>
          <w:highlight w:val="none"/>
        </w:rPr>
        <w:t>另有规定或说明，</w:t>
      </w:r>
      <w:r>
        <w:rPr>
          <w:rFonts w:hint="eastAsia" w:ascii="宋体" w:hAnsi="宋体" w:eastAsia="宋体" w:cs="宋体"/>
          <w:i w:val="0"/>
          <w:iCs w:val="0"/>
          <w:color w:val="auto"/>
          <w:kern w:val="2"/>
          <w:sz w:val="24"/>
          <w:szCs w:val="24"/>
          <w:highlight w:val="none"/>
          <w:lang w:val="en-US" w:eastAsia="zh-CN"/>
        </w:rPr>
        <w:t>供应商</w:t>
      </w:r>
      <w:r>
        <w:rPr>
          <w:rFonts w:hint="eastAsia" w:ascii="宋体" w:hAnsi="宋体" w:eastAsia="宋体" w:cs="宋体"/>
          <w:i w:val="0"/>
          <w:iCs w:val="0"/>
          <w:color w:val="auto"/>
          <w:kern w:val="2"/>
          <w:sz w:val="24"/>
          <w:szCs w:val="24"/>
          <w:highlight w:val="none"/>
        </w:rPr>
        <w:t>对同一项目</w:t>
      </w:r>
      <w:r>
        <w:rPr>
          <w:rFonts w:hint="eastAsia" w:ascii="宋体" w:hAnsi="宋体" w:eastAsia="宋体" w:cs="宋体"/>
          <w:i w:val="0"/>
          <w:iCs w:val="0"/>
          <w:color w:val="auto"/>
          <w:kern w:val="2"/>
          <w:sz w:val="24"/>
          <w:szCs w:val="24"/>
          <w:highlight w:val="none"/>
          <w:lang w:val="en-US" w:eastAsia="zh-CN"/>
        </w:rPr>
        <w:t>响应</w:t>
      </w:r>
      <w:r>
        <w:rPr>
          <w:rFonts w:hint="eastAsia" w:ascii="宋体" w:hAnsi="宋体" w:eastAsia="宋体" w:cs="宋体"/>
          <w:i w:val="0"/>
          <w:iCs w:val="0"/>
          <w:color w:val="auto"/>
          <w:kern w:val="2"/>
          <w:sz w:val="24"/>
          <w:szCs w:val="24"/>
          <w:highlight w:val="none"/>
        </w:rPr>
        <w:t>时，不得同时提供备选</w:t>
      </w:r>
      <w:r>
        <w:rPr>
          <w:rFonts w:hint="eastAsia" w:ascii="宋体" w:hAnsi="宋体" w:eastAsia="宋体" w:cs="宋体"/>
          <w:i w:val="0"/>
          <w:iCs w:val="0"/>
          <w:color w:val="auto"/>
          <w:kern w:val="2"/>
          <w:sz w:val="24"/>
          <w:szCs w:val="24"/>
          <w:highlight w:val="none"/>
          <w:lang w:val="en-US" w:eastAsia="zh-CN"/>
        </w:rPr>
        <w:t>响应</w:t>
      </w:r>
      <w:r>
        <w:rPr>
          <w:rFonts w:hint="eastAsia" w:ascii="宋体" w:hAnsi="宋体" w:eastAsia="宋体" w:cs="宋体"/>
          <w:i w:val="0"/>
          <w:iCs w:val="0"/>
          <w:color w:val="auto"/>
          <w:kern w:val="2"/>
          <w:sz w:val="24"/>
          <w:szCs w:val="24"/>
          <w:highlight w:val="none"/>
        </w:rPr>
        <w:t>方案。</w:t>
      </w:r>
    </w:p>
    <w:p w14:paraId="48DA93DD">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198" w:name="_Toc109899964"/>
      <w:bookmarkStart w:id="199" w:name="_Toc48846120"/>
      <w:bookmarkStart w:id="200" w:name="_Toc24544"/>
      <w:bookmarkStart w:id="201" w:name="_Toc470172676"/>
      <w:bookmarkStart w:id="202" w:name="_Toc52960564"/>
      <w:bookmarkStart w:id="203" w:name="_Toc51674222"/>
      <w:bookmarkStart w:id="204" w:name="_Toc46772252"/>
      <w:bookmarkStart w:id="205" w:name="_Toc109897446"/>
      <w:bookmarkStart w:id="206" w:name="_Toc46771651"/>
      <w:bookmarkStart w:id="207" w:name="_Toc109900383"/>
      <w:bookmarkStart w:id="208" w:name="_Toc48688800"/>
      <w:bookmarkStart w:id="209" w:name="_Toc109899545"/>
      <w:bookmarkStart w:id="210" w:name="_Toc52962738"/>
      <w:bookmarkStart w:id="211" w:name="_Toc109897445"/>
      <w:bookmarkStart w:id="212" w:name="_Toc109900382"/>
      <w:bookmarkStart w:id="213" w:name="_Toc46771650"/>
      <w:bookmarkStart w:id="214" w:name="_Toc25217"/>
      <w:bookmarkStart w:id="215" w:name="_Toc51674221"/>
      <w:bookmarkStart w:id="216" w:name="_Toc48846119"/>
      <w:bookmarkStart w:id="217" w:name="_Toc46772251"/>
      <w:bookmarkStart w:id="218" w:name="_Toc48688799"/>
      <w:bookmarkStart w:id="219" w:name="_Toc470172675"/>
      <w:bookmarkStart w:id="220" w:name="_Toc109899963"/>
      <w:bookmarkStart w:id="221" w:name="_Toc109899544"/>
      <w:bookmarkStart w:id="222" w:name="_Toc52960563"/>
      <w:bookmarkStart w:id="223" w:name="_Toc52962737"/>
      <w:r>
        <w:rPr>
          <w:rFonts w:hint="eastAsia" w:ascii="宋体" w:hAnsi="宋体" w:eastAsia="宋体" w:cs="宋体"/>
          <w:b/>
          <w:bCs/>
          <w:i w:val="0"/>
          <w:iCs w:val="0"/>
          <w:color w:val="auto"/>
          <w:kern w:val="2"/>
          <w:sz w:val="24"/>
          <w:szCs w:val="24"/>
          <w:highlight w:val="none"/>
          <w:lang w:val="en-US" w:eastAsia="zh-CN" w:bidi="ar-SA"/>
        </w:rPr>
        <w:t>14.磋商报价</w:t>
      </w:r>
      <w:bookmarkEnd w:id="198"/>
      <w:bookmarkEnd w:id="199"/>
      <w:bookmarkEnd w:id="200"/>
      <w:bookmarkEnd w:id="201"/>
      <w:bookmarkEnd w:id="202"/>
      <w:bookmarkEnd w:id="203"/>
      <w:bookmarkEnd w:id="204"/>
      <w:bookmarkEnd w:id="205"/>
      <w:bookmarkEnd w:id="206"/>
      <w:bookmarkEnd w:id="207"/>
      <w:bookmarkEnd w:id="208"/>
      <w:bookmarkEnd w:id="209"/>
      <w:bookmarkEnd w:id="210"/>
    </w:p>
    <w:p w14:paraId="630D0567">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.1磋商供应商的报价均应以人民币报价。磋商报价包括磋商供应商在首次提交的响应文件中的报价、磋商过程中的报价和最后报价，</w:t>
      </w:r>
      <w:r>
        <w:rPr>
          <w:rFonts w:hint="eastAsia" w:ascii="宋体" w:hAnsi="宋体" w:eastAsia="宋体" w:cs="宋体"/>
          <w:i w:val="0"/>
          <w:iCs w:val="0"/>
          <w:snapToGrid w:val="0"/>
          <w:color w:val="auto"/>
          <w:sz w:val="24"/>
          <w:szCs w:val="24"/>
          <w:highlight w:val="none"/>
          <w:lang w:val="en-US" w:eastAsia="zh-CN"/>
        </w:rPr>
        <w:t>且均</w:t>
      </w:r>
      <w:r>
        <w:rPr>
          <w:rFonts w:hint="eastAsia" w:ascii="宋体" w:hAnsi="宋体" w:eastAsia="宋体" w:cs="宋体"/>
          <w:i w:val="0"/>
          <w:iCs w:val="0"/>
          <w:color w:val="auto"/>
          <w:sz w:val="24"/>
          <w:szCs w:val="24"/>
          <w:highlight w:val="none"/>
        </w:rPr>
        <w:t>不得超过</w:t>
      </w:r>
      <w:bookmarkStart w:id="224" w:name="_Hlk161703672"/>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color w:val="auto"/>
          <w:sz w:val="24"/>
          <w:szCs w:val="24"/>
          <w:highlight w:val="none"/>
        </w:rPr>
        <w:t>”中规定</w:t>
      </w:r>
      <w:bookmarkEnd w:id="224"/>
      <w:r>
        <w:rPr>
          <w:rFonts w:hint="eastAsia" w:ascii="宋体" w:hAnsi="宋体" w:eastAsia="宋体" w:cs="宋体"/>
          <w:i w:val="0"/>
          <w:iCs w:val="0"/>
          <w:color w:val="auto"/>
          <w:sz w:val="24"/>
          <w:szCs w:val="24"/>
          <w:highlight w:val="none"/>
        </w:rPr>
        <w:t>的</w:t>
      </w:r>
      <w:r>
        <w:rPr>
          <w:rFonts w:hint="eastAsia" w:ascii="宋体" w:hAnsi="宋体" w:eastAsia="宋体" w:cs="宋体"/>
          <w:i w:val="0"/>
          <w:iCs w:val="0"/>
          <w:color w:val="auto"/>
          <w:sz w:val="24"/>
          <w:szCs w:val="24"/>
          <w:highlight w:val="none"/>
          <w:lang w:val="en-US" w:eastAsia="zh-CN"/>
        </w:rPr>
        <w:t>最高限价或者预算金额</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snapToGrid w:val="0"/>
          <w:color w:val="auto"/>
          <w:sz w:val="24"/>
          <w:szCs w:val="24"/>
          <w:highlight w:val="none"/>
          <w:lang w:val="zh-CN"/>
        </w:rPr>
        <w:t>否则其响应文件将被视为</w:t>
      </w:r>
      <w:r>
        <w:rPr>
          <w:rFonts w:hint="eastAsia" w:ascii="宋体" w:hAnsi="宋体" w:eastAsia="宋体" w:cs="宋体"/>
          <w:b/>
          <w:bCs/>
          <w:i w:val="0"/>
          <w:iCs w:val="0"/>
          <w:snapToGrid w:val="0"/>
          <w:color w:val="auto"/>
          <w:sz w:val="24"/>
          <w:szCs w:val="24"/>
          <w:highlight w:val="none"/>
          <w:lang w:val="zh-CN"/>
        </w:rPr>
        <w:t>无效文件</w:t>
      </w:r>
      <w:r>
        <w:rPr>
          <w:rFonts w:hint="eastAsia" w:ascii="宋体" w:hAnsi="宋体" w:eastAsia="宋体" w:cs="宋体"/>
          <w:i w:val="0"/>
          <w:iCs w:val="0"/>
          <w:snapToGrid w:val="0"/>
          <w:color w:val="auto"/>
          <w:sz w:val="24"/>
          <w:szCs w:val="24"/>
          <w:highlight w:val="none"/>
          <w:lang w:val="zh-CN"/>
        </w:rPr>
        <w:t>。</w:t>
      </w:r>
    </w:p>
    <w:p w14:paraId="508E5AA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.2供应商应按照本磋商文件规定的采购需求及合同条款进行报价，并按磋商文件确定的格式报出。</w:t>
      </w:r>
    </w:p>
    <w:p w14:paraId="23053BAC">
      <w:pPr>
        <w:keepNext w:val="0"/>
        <w:keepLines w:val="0"/>
        <w:pageBreakBefore w:val="0"/>
        <w:widowControl w:val="0"/>
        <w:kinsoku/>
        <w:overflowPunct/>
        <w:topLinePunct w:val="0"/>
        <w:autoSpaceDE/>
        <w:autoSpaceDN/>
        <w:bidi w:val="0"/>
        <w:adjustRightInd/>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snapToGrid w:val="0"/>
          <w:color w:val="auto"/>
          <w:sz w:val="24"/>
          <w:szCs w:val="24"/>
          <w:highlight w:val="none"/>
          <w:lang w:val="en-US" w:eastAsia="zh-CN"/>
        </w:rPr>
        <w:t>14.3</w:t>
      </w:r>
      <w:r>
        <w:rPr>
          <w:rFonts w:hint="eastAsia" w:ascii="宋体" w:hAnsi="宋体" w:eastAsia="宋体" w:cs="宋体"/>
          <w:i w:val="0"/>
          <w:iCs w:val="0"/>
          <w:snapToGrid w:val="0"/>
          <w:color w:val="auto"/>
          <w:sz w:val="24"/>
          <w:szCs w:val="24"/>
          <w:highlight w:val="none"/>
          <w:lang w:val="zh-CN"/>
        </w:rPr>
        <w:t>供应商</w:t>
      </w:r>
      <w:r>
        <w:rPr>
          <w:rFonts w:hint="eastAsia" w:ascii="宋体" w:hAnsi="宋体" w:eastAsia="宋体" w:cs="宋体"/>
          <w:i w:val="0"/>
          <w:iCs w:val="0"/>
          <w:color w:val="auto"/>
          <w:kern w:val="2"/>
          <w:sz w:val="24"/>
          <w:szCs w:val="24"/>
          <w:highlight w:val="none"/>
          <w:lang w:val="en-US" w:eastAsia="zh-CN"/>
        </w:rPr>
        <w:t>的报价应包括为完成本项目所发生的一切费用和税费，采购人将不再支付报价以外的任何费用。</w:t>
      </w:r>
      <w:r>
        <w:rPr>
          <w:rFonts w:hint="eastAsia" w:ascii="宋体" w:hAnsi="宋体" w:eastAsia="宋体" w:cs="宋体"/>
          <w:i w:val="0"/>
          <w:iCs w:val="0"/>
          <w:color w:val="auto"/>
          <w:kern w:val="2"/>
          <w:sz w:val="24"/>
          <w:szCs w:val="24"/>
          <w:highlight w:val="none"/>
        </w:rPr>
        <w:t>只要投报了一个确定数额的总价，无论分项价格是否全部填报了相应的金额或免费字样，</w:t>
      </w:r>
      <w:r>
        <w:rPr>
          <w:rFonts w:hint="eastAsia" w:cs="宋体"/>
          <w:i w:val="0"/>
          <w:iCs w:val="0"/>
          <w:color w:val="auto"/>
          <w:kern w:val="2"/>
          <w:sz w:val="24"/>
          <w:szCs w:val="24"/>
          <w:highlight w:val="none"/>
          <w:lang w:val="en-US" w:eastAsia="zh-CN"/>
        </w:rPr>
        <w:t>该</w:t>
      </w:r>
      <w:r>
        <w:rPr>
          <w:rFonts w:hint="eastAsia" w:ascii="宋体" w:hAnsi="宋体" w:eastAsia="宋体" w:cs="宋体"/>
          <w:i w:val="0"/>
          <w:iCs w:val="0"/>
          <w:color w:val="auto"/>
          <w:kern w:val="2"/>
          <w:sz w:val="24"/>
          <w:szCs w:val="24"/>
          <w:highlight w:val="none"/>
          <w:lang w:val="en-US" w:eastAsia="zh-CN"/>
        </w:rPr>
        <w:t>报价应被视为已包含但不限于本次招标全部采购需求所应提供的服务，以及伴随的货物和工程等的费用和所需缴纳的所有价格、税、费。在其他情况下，由于分项报价填报不完整、不清楚或存在其他任何失误，所导致的任何不利后果均应当由投标人自行承担</w:t>
      </w:r>
      <w:r>
        <w:rPr>
          <w:rFonts w:hint="eastAsia" w:ascii="宋体" w:hAnsi="宋体" w:eastAsia="宋体" w:cs="宋体"/>
          <w:i w:val="0"/>
          <w:iCs w:val="0"/>
          <w:color w:val="auto"/>
          <w:kern w:val="2"/>
          <w:sz w:val="24"/>
          <w:szCs w:val="24"/>
          <w:highlight w:val="none"/>
        </w:rPr>
        <w:t>。</w:t>
      </w:r>
    </w:p>
    <w:p w14:paraId="4AC0AF13">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color w:val="auto"/>
          <w:kern w:val="2"/>
          <w:sz w:val="24"/>
          <w:szCs w:val="24"/>
          <w:highlight w:val="none"/>
          <w:lang w:val="en-US" w:eastAsia="zh-CN" w:bidi="ar-SA"/>
        </w:rPr>
        <w:t>14.4供应商的报价应包括但不限于按照竞争性磋商文件要求完成本项目的全部相关费用</w:t>
      </w:r>
      <w:r>
        <w:rPr>
          <w:rFonts w:hint="eastAsia" w:ascii="宋体" w:hAnsi="宋体" w:eastAsia="宋体" w:cs="宋体"/>
          <w:i w:val="0"/>
          <w:iCs w:val="0"/>
          <w:color w:val="auto"/>
          <w:kern w:val="2"/>
          <w:sz w:val="24"/>
          <w:szCs w:val="24"/>
          <w:highlight w:val="none"/>
          <w:lang w:val="en-US" w:eastAsia="zh-CN"/>
        </w:rPr>
        <w:t>。</w:t>
      </w:r>
    </w:p>
    <w:p w14:paraId="5480B9D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w:t>
      </w:r>
      <w:r>
        <w:rPr>
          <w:rFonts w:hint="eastAsia" w:ascii="宋体" w:hAnsi="宋体" w:eastAsia="宋体" w:cs="宋体"/>
          <w:i w:val="0"/>
          <w:iCs w:val="0"/>
          <w:snapToGrid w:val="0"/>
          <w:color w:val="auto"/>
          <w:sz w:val="24"/>
          <w:szCs w:val="24"/>
          <w:highlight w:val="none"/>
          <w:lang w:val="en-US" w:eastAsia="zh-CN"/>
        </w:rPr>
        <w:t>5供应商须严格按照分项报价表规定的内容填写服务单价以及其他事项。供应商应根据本</w:t>
      </w:r>
      <w:r>
        <w:rPr>
          <w:rFonts w:hint="eastAsia" w:ascii="宋体" w:hAnsi="宋体" w:eastAsia="宋体" w:cs="宋体"/>
          <w:i w:val="0"/>
          <w:iCs w:val="0"/>
          <w:color w:val="auto"/>
          <w:kern w:val="2"/>
          <w:sz w:val="24"/>
          <w:szCs w:val="24"/>
          <w:highlight w:val="none"/>
          <w:lang w:val="en-US" w:eastAsia="zh-CN" w:bidi="ar-SA"/>
        </w:rPr>
        <w:t>竞争性磋商</w:t>
      </w:r>
      <w:r>
        <w:rPr>
          <w:rFonts w:hint="eastAsia" w:ascii="宋体" w:hAnsi="宋体" w:eastAsia="宋体" w:cs="宋体"/>
          <w:i w:val="0"/>
          <w:iCs w:val="0"/>
          <w:snapToGrid w:val="0"/>
          <w:color w:val="auto"/>
          <w:sz w:val="24"/>
          <w:szCs w:val="24"/>
          <w:highlight w:val="none"/>
          <w:lang w:val="en-US" w:eastAsia="zh-CN"/>
        </w:rPr>
        <w:t>文件的规定和要求、市场价格水平及其走势、供应商的管理水平、供应商的方案和由这些因素决定的供应商之于本项目的成本水平等提出自己的报价。报价应合理，并包含完成本</w:t>
      </w:r>
      <w:r>
        <w:rPr>
          <w:rFonts w:hint="eastAsia" w:ascii="宋体" w:hAnsi="宋体" w:eastAsia="宋体" w:cs="宋体"/>
          <w:i w:val="0"/>
          <w:iCs w:val="0"/>
          <w:color w:val="auto"/>
          <w:kern w:val="2"/>
          <w:sz w:val="24"/>
          <w:szCs w:val="24"/>
          <w:highlight w:val="none"/>
          <w:lang w:val="en-US" w:eastAsia="zh-CN" w:bidi="ar-SA"/>
        </w:rPr>
        <w:t>竞争性磋商</w:t>
      </w:r>
      <w:r>
        <w:rPr>
          <w:rFonts w:hint="eastAsia" w:ascii="宋体" w:hAnsi="宋体" w:eastAsia="宋体" w:cs="宋体"/>
          <w:i w:val="0"/>
          <w:iCs w:val="0"/>
          <w:snapToGrid w:val="0"/>
          <w:color w:val="auto"/>
          <w:sz w:val="24"/>
          <w:szCs w:val="24"/>
          <w:highlight w:val="none"/>
          <w:lang w:val="en-US" w:eastAsia="zh-CN"/>
        </w:rPr>
        <w:t>文件采购需求全部内容的所有费用，所有根据本</w:t>
      </w:r>
      <w:r>
        <w:rPr>
          <w:rFonts w:hint="eastAsia" w:ascii="宋体" w:hAnsi="宋体" w:eastAsia="宋体" w:cs="宋体"/>
          <w:i w:val="0"/>
          <w:iCs w:val="0"/>
          <w:color w:val="auto"/>
          <w:kern w:val="2"/>
          <w:sz w:val="24"/>
          <w:szCs w:val="24"/>
          <w:highlight w:val="none"/>
          <w:lang w:val="en-US" w:eastAsia="zh-CN" w:bidi="ar-SA"/>
        </w:rPr>
        <w:t>竞争性磋商</w:t>
      </w:r>
      <w:r>
        <w:rPr>
          <w:rFonts w:hint="eastAsia" w:ascii="宋体" w:hAnsi="宋体" w:eastAsia="宋体" w:cs="宋体"/>
          <w:i w:val="0"/>
          <w:iCs w:val="0"/>
          <w:snapToGrid w:val="0"/>
          <w:color w:val="auto"/>
          <w:sz w:val="24"/>
          <w:szCs w:val="24"/>
          <w:highlight w:val="none"/>
          <w:lang w:val="en-US" w:eastAsia="zh-CN"/>
        </w:rPr>
        <w:t>文件或其它原因应由供应商支付的税款和其他应交纳的费用都应包括在供应商提交的响应报价中</w:t>
      </w:r>
      <w:r>
        <w:rPr>
          <w:rFonts w:hint="eastAsia" w:ascii="宋体" w:hAnsi="宋体" w:eastAsia="宋体" w:cs="宋体"/>
          <w:i w:val="0"/>
          <w:iCs w:val="0"/>
          <w:snapToGrid w:val="0"/>
          <w:color w:val="auto"/>
          <w:sz w:val="24"/>
          <w:szCs w:val="24"/>
          <w:highlight w:val="none"/>
          <w:lang w:val="zh-CN"/>
        </w:rPr>
        <w:t>。</w:t>
      </w:r>
    </w:p>
    <w:p w14:paraId="3C18F58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w:t>
      </w:r>
      <w:r>
        <w:rPr>
          <w:rFonts w:hint="eastAsia" w:ascii="宋体" w:hAnsi="宋体" w:eastAsia="宋体" w:cs="宋体"/>
          <w:i w:val="0"/>
          <w:iCs w:val="0"/>
          <w:snapToGrid w:val="0"/>
          <w:color w:val="auto"/>
          <w:sz w:val="24"/>
          <w:szCs w:val="24"/>
          <w:highlight w:val="none"/>
          <w:lang w:val="en-US" w:eastAsia="zh-CN"/>
        </w:rPr>
        <w:t>6</w:t>
      </w:r>
      <w:r>
        <w:rPr>
          <w:rFonts w:hint="eastAsia" w:ascii="宋体" w:hAnsi="宋体" w:eastAsia="宋体" w:cs="宋体"/>
          <w:i w:val="0"/>
          <w:iCs w:val="0"/>
          <w:snapToGrid w:val="0"/>
          <w:color w:val="auto"/>
          <w:sz w:val="24"/>
          <w:szCs w:val="24"/>
          <w:highlight w:val="none"/>
          <w:lang w:val="zh-CN"/>
        </w:rPr>
        <w:t>供应商在响应文件中注明免费的项目将视为包含在报价中。</w:t>
      </w:r>
    </w:p>
    <w:p w14:paraId="7F62D675">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w:t>
      </w:r>
      <w:r>
        <w:rPr>
          <w:rFonts w:hint="eastAsia" w:ascii="宋体" w:hAnsi="宋体" w:eastAsia="宋体" w:cs="宋体"/>
          <w:i w:val="0"/>
          <w:iCs w:val="0"/>
          <w:snapToGrid w:val="0"/>
          <w:color w:val="auto"/>
          <w:sz w:val="24"/>
          <w:szCs w:val="24"/>
          <w:highlight w:val="none"/>
          <w:lang w:val="en-US" w:eastAsia="zh-CN"/>
        </w:rPr>
        <w:t>7</w:t>
      </w:r>
      <w:r>
        <w:rPr>
          <w:rFonts w:hint="eastAsia" w:ascii="宋体" w:hAnsi="宋体" w:eastAsia="宋体" w:cs="宋体"/>
          <w:i w:val="0"/>
          <w:iCs w:val="0"/>
          <w:snapToGrid w:val="0"/>
          <w:color w:val="auto"/>
          <w:sz w:val="24"/>
          <w:szCs w:val="24"/>
          <w:highlight w:val="none"/>
          <w:lang w:val="zh-CN"/>
        </w:rPr>
        <w:t>每一种采购内容只允许有一个报价，否则其响应文件将被视为</w:t>
      </w:r>
      <w:r>
        <w:rPr>
          <w:rFonts w:hint="eastAsia" w:ascii="宋体" w:hAnsi="宋体" w:eastAsia="宋体" w:cs="宋体"/>
          <w:b/>
          <w:bCs/>
          <w:i w:val="0"/>
          <w:iCs w:val="0"/>
          <w:snapToGrid w:val="0"/>
          <w:color w:val="auto"/>
          <w:sz w:val="24"/>
          <w:szCs w:val="24"/>
          <w:highlight w:val="none"/>
          <w:lang w:val="zh-CN"/>
        </w:rPr>
        <w:t>无效文件</w:t>
      </w:r>
      <w:r>
        <w:rPr>
          <w:rFonts w:hint="eastAsia" w:ascii="宋体" w:hAnsi="宋体" w:eastAsia="宋体" w:cs="宋体"/>
          <w:i w:val="0"/>
          <w:iCs w:val="0"/>
          <w:snapToGrid w:val="0"/>
          <w:color w:val="auto"/>
          <w:sz w:val="24"/>
          <w:szCs w:val="24"/>
          <w:highlight w:val="none"/>
          <w:lang w:val="zh-CN"/>
        </w:rPr>
        <w:t>。</w:t>
      </w:r>
      <w:r>
        <w:rPr>
          <w:rFonts w:hint="eastAsia" w:ascii="宋体" w:hAnsi="宋体" w:eastAsia="宋体" w:cs="宋体"/>
          <w:i w:val="0"/>
          <w:iCs w:val="0"/>
          <w:color w:val="auto"/>
          <w:kern w:val="2"/>
          <w:sz w:val="24"/>
          <w:szCs w:val="24"/>
          <w:highlight w:val="none"/>
        </w:rPr>
        <w:t>除非</w:t>
      </w:r>
      <w:r>
        <w:rPr>
          <w:rFonts w:hint="eastAsia" w:ascii="宋体" w:hAnsi="宋体" w:eastAsia="宋体" w:cs="宋体"/>
          <w:i w:val="0"/>
          <w:iCs w:val="0"/>
          <w:color w:val="auto"/>
          <w:kern w:val="2"/>
          <w:sz w:val="24"/>
          <w:szCs w:val="24"/>
          <w:highlight w:val="none"/>
          <w:lang w:val="en-US" w:eastAsia="zh-CN"/>
        </w:rPr>
        <w:t>磋商</w:t>
      </w:r>
      <w:r>
        <w:rPr>
          <w:rFonts w:hint="eastAsia" w:ascii="宋体" w:hAnsi="宋体" w:eastAsia="宋体" w:cs="宋体"/>
          <w:i w:val="0"/>
          <w:iCs w:val="0"/>
          <w:color w:val="auto"/>
          <w:kern w:val="2"/>
          <w:sz w:val="24"/>
          <w:szCs w:val="24"/>
          <w:highlight w:val="none"/>
        </w:rPr>
        <w:t>文件另有规定，不接受可选择或可调整的</w:t>
      </w:r>
      <w:r>
        <w:rPr>
          <w:rFonts w:hint="eastAsia" w:ascii="宋体" w:hAnsi="宋体" w:eastAsia="宋体" w:cs="宋体"/>
          <w:i w:val="0"/>
          <w:iCs w:val="0"/>
          <w:color w:val="auto"/>
          <w:kern w:val="2"/>
          <w:sz w:val="24"/>
          <w:szCs w:val="24"/>
          <w:highlight w:val="none"/>
          <w:lang w:val="en-US" w:eastAsia="zh-CN"/>
        </w:rPr>
        <w:t>磋商</w:t>
      </w:r>
      <w:r>
        <w:rPr>
          <w:rFonts w:hint="eastAsia" w:ascii="宋体" w:hAnsi="宋体" w:eastAsia="宋体" w:cs="宋体"/>
          <w:i w:val="0"/>
          <w:iCs w:val="0"/>
          <w:color w:val="auto"/>
          <w:kern w:val="2"/>
          <w:sz w:val="24"/>
          <w:szCs w:val="24"/>
          <w:highlight w:val="none"/>
        </w:rPr>
        <w:t>方案和报价，任何有选择的或可调整的</w:t>
      </w:r>
      <w:r>
        <w:rPr>
          <w:rFonts w:hint="eastAsia" w:ascii="宋体" w:hAnsi="宋体" w:eastAsia="宋体" w:cs="宋体"/>
          <w:i w:val="0"/>
          <w:iCs w:val="0"/>
          <w:color w:val="auto"/>
          <w:kern w:val="2"/>
          <w:sz w:val="24"/>
          <w:szCs w:val="24"/>
          <w:highlight w:val="none"/>
          <w:lang w:val="en-US" w:eastAsia="zh-CN"/>
        </w:rPr>
        <w:t>磋商</w:t>
      </w:r>
      <w:r>
        <w:rPr>
          <w:rFonts w:hint="eastAsia" w:ascii="宋体" w:hAnsi="宋体" w:eastAsia="宋体" w:cs="宋体"/>
          <w:i w:val="0"/>
          <w:iCs w:val="0"/>
          <w:color w:val="auto"/>
          <w:kern w:val="2"/>
          <w:sz w:val="24"/>
          <w:szCs w:val="24"/>
          <w:highlight w:val="none"/>
        </w:rPr>
        <w:t>方案和报价将被视为非响应性</w:t>
      </w:r>
      <w:r>
        <w:rPr>
          <w:rFonts w:hint="eastAsia" w:ascii="宋体" w:hAnsi="宋体" w:eastAsia="宋体" w:cs="宋体"/>
          <w:i w:val="0"/>
          <w:iCs w:val="0"/>
          <w:color w:val="auto"/>
          <w:kern w:val="2"/>
          <w:sz w:val="24"/>
          <w:szCs w:val="24"/>
          <w:highlight w:val="none"/>
          <w:lang w:val="en-US" w:eastAsia="zh-CN"/>
        </w:rPr>
        <w:t>磋商</w:t>
      </w:r>
      <w:r>
        <w:rPr>
          <w:rFonts w:hint="eastAsia" w:ascii="宋体" w:hAnsi="宋体" w:eastAsia="宋体" w:cs="宋体"/>
          <w:i w:val="0"/>
          <w:iCs w:val="0"/>
          <w:color w:val="auto"/>
          <w:kern w:val="2"/>
          <w:sz w:val="24"/>
          <w:szCs w:val="24"/>
          <w:highlight w:val="none"/>
        </w:rPr>
        <w:t>而被拒绝。</w:t>
      </w:r>
    </w:p>
    <w:p w14:paraId="49C9A991">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rPr>
        <w:t>1</w:t>
      </w:r>
      <w:r>
        <w:rPr>
          <w:rFonts w:hint="eastAsia" w:ascii="宋体" w:hAnsi="宋体" w:eastAsia="宋体" w:cs="宋体"/>
          <w:i w:val="0"/>
          <w:iCs w:val="0"/>
          <w:color w:val="auto"/>
          <w:kern w:val="2"/>
          <w:sz w:val="24"/>
          <w:szCs w:val="24"/>
          <w:highlight w:val="none"/>
          <w:lang w:val="en-US" w:eastAsia="zh-CN"/>
        </w:rPr>
        <w:t>4</w:t>
      </w:r>
      <w:r>
        <w:rPr>
          <w:rFonts w:hint="eastAsia" w:ascii="宋体" w:hAnsi="宋体" w:eastAsia="宋体" w:cs="宋体"/>
          <w:i w:val="0"/>
          <w:iCs w:val="0"/>
          <w:color w:val="auto"/>
          <w:kern w:val="2"/>
          <w:sz w:val="24"/>
          <w:szCs w:val="24"/>
          <w:highlight w:val="none"/>
        </w:rPr>
        <w:t>.</w:t>
      </w:r>
      <w:r>
        <w:rPr>
          <w:rFonts w:hint="eastAsia" w:ascii="宋体" w:hAnsi="宋体" w:eastAsia="宋体" w:cs="宋体"/>
          <w:i w:val="0"/>
          <w:iCs w:val="0"/>
          <w:color w:val="auto"/>
          <w:kern w:val="2"/>
          <w:sz w:val="24"/>
          <w:szCs w:val="24"/>
          <w:highlight w:val="none"/>
          <w:lang w:val="en-US" w:eastAsia="zh-CN"/>
        </w:rPr>
        <w:t xml:space="preserve">8 </w:t>
      </w:r>
      <w:r>
        <w:rPr>
          <w:rFonts w:hint="eastAsia" w:ascii="宋体" w:hAnsi="宋体" w:eastAsia="宋体" w:cs="宋体"/>
          <w:i w:val="0"/>
          <w:iCs w:val="0"/>
          <w:color w:val="auto"/>
          <w:kern w:val="2"/>
          <w:sz w:val="24"/>
          <w:szCs w:val="24"/>
          <w:highlight w:val="none"/>
          <w:lang w:val="zh-CN" w:eastAsia="zh-CN"/>
        </w:rPr>
        <w:t>供应商</w:t>
      </w:r>
      <w:r>
        <w:rPr>
          <w:rFonts w:hint="eastAsia" w:ascii="宋体" w:hAnsi="宋体" w:eastAsia="宋体" w:cs="宋体"/>
          <w:i w:val="0"/>
          <w:iCs w:val="0"/>
          <w:color w:val="auto"/>
          <w:kern w:val="2"/>
          <w:sz w:val="24"/>
          <w:szCs w:val="24"/>
          <w:highlight w:val="none"/>
          <w:lang w:val="en-US" w:eastAsia="zh-CN"/>
        </w:rPr>
        <w:t>对磋商</w:t>
      </w:r>
      <w:r>
        <w:rPr>
          <w:rFonts w:hint="eastAsia" w:ascii="宋体" w:hAnsi="宋体" w:eastAsia="宋体" w:cs="宋体"/>
          <w:i w:val="0"/>
          <w:iCs w:val="0"/>
          <w:color w:val="auto"/>
          <w:kern w:val="2"/>
          <w:sz w:val="24"/>
          <w:szCs w:val="24"/>
          <w:highlight w:val="none"/>
        </w:rPr>
        <w:t>报价若有说明应在</w:t>
      </w:r>
      <w:r>
        <w:rPr>
          <w:rFonts w:hint="eastAsia" w:ascii="宋体" w:hAnsi="宋体" w:eastAsia="宋体" w:cs="宋体"/>
          <w:i w:val="0"/>
          <w:iCs w:val="0"/>
          <w:color w:val="auto"/>
          <w:kern w:val="2"/>
          <w:sz w:val="24"/>
          <w:szCs w:val="24"/>
          <w:highlight w:val="none"/>
          <w:lang w:val="en-US" w:eastAsia="zh-CN"/>
        </w:rPr>
        <w:t>响应</w:t>
      </w:r>
      <w:r>
        <w:rPr>
          <w:rFonts w:hint="eastAsia" w:ascii="宋体" w:hAnsi="宋体" w:eastAsia="宋体" w:cs="宋体"/>
          <w:i w:val="0"/>
          <w:iCs w:val="0"/>
          <w:color w:val="auto"/>
          <w:kern w:val="2"/>
          <w:sz w:val="24"/>
          <w:szCs w:val="24"/>
          <w:highlight w:val="none"/>
        </w:rPr>
        <w:t>文件中显著处注明。</w:t>
      </w:r>
    </w:p>
    <w:p w14:paraId="7C3969BB">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rPr>
        <w:t>除政策性文件规定以外，</w:t>
      </w:r>
      <w:r>
        <w:rPr>
          <w:rFonts w:hint="eastAsia" w:ascii="宋体" w:hAnsi="宋体" w:eastAsia="宋体" w:cs="宋体"/>
          <w:i w:val="0"/>
          <w:iCs w:val="0"/>
          <w:color w:val="auto"/>
          <w:kern w:val="2"/>
          <w:sz w:val="24"/>
          <w:szCs w:val="24"/>
          <w:highlight w:val="none"/>
          <w:lang w:val="zh-CN"/>
        </w:rPr>
        <w:t>供应商</w:t>
      </w:r>
      <w:r>
        <w:rPr>
          <w:rFonts w:hint="eastAsia" w:ascii="宋体" w:hAnsi="宋体" w:eastAsia="宋体" w:cs="宋体"/>
          <w:i w:val="0"/>
          <w:iCs w:val="0"/>
          <w:color w:val="auto"/>
          <w:kern w:val="2"/>
          <w:sz w:val="24"/>
          <w:szCs w:val="24"/>
          <w:highlight w:val="none"/>
        </w:rPr>
        <w:t>所报价格在合同实施期间不因市场变化因素而变动。</w:t>
      </w:r>
    </w:p>
    <w:p w14:paraId="2C1894A7">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rPr>
        <w:t>1</w:t>
      </w:r>
      <w:r>
        <w:rPr>
          <w:rFonts w:hint="eastAsia" w:ascii="宋体" w:hAnsi="宋体" w:eastAsia="宋体" w:cs="宋体"/>
          <w:i w:val="0"/>
          <w:iCs w:val="0"/>
          <w:color w:val="auto"/>
          <w:kern w:val="2"/>
          <w:sz w:val="24"/>
          <w:szCs w:val="24"/>
          <w:highlight w:val="none"/>
          <w:lang w:val="en-US" w:eastAsia="zh-CN"/>
        </w:rPr>
        <w:t>4</w:t>
      </w:r>
      <w:r>
        <w:rPr>
          <w:rFonts w:hint="eastAsia" w:ascii="宋体" w:hAnsi="宋体" w:eastAsia="宋体" w:cs="宋体"/>
          <w:i w:val="0"/>
          <w:iCs w:val="0"/>
          <w:color w:val="auto"/>
          <w:kern w:val="2"/>
          <w:sz w:val="24"/>
          <w:szCs w:val="24"/>
          <w:highlight w:val="none"/>
        </w:rPr>
        <w:t>.</w:t>
      </w:r>
      <w:r>
        <w:rPr>
          <w:rFonts w:hint="eastAsia" w:ascii="宋体" w:hAnsi="宋体" w:eastAsia="宋体" w:cs="宋体"/>
          <w:i w:val="0"/>
          <w:iCs w:val="0"/>
          <w:color w:val="auto"/>
          <w:kern w:val="2"/>
          <w:sz w:val="24"/>
          <w:szCs w:val="24"/>
          <w:highlight w:val="none"/>
          <w:lang w:val="en-US" w:eastAsia="zh-CN"/>
        </w:rPr>
        <w:t xml:space="preserve">9 </w:t>
      </w:r>
      <w:r>
        <w:rPr>
          <w:rFonts w:hint="eastAsia" w:ascii="宋体" w:hAnsi="宋体" w:eastAsia="宋体" w:cs="宋体"/>
          <w:i w:val="0"/>
          <w:iCs w:val="0"/>
          <w:color w:val="auto"/>
          <w:kern w:val="2"/>
          <w:sz w:val="24"/>
          <w:szCs w:val="24"/>
          <w:highlight w:val="none"/>
        </w:rPr>
        <w:t>最低报价不能作为</w:t>
      </w:r>
      <w:r>
        <w:rPr>
          <w:rFonts w:hint="eastAsia" w:ascii="宋体" w:hAnsi="宋体" w:eastAsia="宋体" w:cs="宋体"/>
          <w:i w:val="0"/>
          <w:iCs w:val="0"/>
          <w:color w:val="auto"/>
          <w:kern w:val="2"/>
          <w:sz w:val="24"/>
          <w:szCs w:val="24"/>
          <w:highlight w:val="none"/>
          <w:lang w:val="en-US" w:eastAsia="zh-CN"/>
        </w:rPr>
        <w:t>成交</w:t>
      </w:r>
      <w:r>
        <w:rPr>
          <w:rFonts w:hint="eastAsia" w:ascii="宋体" w:hAnsi="宋体" w:eastAsia="宋体" w:cs="宋体"/>
          <w:i w:val="0"/>
          <w:iCs w:val="0"/>
          <w:color w:val="auto"/>
          <w:kern w:val="2"/>
          <w:sz w:val="24"/>
          <w:szCs w:val="24"/>
          <w:highlight w:val="none"/>
        </w:rPr>
        <w:t>的保证。</w:t>
      </w:r>
    </w:p>
    <w:p w14:paraId="785198D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kern w:val="0"/>
          <w:sz w:val="24"/>
          <w:szCs w:val="24"/>
          <w:highlight w:val="none"/>
          <w:lang w:val="en-US" w:eastAsia="zh-CN"/>
        </w:rPr>
      </w:pPr>
      <w:r>
        <w:rPr>
          <w:rFonts w:hint="eastAsia" w:ascii="宋体" w:hAnsi="宋体" w:eastAsia="宋体" w:cs="宋体"/>
          <w:i w:val="0"/>
          <w:iCs w:val="0"/>
          <w:color w:val="auto"/>
          <w:kern w:val="2"/>
          <w:sz w:val="24"/>
          <w:szCs w:val="24"/>
          <w:highlight w:val="none"/>
          <w:lang w:val="en-US" w:eastAsia="zh-CN"/>
        </w:rPr>
        <w:t>14.10</w:t>
      </w:r>
      <w:r>
        <w:rPr>
          <w:rFonts w:hint="eastAsia" w:ascii="宋体" w:hAnsi="宋体" w:eastAsia="宋体" w:cs="宋体"/>
          <w:i w:val="0"/>
          <w:iCs w:val="0"/>
          <w:color w:val="auto"/>
          <w:kern w:val="0"/>
          <w:sz w:val="24"/>
          <w:szCs w:val="24"/>
          <w:highlight w:val="none"/>
          <w:lang w:val="en-US" w:eastAsia="zh-CN"/>
        </w:rPr>
        <w:t>采购人不得向供应商索要或者接受其给予的赠品、回扣或者与采购无关的其他商品、服务。</w:t>
      </w:r>
    </w:p>
    <w:p w14:paraId="1ED777B2">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lang w:val="en-US" w:eastAsia="zh-CN"/>
        </w:rPr>
        <w:t>14.11供应商不能提供任何有选择性或可调整的报价（磋商文件另有规定的除外），否则其</w:t>
      </w:r>
      <w:r>
        <w:rPr>
          <w:rFonts w:hint="eastAsia" w:ascii="宋体" w:hAnsi="宋体" w:eastAsia="宋体" w:cs="宋体"/>
          <w:b/>
          <w:bCs/>
          <w:i w:val="0"/>
          <w:iCs w:val="0"/>
          <w:color w:val="auto"/>
          <w:kern w:val="0"/>
          <w:sz w:val="24"/>
          <w:szCs w:val="24"/>
          <w:highlight w:val="none"/>
          <w:lang w:val="en-US" w:eastAsia="zh-CN"/>
        </w:rPr>
        <w:t>响应无效</w:t>
      </w:r>
      <w:r>
        <w:rPr>
          <w:rFonts w:hint="eastAsia" w:ascii="宋体" w:hAnsi="宋体" w:eastAsia="宋体" w:cs="宋体"/>
          <w:i w:val="0"/>
          <w:iCs w:val="0"/>
          <w:color w:val="auto"/>
          <w:kern w:val="0"/>
          <w:sz w:val="24"/>
          <w:szCs w:val="24"/>
          <w:highlight w:val="none"/>
          <w:lang w:val="en-US" w:eastAsia="zh-CN"/>
        </w:rPr>
        <w:t>。</w:t>
      </w:r>
    </w:p>
    <w:p w14:paraId="37F7F33C">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25" w:name="_Toc48688806"/>
      <w:bookmarkStart w:id="226" w:name="_Toc109899969"/>
      <w:bookmarkStart w:id="227" w:name="_Toc52962744"/>
      <w:bookmarkStart w:id="228" w:name="_Toc109900388"/>
      <w:bookmarkStart w:id="229" w:name="_Toc46772258"/>
      <w:bookmarkStart w:id="230" w:name="_Toc46771657"/>
      <w:bookmarkStart w:id="231" w:name="_Toc48846126"/>
      <w:bookmarkStart w:id="232" w:name="_Toc5668"/>
      <w:bookmarkStart w:id="233" w:name="_Toc51674228"/>
      <w:bookmarkStart w:id="234" w:name="_Toc470172682"/>
      <w:bookmarkStart w:id="235" w:name="_Toc109897451"/>
      <w:bookmarkStart w:id="236" w:name="_Toc109899550"/>
      <w:bookmarkStart w:id="237" w:name="_Toc52960570"/>
      <w:bookmarkStart w:id="238" w:name="_Toc109899966"/>
      <w:bookmarkStart w:id="239" w:name="_Toc109897448"/>
      <w:bookmarkStart w:id="240" w:name="_Toc52960566"/>
      <w:bookmarkStart w:id="241" w:name="_Toc46771653"/>
      <w:bookmarkStart w:id="242" w:name="_Toc51674224"/>
      <w:bookmarkStart w:id="243" w:name="_Toc470172678"/>
      <w:bookmarkStart w:id="244" w:name="_Toc48846122"/>
      <w:bookmarkStart w:id="245" w:name="_Toc48688802"/>
      <w:bookmarkStart w:id="246" w:name="_Toc46772254"/>
      <w:bookmarkStart w:id="247" w:name="_Toc3324"/>
      <w:bookmarkStart w:id="248" w:name="_Toc109900385"/>
      <w:bookmarkStart w:id="249" w:name="_Toc109899547"/>
      <w:bookmarkStart w:id="250" w:name="_Toc52962740"/>
      <w:r>
        <w:rPr>
          <w:rFonts w:hint="eastAsia" w:ascii="宋体" w:hAnsi="宋体" w:eastAsia="宋体" w:cs="宋体"/>
          <w:b/>
          <w:bCs/>
          <w:i w:val="0"/>
          <w:iCs w:val="0"/>
          <w:color w:val="auto"/>
          <w:kern w:val="2"/>
          <w:sz w:val="24"/>
          <w:szCs w:val="24"/>
          <w:highlight w:val="none"/>
          <w:lang w:val="en-US" w:eastAsia="zh-CN" w:bidi="ar-SA"/>
        </w:rPr>
        <w:t>15.响应文件有效期</w:t>
      </w:r>
      <w:bookmarkEnd w:id="225"/>
      <w:bookmarkEnd w:id="226"/>
      <w:bookmarkEnd w:id="227"/>
      <w:bookmarkEnd w:id="228"/>
      <w:bookmarkEnd w:id="229"/>
      <w:bookmarkEnd w:id="230"/>
      <w:bookmarkEnd w:id="231"/>
      <w:bookmarkEnd w:id="232"/>
      <w:bookmarkEnd w:id="233"/>
      <w:bookmarkEnd w:id="234"/>
      <w:bookmarkEnd w:id="235"/>
      <w:bookmarkEnd w:id="236"/>
      <w:bookmarkEnd w:id="237"/>
    </w:p>
    <w:p w14:paraId="09D81A42">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5</w:t>
      </w: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供应商提交的</w:t>
      </w:r>
      <w:r>
        <w:rPr>
          <w:rFonts w:hint="eastAsia" w:ascii="宋体" w:hAnsi="宋体" w:eastAsia="宋体" w:cs="宋体"/>
          <w:i w:val="0"/>
          <w:iCs w:val="0"/>
          <w:snapToGrid w:val="0"/>
          <w:color w:val="auto"/>
          <w:sz w:val="24"/>
          <w:szCs w:val="24"/>
          <w:highlight w:val="none"/>
          <w:lang w:val="zh-CN"/>
        </w:rPr>
        <w:t>响应文件有效期见“供应商须知前附表”，磋商供应商承诺的响应文件</w:t>
      </w:r>
      <w:r>
        <w:rPr>
          <w:rFonts w:hint="eastAsia" w:ascii="宋体" w:hAnsi="宋体" w:eastAsia="宋体" w:cs="宋体"/>
          <w:i w:val="0"/>
          <w:iCs w:val="0"/>
          <w:snapToGrid w:val="0"/>
          <w:color w:val="auto"/>
          <w:sz w:val="24"/>
          <w:szCs w:val="24"/>
          <w:highlight w:val="none"/>
          <w:lang w:val="zh-CN" w:eastAsia="zh-CN"/>
        </w:rPr>
        <w:t>有效期少于</w:t>
      </w:r>
      <w:r>
        <w:rPr>
          <w:rFonts w:hint="eastAsia" w:ascii="宋体" w:hAnsi="宋体" w:eastAsia="宋体" w:cs="宋体"/>
          <w:i w:val="0"/>
          <w:iCs w:val="0"/>
          <w:snapToGrid w:val="0"/>
          <w:color w:val="auto"/>
          <w:sz w:val="24"/>
          <w:szCs w:val="24"/>
          <w:highlight w:val="none"/>
          <w:lang w:val="en-US" w:eastAsia="zh-CN"/>
        </w:rPr>
        <w:t>磋商</w:t>
      </w:r>
      <w:r>
        <w:rPr>
          <w:rFonts w:hint="eastAsia" w:ascii="宋体" w:hAnsi="宋体" w:eastAsia="宋体" w:cs="宋体"/>
          <w:i w:val="0"/>
          <w:iCs w:val="0"/>
          <w:snapToGrid w:val="0"/>
          <w:color w:val="auto"/>
          <w:sz w:val="24"/>
          <w:szCs w:val="24"/>
          <w:highlight w:val="none"/>
          <w:lang w:val="zh-CN" w:eastAsia="zh-CN"/>
        </w:rPr>
        <w:t>文件规定期限的，其</w:t>
      </w:r>
      <w:r>
        <w:rPr>
          <w:rFonts w:hint="eastAsia" w:ascii="宋体" w:hAnsi="宋体" w:eastAsia="宋体" w:cs="宋体"/>
          <w:b/>
          <w:bCs/>
          <w:i w:val="0"/>
          <w:iCs w:val="0"/>
          <w:snapToGrid w:val="0"/>
          <w:color w:val="auto"/>
          <w:sz w:val="24"/>
          <w:szCs w:val="24"/>
          <w:highlight w:val="none"/>
          <w:lang w:val="en-US" w:eastAsia="zh-CN"/>
        </w:rPr>
        <w:t>响应</w:t>
      </w:r>
      <w:r>
        <w:rPr>
          <w:rFonts w:hint="eastAsia" w:ascii="宋体" w:hAnsi="宋体" w:eastAsia="宋体" w:cs="宋体"/>
          <w:b/>
          <w:bCs/>
          <w:i w:val="0"/>
          <w:iCs w:val="0"/>
          <w:snapToGrid w:val="0"/>
          <w:color w:val="auto"/>
          <w:sz w:val="24"/>
          <w:szCs w:val="24"/>
          <w:highlight w:val="none"/>
          <w:lang w:val="zh-CN" w:eastAsia="zh-CN"/>
        </w:rPr>
        <w:t>无效</w:t>
      </w:r>
      <w:r>
        <w:rPr>
          <w:rFonts w:hint="eastAsia" w:ascii="宋体" w:hAnsi="宋体" w:eastAsia="宋体" w:cs="宋体"/>
          <w:i w:val="0"/>
          <w:iCs w:val="0"/>
          <w:snapToGrid w:val="0"/>
          <w:color w:val="auto"/>
          <w:sz w:val="24"/>
          <w:szCs w:val="24"/>
          <w:highlight w:val="none"/>
          <w:lang w:val="zh-CN" w:eastAsia="zh-CN"/>
        </w:rPr>
        <w:t>。</w:t>
      </w:r>
    </w:p>
    <w:p w14:paraId="65EF534B">
      <w:pPr>
        <w:keepNext w:val="0"/>
        <w:keepLines w:val="0"/>
        <w:pageBreakBefore w:val="0"/>
        <w:widowControl w:val="0"/>
        <w:kinsoku/>
        <w:overflowPunct/>
        <w:topLinePunct w:val="0"/>
        <w:autoSpaceDE/>
        <w:autoSpaceDN/>
        <w:bidi w:val="0"/>
        <w:adjustRightInd/>
        <w:ind w:firstLine="480" w:firstLineChars="200"/>
        <w:jc w:val="both"/>
        <w:textAlignment w:val="auto"/>
        <w:rPr>
          <w:rFonts w:hint="eastAsia" w:ascii="宋体" w:hAnsi="宋体" w:eastAsia="宋体" w:cs="宋体"/>
          <w:i w:val="0"/>
          <w:iCs w:val="0"/>
          <w:snapToGrid w:val="0"/>
          <w:color w:val="auto"/>
          <w:kern w:val="2"/>
          <w:sz w:val="24"/>
          <w:szCs w:val="24"/>
          <w:highlight w:val="none"/>
          <w:lang w:val="en-US" w:eastAsia="zh-CN" w:bidi="ar-SA"/>
        </w:rPr>
      </w:pPr>
      <w:r>
        <w:rPr>
          <w:rFonts w:hint="eastAsia" w:ascii="宋体" w:hAnsi="宋体" w:eastAsia="宋体" w:cs="宋体"/>
          <w:i w:val="0"/>
          <w:iCs w:val="0"/>
          <w:snapToGrid w:val="0"/>
          <w:color w:val="auto"/>
          <w:kern w:val="2"/>
          <w:sz w:val="24"/>
          <w:szCs w:val="24"/>
          <w:highlight w:val="none"/>
          <w:lang w:val="en-US" w:eastAsia="zh-CN" w:bidi="ar-SA"/>
        </w:rPr>
        <w:t>15.2 响应文件有效期从递交响应文件的截止之日起算。响应文件中承诺的有效期应当不少于竞争性磋商文件中载明的响应文件有效期。响应文件有效期内供应商撤销响应文件的，采购人或者采购代理机构可以不退还磋商保证金。</w:t>
      </w:r>
    </w:p>
    <w:p w14:paraId="7573B8B9">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kern w:val="2"/>
          <w:sz w:val="24"/>
          <w:szCs w:val="24"/>
          <w:highlight w:val="none"/>
          <w:lang w:val="zh-CN" w:eastAsia="zh-CN" w:bidi="ar-SA"/>
        </w:rPr>
        <w:t>1</w:t>
      </w:r>
      <w:r>
        <w:rPr>
          <w:rFonts w:hint="eastAsia" w:ascii="宋体" w:hAnsi="宋体" w:eastAsia="宋体" w:cs="宋体"/>
          <w:i w:val="0"/>
          <w:iCs w:val="0"/>
          <w:snapToGrid w:val="0"/>
          <w:color w:val="auto"/>
          <w:kern w:val="2"/>
          <w:sz w:val="24"/>
          <w:szCs w:val="24"/>
          <w:highlight w:val="none"/>
          <w:lang w:val="en-US" w:eastAsia="zh-CN" w:bidi="ar-SA"/>
        </w:rPr>
        <w:t>5</w:t>
      </w:r>
      <w:r>
        <w:rPr>
          <w:rFonts w:hint="eastAsia" w:ascii="宋体" w:hAnsi="宋体" w:eastAsia="宋体" w:cs="宋体"/>
          <w:i w:val="0"/>
          <w:iCs w:val="0"/>
          <w:snapToGrid w:val="0"/>
          <w:color w:val="auto"/>
          <w:kern w:val="2"/>
          <w:sz w:val="24"/>
          <w:szCs w:val="24"/>
          <w:highlight w:val="none"/>
          <w:lang w:val="zh-CN" w:eastAsia="zh-CN" w:bidi="ar-SA"/>
        </w:rPr>
        <w:t>.</w:t>
      </w:r>
      <w:r>
        <w:rPr>
          <w:rFonts w:hint="eastAsia" w:ascii="宋体" w:hAnsi="宋体" w:eastAsia="宋体" w:cs="宋体"/>
          <w:i w:val="0"/>
          <w:iCs w:val="0"/>
          <w:snapToGrid w:val="0"/>
          <w:color w:val="auto"/>
          <w:kern w:val="2"/>
          <w:sz w:val="24"/>
          <w:szCs w:val="24"/>
          <w:highlight w:val="none"/>
          <w:lang w:val="en-US" w:eastAsia="zh-CN" w:bidi="ar-SA"/>
        </w:rPr>
        <w:t>3</w:t>
      </w:r>
      <w:r>
        <w:rPr>
          <w:rFonts w:hint="eastAsia" w:ascii="宋体" w:hAnsi="宋体" w:eastAsia="宋体" w:cs="宋体"/>
          <w:i w:val="0"/>
          <w:iCs w:val="0"/>
          <w:snapToGrid w:val="0"/>
          <w:color w:val="auto"/>
          <w:kern w:val="2"/>
          <w:sz w:val="24"/>
          <w:szCs w:val="24"/>
          <w:highlight w:val="none"/>
          <w:lang w:val="zh-CN" w:eastAsia="zh-CN" w:bidi="ar-SA"/>
        </w:rPr>
        <w:t>特殊情况下，在原响应文件有效期截止之前，采购代理机构或采购人</w:t>
      </w:r>
      <w:r>
        <w:rPr>
          <w:rFonts w:hint="eastAsia" w:ascii="宋体" w:hAnsi="宋体" w:eastAsia="宋体" w:cs="宋体"/>
          <w:i w:val="0"/>
          <w:iCs w:val="0"/>
          <w:snapToGrid w:val="0"/>
          <w:color w:val="auto"/>
          <w:sz w:val="24"/>
          <w:szCs w:val="24"/>
          <w:highlight w:val="none"/>
          <w:lang w:val="zh-CN"/>
        </w:rPr>
        <w:t>可要求供应商延长响应文件有效期。需要延长响应文件有效期时，采购代理机构或采购人将以书面形式通知所有磋商供应商，供应商应以书面形式答复是否同意延长响应文件有效期。</w:t>
      </w:r>
    </w:p>
    <w:p w14:paraId="1E560B20">
      <w:pPr>
        <w:keepNext w:val="0"/>
        <w:keepLines w:val="0"/>
        <w:pageBreakBefore w:val="0"/>
        <w:widowControl w:val="0"/>
        <w:tabs>
          <w:tab w:val="left" w:pos="426"/>
        </w:tabs>
        <w:kinsoku/>
        <w:overflowPunct/>
        <w:topLinePunct w:val="0"/>
        <w:autoSpaceDE w:val="0"/>
        <w:autoSpaceDN w:val="0"/>
        <w:bidi w:val="0"/>
        <w:adjustRightInd w:val="0"/>
        <w:snapToGrid w:val="0"/>
        <w:ind w:firstLine="480" w:firstLineChars="20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5</w:t>
      </w:r>
      <w:r>
        <w:rPr>
          <w:rFonts w:hint="eastAsia" w:ascii="宋体" w:hAnsi="宋体" w:eastAsia="宋体" w:cs="宋体"/>
          <w:i w:val="0"/>
          <w:iCs w:val="0"/>
          <w:snapToGrid w:val="0"/>
          <w:color w:val="auto"/>
          <w:sz w:val="24"/>
          <w:szCs w:val="24"/>
          <w:highlight w:val="none"/>
          <w:lang w:val="zh-CN"/>
        </w:rPr>
        <w:t>.</w:t>
      </w:r>
      <w:r>
        <w:rPr>
          <w:rFonts w:hint="eastAsia" w:ascii="宋体" w:hAnsi="宋体" w:eastAsia="宋体" w:cs="宋体"/>
          <w:i w:val="0"/>
          <w:iCs w:val="0"/>
          <w:snapToGrid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供应商同意延长的，</w:t>
      </w:r>
      <w:r>
        <w:rPr>
          <w:rFonts w:hint="eastAsia" w:ascii="宋体" w:hAnsi="宋体" w:eastAsia="宋体" w:cs="宋体"/>
          <w:i w:val="0"/>
          <w:iCs w:val="0"/>
          <w:snapToGrid w:val="0"/>
          <w:color w:val="auto"/>
          <w:sz w:val="24"/>
          <w:szCs w:val="24"/>
          <w:highlight w:val="none"/>
          <w:lang w:val="en-US" w:eastAsia="zh-CN"/>
        </w:rPr>
        <w:t>其磋商</w:t>
      </w:r>
      <w:r>
        <w:rPr>
          <w:rFonts w:hint="eastAsia" w:ascii="宋体" w:hAnsi="宋体" w:eastAsia="宋体" w:cs="宋体"/>
          <w:i w:val="0"/>
          <w:iCs w:val="0"/>
          <w:snapToGrid w:val="0"/>
          <w:color w:val="auto"/>
          <w:sz w:val="24"/>
          <w:szCs w:val="24"/>
          <w:highlight w:val="none"/>
          <w:lang w:val="zh-CN"/>
        </w:rPr>
        <w:t>保证金的有效期也相应延长</w:t>
      </w:r>
      <w:r>
        <w:rPr>
          <w:rFonts w:hint="eastAsia" w:ascii="宋体" w:hAnsi="宋体" w:eastAsia="宋体" w:cs="宋体"/>
          <w:i w:val="0"/>
          <w:iCs w:val="0"/>
          <w:snapToGrid w:val="0"/>
          <w:color w:val="auto"/>
          <w:sz w:val="24"/>
          <w:szCs w:val="24"/>
          <w:highlight w:val="none"/>
          <w:lang w:val="zh-CN" w:eastAsia="zh-CN"/>
        </w:rPr>
        <w:t>，</w:t>
      </w:r>
      <w:r>
        <w:rPr>
          <w:rFonts w:hint="eastAsia" w:ascii="宋体" w:hAnsi="宋体" w:eastAsia="宋体" w:cs="宋体"/>
          <w:i w:val="0"/>
          <w:iCs w:val="0"/>
          <w:snapToGrid w:val="0"/>
          <w:color w:val="auto"/>
          <w:sz w:val="24"/>
          <w:szCs w:val="24"/>
          <w:highlight w:val="none"/>
          <w:lang w:val="zh-CN"/>
        </w:rPr>
        <w:t>不得要求或被允许修改或撤销其响应文件；供应商拒绝延长的，其响应文件在原响应文件有效期满后将不再有效</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但其提交的磋商保证金可予以退还</w:t>
      </w:r>
      <w:r>
        <w:rPr>
          <w:rFonts w:hint="eastAsia" w:ascii="宋体" w:hAnsi="宋体" w:eastAsia="宋体" w:cs="宋体"/>
          <w:i w:val="0"/>
          <w:iCs w:val="0"/>
          <w:snapToGrid w:val="0"/>
          <w:color w:val="auto"/>
          <w:sz w:val="24"/>
          <w:szCs w:val="24"/>
          <w:highlight w:val="none"/>
          <w:lang w:val="zh-CN"/>
        </w:rPr>
        <w:t>。</w:t>
      </w:r>
    </w:p>
    <w:bookmarkEnd w:id="238"/>
    <w:bookmarkEnd w:id="239"/>
    <w:bookmarkEnd w:id="240"/>
    <w:bookmarkEnd w:id="241"/>
    <w:bookmarkEnd w:id="242"/>
    <w:bookmarkEnd w:id="243"/>
    <w:bookmarkEnd w:id="244"/>
    <w:bookmarkEnd w:id="245"/>
    <w:bookmarkEnd w:id="246"/>
    <w:bookmarkEnd w:id="247"/>
    <w:bookmarkEnd w:id="248"/>
    <w:bookmarkEnd w:id="249"/>
    <w:bookmarkEnd w:id="250"/>
    <w:p w14:paraId="36435DEA">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16.响应文件的编制</w:t>
      </w:r>
      <w:bookmarkEnd w:id="211"/>
      <w:bookmarkEnd w:id="212"/>
      <w:bookmarkEnd w:id="213"/>
      <w:bookmarkEnd w:id="214"/>
      <w:bookmarkEnd w:id="215"/>
      <w:bookmarkEnd w:id="216"/>
      <w:bookmarkEnd w:id="217"/>
      <w:bookmarkEnd w:id="218"/>
      <w:bookmarkEnd w:id="219"/>
      <w:bookmarkEnd w:id="220"/>
      <w:bookmarkEnd w:id="221"/>
      <w:bookmarkEnd w:id="222"/>
      <w:bookmarkEnd w:id="223"/>
    </w:p>
    <w:p w14:paraId="3977B88D">
      <w:pPr>
        <w:keepNext w:val="0"/>
        <w:keepLines w:val="0"/>
        <w:pageBreakBefore w:val="0"/>
        <w:widowControl w:val="0"/>
        <w:kinsoku/>
        <w:overflowPunct/>
        <w:topLinePunct w:val="0"/>
        <w:autoSpaceDE/>
        <w:autoSpaceDN/>
        <w:bidi w:val="0"/>
        <w:adjustRightInd/>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文件应在</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color w:val="auto"/>
          <w:sz w:val="24"/>
          <w:szCs w:val="24"/>
          <w:highlight w:val="none"/>
        </w:rPr>
        <w:t>中进行编制，在</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文件中要求加盖印章的，除有特殊说明之外，</w:t>
      </w:r>
      <w:r>
        <w:rPr>
          <w:rFonts w:hint="eastAsia" w:ascii="宋体" w:hAnsi="宋体" w:eastAsia="宋体" w:cs="宋体"/>
          <w:i w:val="0"/>
          <w:iCs w:val="0"/>
          <w:color w:val="auto"/>
          <w:sz w:val="24"/>
          <w:szCs w:val="24"/>
          <w:highlight w:val="none"/>
          <w:lang w:val="en-US" w:eastAsia="zh-CN"/>
        </w:rPr>
        <w:t>可</w:t>
      </w:r>
      <w:r>
        <w:rPr>
          <w:rFonts w:hint="eastAsia" w:ascii="宋体" w:hAnsi="宋体" w:eastAsia="宋体" w:cs="宋体"/>
          <w:i w:val="0"/>
          <w:iCs w:val="0"/>
          <w:color w:val="auto"/>
          <w:sz w:val="24"/>
          <w:szCs w:val="24"/>
          <w:highlight w:val="none"/>
        </w:rPr>
        <w:t>使用电子签章签署。</w:t>
      </w:r>
    </w:p>
    <w:p w14:paraId="0F82320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在</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color w:val="auto"/>
          <w:sz w:val="24"/>
          <w:szCs w:val="24"/>
          <w:highlight w:val="none"/>
        </w:rPr>
        <w:t>中按照</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color w:val="auto"/>
          <w:sz w:val="24"/>
          <w:szCs w:val="24"/>
          <w:highlight w:val="none"/>
        </w:rPr>
        <w:t>中的格式要求填写响应内容后，生成</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须按照</w:t>
      </w:r>
      <w:r>
        <w:rPr>
          <w:rFonts w:hint="eastAsia" w:ascii="宋体" w:hAnsi="宋体" w:eastAsia="宋体" w:cs="宋体"/>
          <w:i w:val="0"/>
          <w:iCs w:val="0"/>
          <w:color w:val="auto"/>
          <w:sz w:val="24"/>
          <w:szCs w:val="24"/>
          <w:highlight w:val="none"/>
          <w:lang w:val="en-US" w:eastAsia="zh-CN"/>
        </w:rPr>
        <w:t>竞争性磋商</w:t>
      </w:r>
      <w:r>
        <w:rPr>
          <w:rFonts w:hint="eastAsia" w:ascii="宋体" w:hAnsi="宋体" w:eastAsia="宋体" w:cs="宋体"/>
          <w:i w:val="0"/>
          <w:iCs w:val="0"/>
          <w:color w:val="auto"/>
          <w:sz w:val="24"/>
          <w:szCs w:val="24"/>
          <w:highlight w:val="none"/>
        </w:rPr>
        <w:t>文件的要求使用电子签章对要求加盖印章的部分逐一进行签章。</w:t>
      </w:r>
    </w:p>
    <w:p w14:paraId="43040B24">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3供应商</w:t>
      </w:r>
      <w:r>
        <w:rPr>
          <w:rFonts w:hint="eastAsia" w:ascii="宋体" w:hAnsi="宋体" w:eastAsia="宋体" w:cs="宋体"/>
          <w:i w:val="0"/>
          <w:iCs w:val="0"/>
          <w:color w:val="auto"/>
          <w:sz w:val="24"/>
          <w:szCs w:val="24"/>
          <w:highlight w:val="none"/>
        </w:rPr>
        <w:t>应详细阅读</w:t>
      </w:r>
      <w:r>
        <w:rPr>
          <w:rFonts w:hint="eastAsia" w:ascii="宋体" w:hAnsi="宋体" w:eastAsia="宋体" w:cs="宋体"/>
          <w:i w:val="0"/>
          <w:iCs w:val="0"/>
          <w:color w:val="auto"/>
          <w:sz w:val="24"/>
          <w:szCs w:val="24"/>
          <w:highlight w:val="none"/>
          <w:lang w:val="en-US" w:eastAsia="zh-CN"/>
        </w:rPr>
        <w:t>竞争性磋商</w:t>
      </w:r>
      <w:r>
        <w:rPr>
          <w:rFonts w:hint="eastAsia" w:ascii="宋体" w:hAnsi="宋体" w:eastAsia="宋体" w:cs="宋体"/>
          <w:i w:val="0"/>
          <w:iCs w:val="0"/>
          <w:color w:val="auto"/>
          <w:sz w:val="24"/>
          <w:szCs w:val="24"/>
          <w:highlight w:val="none"/>
        </w:rPr>
        <w:t>文件的全部内容。</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文件须对</w:t>
      </w:r>
      <w:r>
        <w:rPr>
          <w:rFonts w:hint="eastAsia" w:ascii="宋体" w:hAnsi="宋体" w:eastAsia="宋体" w:cs="宋体"/>
          <w:i w:val="0"/>
          <w:iCs w:val="0"/>
          <w:color w:val="auto"/>
          <w:sz w:val="24"/>
          <w:szCs w:val="24"/>
          <w:highlight w:val="none"/>
          <w:lang w:val="en-US" w:eastAsia="zh-CN"/>
        </w:rPr>
        <w:t>竞争性磋商</w:t>
      </w:r>
      <w:r>
        <w:rPr>
          <w:rFonts w:hint="eastAsia" w:ascii="宋体" w:hAnsi="宋体" w:eastAsia="宋体" w:cs="宋体"/>
          <w:i w:val="0"/>
          <w:iCs w:val="0"/>
          <w:color w:val="auto"/>
          <w:sz w:val="24"/>
          <w:szCs w:val="24"/>
          <w:highlight w:val="none"/>
        </w:rPr>
        <w:t>文件中的内容作出实质性和完整的响应，如果</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文件填报的内容不详，或没有提供</w:t>
      </w:r>
      <w:r>
        <w:rPr>
          <w:rFonts w:hint="eastAsia" w:ascii="宋体" w:hAnsi="宋体" w:eastAsia="宋体" w:cs="宋体"/>
          <w:i w:val="0"/>
          <w:iCs w:val="0"/>
          <w:color w:val="auto"/>
          <w:sz w:val="24"/>
          <w:szCs w:val="24"/>
          <w:highlight w:val="none"/>
          <w:lang w:val="en-US" w:eastAsia="zh-CN"/>
        </w:rPr>
        <w:t>竞争性磋商</w:t>
      </w:r>
      <w:r>
        <w:rPr>
          <w:rFonts w:hint="eastAsia" w:ascii="宋体" w:hAnsi="宋体" w:eastAsia="宋体" w:cs="宋体"/>
          <w:i w:val="0"/>
          <w:iCs w:val="0"/>
          <w:color w:val="auto"/>
          <w:sz w:val="24"/>
          <w:szCs w:val="24"/>
          <w:highlight w:val="none"/>
        </w:rPr>
        <w:t>文件中所要求的全部资料及数据，将可能</w:t>
      </w:r>
      <w:r>
        <w:rPr>
          <w:rFonts w:hint="eastAsia" w:ascii="宋体" w:hAnsi="宋体" w:eastAsia="宋体" w:cs="宋体"/>
          <w:b/>
          <w:bCs/>
          <w:i w:val="0"/>
          <w:iCs w:val="0"/>
          <w:color w:val="auto"/>
          <w:sz w:val="24"/>
          <w:szCs w:val="24"/>
          <w:highlight w:val="none"/>
        </w:rPr>
        <w:t>导致</w:t>
      </w:r>
      <w:r>
        <w:rPr>
          <w:rFonts w:hint="eastAsia" w:ascii="宋体" w:hAnsi="宋体" w:eastAsia="宋体" w:cs="宋体"/>
          <w:b/>
          <w:bCs/>
          <w:i w:val="0"/>
          <w:iCs w:val="0"/>
          <w:color w:val="auto"/>
          <w:sz w:val="24"/>
          <w:szCs w:val="24"/>
          <w:highlight w:val="none"/>
          <w:lang w:val="en-US" w:eastAsia="zh-CN"/>
        </w:rPr>
        <w:t>其响应无效</w:t>
      </w:r>
      <w:r>
        <w:rPr>
          <w:rFonts w:hint="eastAsia" w:ascii="宋体" w:hAnsi="宋体" w:eastAsia="宋体" w:cs="宋体"/>
          <w:i w:val="0"/>
          <w:iCs w:val="0"/>
          <w:color w:val="auto"/>
          <w:sz w:val="24"/>
          <w:szCs w:val="24"/>
          <w:highlight w:val="none"/>
        </w:rPr>
        <w:t>。</w:t>
      </w:r>
    </w:p>
    <w:p w14:paraId="3D8FDFF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4响应</w:t>
      </w:r>
      <w:r>
        <w:rPr>
          <w:rFonts w:hint="eastAsia" w:ascii="宋体" w:hAnsi="宋体" w:eastAsia="宋体" w:cs="宋体"/>
          <w:i w:val="0"/>
          <w:iCs w:val="0"/>
          <w:color w:val="auto"/>
          <w:sz w:val="24"/>
          <w:szCs w:val="24"/>
          <w:highlight w:val="none"/>
        </w:rPr>
        <w:t>文件须严格按照</w:t>
      </w:r>
      <w:r>
        <w:rPr>
          <w:rFonts w:hint="eastAsia" w:ascii="宋体" w:hAnsi="宋体" w:eastAsia="宋体" w:cs="宋体"/>
          <w:i w:val="0"/>
          <w:iCs w:val="0"/>
          <w:color w:val="auto"/>
          <w:sz w:val="24"/>
          <w:szCs w:val="24"/>
          <w:highlight w:val="none"/>
          <w:lang w:val="en-US" w:eastAsia="zh-CN"/>
        </w:rPr>
        <w:t>本竞争性磋商</w:t>
      </w:r>
      <w:r>
        <w:rPr>
          <w:rFonts w:hint="eastAsia" w:ascii="宋体" w:hAnsi="宋体" w:eastAsia="宋体" w:cs="宋体"/>
          <w:i w:val="0"/>
          <w:iCs w:val="0"/>
          <w:color w:val="auto"/>
          <w:sz w:val="24"/>
          <w:szCs w:val="24"/>
          <w:highlight w:val="none"/>
        </w:rPr>
        <w:t>文件第</w:t>
      </w:r>
      <w:r>
        <w:rPr>
          <w:rFonts w:hint="eastAsia" w:ascii="宋体" w:hAnsi="宋体" w:eastAsia="宋体" w:cs="宋体"/>
          <w:i w:val="0"/>
          <w:iCs w:val="0"/>
          <w:color w:val="auto"/>
          <w:sz w:val="24"/>
          <w:szCs w:val="24"/>
          <w:highlight w:val="none"/>
          <w:lang w:val="en-US" w:eastAsia="zh-CN"/>
        </w:rPr>
        <w:t>六章</w:t>
      </w:r>
      <w:r>
        <w:rPr>
          <w:rFonts w:hint="eastAsia" w:ascii="宋体" w:hAnsi="宋体" w:eastAsia="宋体" w:cs="宋体"/>
          <w:i w:val="0"/>
          <w:iCs w:val="0"/>
          <w:color w:val="auto"/>
          <w:sz w:val="24"/>
          <w:szCs w:val="24"/>
          <w:highlight w:val="none"/>
        </w:rPr>
        <w:t>规定的格式提交，并按规定的统一格式逐项填写，不准有空项；无相应内容可填的项，应填写“无”、“未测试”、“没有相应指标”等明确的回答文字。由于编排混乱导致</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文件被误读或查找不到，其责任由</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承担。</w:t>
      </w:r>
    </w:p>
    <w:p w14:paraId="49BD0A7F">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5供应商</w:t>
      </w:r>
      <w:r>
        <w:rPr>
          <w:rFonts w:hint="eastAsia" w:ascii="宋体" w:hAnsi="宋体" w:eastAsia="宋体" w:cs="宋体"/>
          <w:i w:val="0"/>
          <w:iCs w:val="0"/>
          <w:color w:val="auto"/>
          <w:sz w:val="24"/>
          <w:szCs w:val="24"/>
          <w:highlight w:val="none"/>
        </w:rPr>
        <w:t>须注意：为合理节约政府采购评审成本，提倡诚实信用的</w:t>
      </w:r>
      <w:r>
        <w:rPr>
          <w:rFonts w:hint="eastAsia" w:ascii="宋体" w:hAnsi="宋体" w:eastAsia="宋体" w:cs="宋体"/>
          <w:i w:val="0"/>
          <w:iCs w:val="0"/>
          <w:color w:val="auto"/>
          <w:sz w:val="24"/>
          <w:szCs w:val="24"/>
          <w:highlight w:val="none"/>
          <w:lang w:val="en-US" w:eastAsia="zh-CN"/>
        </w:rPr>
        <w:t>磋商</w:t>
      </w:r>
      <w:r>
        <w:rPr>
          <w:rFonts w:hint="eastAsia" w:ascii="宋体" w:hAnsi="宋体" w:eastAsia="宋体" w:cs="宋体"/>
          <w:i w:val="0"/>
          <w:iCs w:val="0"/>
          <w:color w:val="auto"/>
          <w:sz w:val="24"/>
          <w:szCs w:val="24"/>
          <w:highlight w:val="none"/>
        </w:rPr>
        <w:t>行为，特别要求</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应本着诚信精神，在本次</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文件的偏离表中，均以审慎的态度明确、清楚地披露各项偏离。若</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对某一事项是否存在或是否属于偏离不能确定，亦必须在偏离表中清楚地表明该偏离事项，并可以注明不能确定的字样。任何情况下，对于</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没有在偏离表中明确、清楚地披露的事项，包括可能属于被</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在偏离表中遗漏披露的事项，一旦在评审中被发现存在偏离或被认定为属于偏离，则评</w:t>
      </w:r>
      <w:r>
        <w:rPr>
          <w:rFonts w:hint="eastAsia" w:ascii="宋体" w:hAnsi="宋体" w:eastAsia="宋体" w:cs="宋体"/>
          <w:i w:val="0"/>
          <w:iCs w:val="0"/>
          <w:color w:val="auto"/>
          <w:sz w:val="24"/>
          <w:szCs w:val="24"/>
          <w:highlight w:val="none"/>
          <w:lang w:val="en-US" w:eastAsia="zh-CN"/>
        </w:rPr>
        <w:t>审</w:t>
      </w:r>
      <w:r>
        <w:rPr>
          <w:rFonts w:hint="eastAsia" w:ascii="宋体" w:hAnsi="宋体" w:eastAsia="宋体" w:cs="宋体"/>
          <w:i w:val="0"/>
          <w:iCs w:val="0"/>
          <w:color w:val="auto"/>
          <w:sz w:val="24"/>
          <w:szCs w:val="24"/>
          <w:highlight w:val="none"/>
        </w:rPr>
        <w:t>委员会有权视具体情形评审时予以处理。</w:t>
      </w:r>
    </w:p>
    <w:p w14:paraId="46B36667">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6供应商</w:t>
      </w:r>
      <w:r>
        <w:rPr>
          <w:rFonts w:hint="eastAsia" w:ascii="宋体" w:hAnsi="宋体" w:eastAsia="宋体" w:cs="宋体"/>
          <w:i w:val="0"/>
          <w:iCs w:val="0"/>
          <w:color w:val="auto"/>
          <w:sz w:val="24"/>
          <w:szCs w:val="24"/>
          <w:highlight w:val="none"/>
        </w:rPr>
        <w:t>必须保证</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文件所提供的全部资料真实可靠，并接受采购</w:t>
      </w:r>
      <w:r>
        <w:rPr>
          <w:rFonts w:hint="eastAsia" w:ascii="宋体" w:hAnsi="宋体" w:eastAsia="宋体" w:cs="宋体"/>
          <w:i w:val="0"/>
          <w:iCs w:val="0"/>
          <w:color w:val="auto"/>
          <w:sz w:val="24"/>
          <w:szCs w:val="24"/>
          <w:highlight w:val="none"/>
          <w:lang w:val="en-US" w:eastAsia="zh-CN"/>
        </w:rPr>
        <w:t>人、采购</w:t>
      </w:r>
      <w:r>
        <w:rPr>
          <w:rFonts w:hint="eastAsia" w:ascii="宋体" w:hAnsi="宋体" w:eastAsia="宋体" w:cs="宋体"/>
          <w:i w:val="0"/>
          <w:iCs w:val="0"/>
          <w:color w:val="auto"/>
          <w:sz w:val="24"/>
          <w:szCs w:val="24"/>
          <w:highlight w:val="none"/>
        </w:rPr>
        <w:t>代理机构或评</w:t>
      </w:r>
      <w:r>
        <w:rPr>
          <w:rFonts w:hint="eastAsia" w:ascii="宋体" w:hAnsi="宋体" w:eastAsia="宋体" w:cs="宋体"/>
          <w:i w:val="0"/>
          <w:iCs w:val="0"/>
          <w:color w:val="auto"/>
          <w:sz w:val="24"/>
          <w:szCs w:val="24"/>
          <w:highlight w:val="none"/>
          <w:lang w:val="en-US" w:eastAsia="zh-CN"/>
        </w:rPr>
        <w:t>审</w:t>
      </w:r>
      <w:r>
        <w:rPr>
          <w:rFonts w:hint="eastAsia" w:ascii="宋体" w:hAnsi="宋体" w:eastAsia="宋体" w:cs="宋体"/>
          <w:i w:val="0"/>
          <w:iCs w:val="0"/>
          <w:color w:val="auto"/>
          <w:sz w:val="24"/>
          <w:szCs w:val="24"/>
          <w:highlight w:val="none"/>
        </w:rPr>
        <w:t>委员会对其中任何资料进一步审查的要求。</w:t>
      </w:r>
    </w:p>
    <w:p w14:paraId="3BC3A05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7供应商</w:t>
      </w:r>
      <w:r>
        <w:rPr>
          <w:rFonts w:hint="eastAsia" w:ascii="宋体" w:hAnsi="宋体" w:eastAsia="宋体" w:cs="宋体"/>
          <w:i w:val="0"/>
          <w:iCs w:val="0"/>
          <w:color w:val="auto"/>
          <w:sz w:val="24"/>
          <w:szCs w:val="24"/>
          <w:highlight w:val="none"/>
        </w:rPr>
        <w:t>在</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文件及相关文件的签订、履行、通知等事项的文件中的单位盖章、印章、公章等处均指与当事人全称相一致的标准公章，不得使用其他形式（如带有“专用章”等字样的印章）。不符合本条规定的按</w:t>
      </w:r>
      <w:r>
        <w:rPr>
          <w:rFonts w:hint="eastAsia" w:ascii="宋体" w:hAnsi="宋体" w:eastAsia="宋体" w:cs="宋体"/>
          <w:b/>
          <w:bCs/>
          <w:i w:val="0"/>
          <w:iCs w:val="0"/>
          <w:color w:val="auto"/>
          <w:sz w:val="24"/>
          <w:szCs w:val="24"/>
          <w:highlight w:val="none"/>
        </w:rPr>
        <w:t>无效</w:t>
      </w:r>
      <w:r>
        <w:rPr>
          <w:rFonts w:hint="eastAsia" w:ascii="宋体" w:hAnsi="宋体" w:eastAsia="宋体" w:cs="宋体"/>
          <w:b/>
          <w:bCs/>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处理。</w:t>
      </w:r>
    </w:p>
    <w:p w14:paraId="50D9A88C">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16.8电子响应文件的编制</w:t>
      </w:r>
    </w:p>
    <w:p w14:paraId="1DF97A52">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16.8.1电子响应文件需按竞争性磋商文件要求进行制作编制。响应文件制作时，不同内容按标签提示制作导入，按照竞争性磋商文件中明确的响应文件目录和格式进行编制，保证目录清晰、内容完整。           </w:t>
      </w:r>
    </w:p>
    <w:p w14:paraId="59305350">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16.8.2电子磋商文件及响应文件具有法律效力，与其他形式的磋商文件及响应文件在内容和格式上等同，若响应文件与竞争性磋商文件要求不一致，其内容影响成交结果时，责任由供应商自行承担。供应商递交的电子响应文件因供应商自身原因而导致无法导入电子辅助评标系统，该响应文件视为无效响应文件，</w:t>
      </w:r>
      <w:r>
        <w:rPr>
          <w:rFonts w:hint="eastAsia" w:ascii="宋体" w:hAnsi="宋体" w:eastAsia="宋体" w:cs="宋体"/>
          <w:b/>
          <w:bCs/>
          <w:i w:val="0"/>
          <w:iCs w:val="0"/>
          <w:color w:val="auto"/>
          <w:kern w:val="2"/>
          <w:sz w:val="24"/>
          <w:szCs w:val="24"/>
          <w:highlight w:val="none"/>
          <w:shd w:val="clear" w:color="auto" w:fill="FFFFFF"/>
          <w:lang w:val="en-US" w:eastAsia="zh-CN" w:bidi="ar-SA"/>
        </w:rPr>
        <w:t>其响应无效</w:t>
      </w:r>
      <w:r>
        <w:rPr>
          <w:rFonts w:hint="eastAsia" w:ascii="宋体" w:hAnsi="宋体" w:eastAsia="宋体" w:cs="宋体"/>
          <w:i w:val="0"/>
          <w:iCs w:val="0"/>
          <w:color w:val="auto"/>
          <w:kern w:val="2"/>
          <w:sz w:val="24"/>
          <w:szCs w:val="24"/>
          <w:highlight w:val="none"/>
          <w:shd w:val="clear" w:color="auto" w:fill="FFFFFF"/>
          <w:lang w:val="en-US" w:eastAsia="zh-CN" w:bidi="ar-SA"/>
        </w:rPr>
        <w:t>。</w:t>
      </w:r>
    </w:p>
    <w:p w14:paraId="16259FD1">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51" w:name="_Toc46771659"/>
      <w:bookmarkStart w:id="252" w:name="_Toc470172684"/>
      <w:bookmarkStart w:id="253" w:name="_Toc109899971"/>
      <w:bookmarkStart w:id="254" w:name="_Toc109897453"/>
      <w:bookmarkStart w:id="255" w:name="_Toc109900390"/>
      <w:bookmarkStart w:id="256" w:name="_Toc109899552"/>
      <w:bookmarkStart w:id="257" w:name="_Toc163493614"/>
      <w:r>
        <w:rPr>
          <w:rFonts w:hint="eastAsia" w:ascii="宋体" w:hAnsi="宋体" w:eastAsia="宋体" w:cs="宋体"/>
          <w:b/>
          <w:bCs/>
          <w:i w:val="0"/>
          <w:iCs w:val="0"/>
          <w:color w:val="auto"/>
          <w:kern w:val="2"/>
          <w:sz w:val="24"/>
          <w:szCs w:val="24"/>
          <w:highlight w:val="none"/>
          <w:lang w:val="en-US" w:eastAsia="zh-CN" w:bidi="ar-SA"/>
        </w:rPr>
        <w:t>（四）响应文件的</w:t>
      </w:r>
      <w:bookmarkEnd w:id="251"/>
      <w:bookmarkEnd w:id="252"/>
      <w:bookmarkEnd w:id="253"/>
      <w:bookmarkEnd w:id="254"/>
      <w:bookmarkEnd w:id="255"/>
      <w:bookmarkEnd w:id="256"/>
      <w:r>
        <w:rPr>
          <w:rFonts w:hint="eastAsia" w:ascii="宋体" w:hAnsi="宋体" w:eastAsia="宋体" w:cs="宋体"/>
          <w:b/>
          <w:bCs/>
          <w:i w:val="0"/>
          <w:iCs w:val="0"/>
          <w:color w:val="auto"/>
          <w:kern w:val="2"/>
          <w:sz w:val="24"/>
          <w:szCs w:val="24"/>
          <w:highlight w:val="none"/>
          <w:lang w:val="en-US" w:eastAsia="zh-CN" w:bidi="ar-SA"/>
        </w:rPr>
        <w:t>递交</w:t>
      </w:r>
      <w:bookmarkEnd w:id="257"/>
    </w:p>
    <w:p w14:paraId="4977234F">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58" w:name="_Toc109900489"/>
      <w:bookmarkStart w:id="259" w:name="_Toc109899651"/>
      <w:bookmarkStart w:id="260" w:name="_Toc109900070"/>
      <w:bookmarkStart w:id="261" w:name="_Toc109897552"/>
      <w:bookmarkStart w:id="262" w:name="_Toc155095707"/>
      <w:bookmarkStart w:id="263" w:name="_Toc156490296"/>
      <w:bookmarkStart w:id="264" w:name="_Toc109900071"/>
      <w:bookmarkStart w:id="265" w:name="_Toc109897553"/>
      <w:bookmarkStart w:id="266" w:name="_Toc109900490"/>
      <w:bookmarkStart w:id="267" w:name="_Toc109899652"/>
      <w:bookmarkStart w:id="268" w:name="_Toc155095708"/>
      <w:bookmarkStart w:id="269" w:name="_Toc156490297"/>
      <w:r>
        <w:rPr>
          <w:rFonts w:hint="eastAsia" w:ascii="宋体" w:hAnsi="宋体" w:eastAsia="宋体" w:cs="宋体"/>
          <w:b/>
          <w:bCs/>
          <w:i w:val="0"/>
          <w:iCs w:val="0"/>
          <w:color w:val="auto"/>
          <w:kern w:val="2"/>
          <w:sz w:val="24"/>
          <w:szCs w:val="24"/>
          <w:highlight w:val="none"/>
          <w:lang w:val="en-US" w:eastAsia="zh-CN" w:bidi="ar-SA"/>
        </w:rPr>
        <w:t>17.磋商保证金</w:t>
      </w:r>
    </w:p>
    <w:p w14:paraId="6684B32F">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17.1供应商应按照竞争性磋商文件“供应商须知前附表”规定的金额及要求交纳磋商保证金。供应商自愿超额缴纳磋商保证金的，响应文件不做无效处理。</w:t>
      </w:r>
    </w:p>
    <w:p w14:paraId="478EBCA2">
      <w:pPr>
        <w:keepNext w:val="0"/>
        <w:keepLines w:val="0"/>
        <w:pageBreakBefore w:val="0"/>
        <w:widowControl w:val="0"/>
        <w:suppressLineNumbers w:val="0"/>
        <w:kinsoku/>
        <w:overflowPunct/>
        <w:topLinePunct w:val="0"/>
        <w:autoSpaceDE/>
        <w:autoSpaceDN/>
        <w:bidi w:val="0"/>
        <w:adjustRightInd/>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17.2交纳磋商保证金可采用的形式：政府采购法律法规接受的支票、汇票、本票、网上银行支付或者金融机构、担保机构出具的保函等非现金形式。未按磋商文件要求提交磋商保证金的，其</w:t>
      </w:r>
      <w:r>
        <w:rPr>
          <w:rFonts w:hint="eastAsia" w:ascii="宋体" w:hAnsi="宋体" w:eastAsia="宋体" w:cs="宋体"/>
          <w:b/>
          <w:bCs/>
          <w:i w:val="0"/>
          <w:iCs w:val="0"/>
          <w:color w:val="auto"/>
          <w:kern w:val="2"/>
          <w:sz w:val="24"/>
          <w:szCs w:val="24"/>
          <w:highlight w:val="none"/>
          <w:shd w:val="clear" w:color="auto" w:fill="FFFFFF"/>
          <w:lang w:val="en-US" w:eastAsia="zh-CN" w:bidi="ar-SA"/>
        </w:rPr>
        <w:t>响应无效</w:t>
      </w:r>
      <w:r>
        <w:rPr>
          <w:rFonts w:hint="eastAsia" w:ascii="宋体" w:hAnsi="宋体" w:eastAsia="宋体" w:cs="宋体"/>
          <w:i w:val="0"/>
          <w:iCs w:val="0"/>
          <w:color w:val="auto"/>
          <w:kern w:val="2"/>
          <w:sz w:val="24"/>
          <w:szCs w:val="24"/>
          <w:highlight w:val="none"/>
          <w:shd w:val="clear" w:color="auto" w:fill="FFFFFF"/>
          <w:lang w:val="en-US" w:eastAsia="zh-CN" w:bidi="ar-SA"/>
        </w:rPr>
        <w:t>。</w:t>
      </w:r>
      <w:r>
        <w:rPr>
          <w:rFonts w:hint="eastAsia" w:ascii="宋体" w:hAnsi="宋体" w:eastAsia="宋体" w:cs="宋体"/>
          <w:i w:val="0"/>
          <w:iCs w:val="0"/>
          <w:color w:val="auto"/>
          <w:sz w:val="24"/>
          <w:szCs w:val="24"/>
          <w:highlight w:val="none"/>
          <w:lang w:val="en-US" w:eastAsia="zh-CN"/>
        </w:rPr>
        <w:t>磋商保证金有效期同响应文件有效期。</w:t>
      </w:r>
    </w:p>
    <w:p w14:paraId="2716EC18">
      <w:pPr>
        <w:pStyle w:val="10"/>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17.3磋商保证金到账（保函提交）截止时间同响应文件递交截止时间。以支票、汇票、本票、网上银行支付等形式提交磋商保证金的，应在响应文件递交截止时间前到账；以金融机构、担保机构出具的保函等形式提交磋商保证金的，应在响应文件递交截止时间前将磋商保证金支付原件扫描后作为响应文件的组成部分与响应文件一起上传。由于到账时间晚于响应文件递交截止时间，或者票据错误、印鉴不清等原因导致不能到账的，其</w:t>
      </w:r>
      <w:r>
        <w:rPr>
          <w:rFonts w:hint="eastAsia" w:ascii="宋体" w:hAnsi="宋体" w:eastAsia="宋体" w:cs="宋体"/>
          <w:b/>
          <w:bCs/>
          <w:i w:val="0"/>
          <w:iCs w:val="0"/>
          <w:color w:val="auto"/>
          <w:kern w:val="2"/>
          <w:sz w:val="24"/>
          <w:szCs w:val="24"/>
          <w:highlight w:val="none"/>
          <w:shd w:val="clear" w:color="auto" w:fill="FFFFFF"/>
          <w:lang w:val="en-US" w:eastAsia="zh-CN" w:bidi="ar-SA"/>
        </w:rPr>
        <w:t>响应无效</w:t>
      </w:r>
      <w:r>
        <w:rPr>
          <w:rFonts w:hint="eastAsia" w:ascii="宋体" w:hAnsi="宋体" w:eastAsia="宋体" w:cs="宋体"/>
          <w:i w:val="0"/>
          <w:iCs w:val="0"/>
          <w:color w:val="auto"/>
          <w:kern w:val="2"/>
          <w:sz w:val="24"/>
          <w:szCs w:val="24"/>
          <w:highlight w:val="none"/>
          <w:shd w:val="clear" w:color="auto" w:fill="FFFFFF"/>
          <w:lang w:val="en-US" w:eastAsia="zh-CN" w:bidi="ar-SA"/>
        </w:rPr>
        <w:t>。</w:t>
      </w:r>
    </w:p>
    <w:p w14:paraId="16756B21">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17.4 供应商为联合体的，可以由联合体中的一方或者多方共同交纳磋商保证金，其交纳的磋商保证金对联合体各方均具有约束力。 </w:t>
      </w:r>
    </w:p>
    <w:p w14:paraId="41CCF4E0">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17.5采购人或者采购代理机构应当在采购活动结束后及时退还供应商的磋商保证金，采用银行保函、担保机构担保函等形式递交的磋商保证金，经供应商同意后采购人、采购代理机构可以不再退还，但因供应商自身原因导致无法及时退还的除外。未成交供应商的磋商保证金应当自成交通知书发出之日起 5 个工作日内退还，成交供应商的磋商保证金应当自采购合同签订之日起 5 个工作日内退还。 </w:t>
      </w:r>
    </w:p>
    <w:p w14:paraId="26091E5D">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17.6 供应商在响应文件递交截止时间前撤回已提交的响应文件的，自收到供应商书面撤回通知之日起 5 个工作日内，退还已收取的磋商保证金，但因供应商自身原因导致无法及时退还的除外。 </w:t>
      </w:r>
    </w:p>
    <w:p w14:paraId="499284CA">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17.7 终止磋商的项目已经收取磋商保证金的，自终止采购活动后5个工作日内退还已收取的磋商保证金及其在银行产生的孳息。</w:t>
      </w:r>
    </w:p>
    <w:p w14:paraId="397A0CBC">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17.8有下列情形之一的，磋商保证金不予退还,</w:t>
      </w:r>
      <w:r>
        <w:rPr>
          <w:rFonts w:hint="eastAsia" w:ascii="宋体" w:hAnsi="宋体" w:eastAsia="宋体" w:cs="宋体"/>
          <w:i w:val="0"/>
          <w:iCs w:val="0"/>
          <w:color w:val="auto"/>
          <w:kern w:val="2"/>
          <w:sz w:val="24"/>
          <w:szCs w:val="24"/>
          <w:highlight w:val="none"/>
        </w:rPr>
        <w:t>情节严重的将其列入不良记录名单</w:t>
      </w:r>
      <w:r>
        <w:rPr>
          <w:rFonts w:hint="eastAsia" w:ascii="宋体" w:hAnsi="宋体" w:eastAsia="宋体" w:cs="宋体"/>
          <w:i w:val="0"/>
          <w:iCs w:val="0"/>
          <w:color w:val="auto"/>
          <w:kern w:val="2"/>
          <w:sz w:val="24"/>
          <w:szCs w:val="24"/>
          <w:highlight w:val="none"/>
          <w:shd w:val="clear" w:color="auto" w:fill="FFFFFF"/>
          <w:lang w:val="en-US" w:eastAsia="zh-CN" w:bidi="ar-SA"/>
        </w:rPr>
        <w:t xml:space="preserve">： </w:t>
      </w:r>
    </w:p>
    <w:p w14:paraId="5865466C">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17.8.1供应商在提交响应文件截止时间后撤回响应文件的； </w:t>
      </w:r>
    </w:p>
    <w:p w14:paraId="67AA7733">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17.8.2供应商在响应文件中提供虚假材料的； </w:t>
      </w:r>
    </w:p>
    <w:p w14:paraId="21AB58B9">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17.8.3除因不可抗力或磋商文件认可的情形以外，成交供应商不与采购人签订合同的； </w:t>
      </w:r>
    </w:p>
    <w:p w14:paraId="07338387">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 xml:space="preserve">17.8.4供应商与采购人、其他供应商或者采购代理机构恶意串通的； </w:t>
      </w:r>
    </w:p>
    <w:p w14:paraId="3DE06863">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17.8.5磋商文件规定的其他情形。</w:t>
      </w:r>
    </w:p>
    <w:p w14:paraId="43FFC5DF">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17.9如开启时供应商对本单位磋商保证金缴纳情况有疑义，供应商应在开启结束前向采购人提交书面申请核实保证金缴纳情况。由银行或保险公司核实后出具书面材料予以答复。</w:t>
      </w:r>
    </w:p>
    <w:p w14:paraId="69C05F7F">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17.10为支持和促进中小企业发展，进一步发挥政府采购政策功能，鼓励供应商使用电子保函代替现金缴纳磋商保证金，在线完成保函的申请、审核、开票、出函等环节，供应商企业注意区分办理保函类型，并确认响应文件有效期，如采用政采云电子保函，可登录“新疆政府采购网”—顶部通栏“信用融资”或者“新疆政府采购网”首页“政采贷—电子保函”快捷模块查看：</w:t>
      </w:r>
    </w:p>
    <w:p w14:paraId="19D6BE22">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直达链接（电子保函）：</w:t>
      </w:r>
    </w:p>
    <w:p w14:paraId="2D794B80">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 w:val="0"/>
          <w:iCs w:val="0"/>
          <w:color w:val="auto"/>
          <w:kern w:val="2"/>
          <w:sz w:val="24"/>
          <w:szCs w:val="24"/>
          <w:highlight w:val="none"/>
          <w:shd w:val="clear" w:color="auto" w:fill="FFFFFF"/>
          <w:lang w:val="en-US" w:eastAsia="zh-CN" w:bidi="ar-SA"/>
        </w:rPr>
        <w:t>https://jinrong.zcygov.cn/luban/finance/xinjiang?utm=site.site-PC-4838.1473-pc-wsg-customFloatWindow-front.1.b9d627301e6311efb796b33a13fe0d0a</w:t>
      </w:r>
    </w:p>
    <w:p w14:paraId="79937C9E">
      <w:pPr>
        <w:pStyle w:val="63"/>
        <w:keepNext w:val="0"/>
        <w:keepLines w:val="0"/>
        <w:pageBreakBefore w:val="0"/>
        <w:widowControl w:val="0"/>
        <w:shd w:val="clear" w:color="auto" w:fill="auto"/>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i w:val="0"/>
          <w:iCs w:val="0"/>
          <w:color w:val="auto"/>
          <w:kern w:val="2"/>
          <w:sz w:val="24"/>
          <w:szCs w:val="24"/>
          <w:highlight w:val="none"/>
          <w:shd w:val="clear" w:color="auto" w:fill="FFFFFF"/>
          <w:lang w:val="en-US" w:eastAsia="zh-CN" w:bidi="ar-SA"/>
        </w:rPr>
      </w:pPr>
      <w:r>
        <w:rPr>
          <w:rFonts w:hint="eastAsia" w:ascii="宋体" w:hAnsi="宋体" w:eastAsia="宋体" w:cs="宋体"/>
          <w:iCs/>
          <w:color w:val="auto"/>
          <w:kern w:val="2"/>
          <w:sz w:val="24"/>
          <w:szCs w:val="24"/>
          <w:highlight w:val="none"/>
          <w:shd w:val="clear" w:color="auto" w:fill="FFFFFF"/>
          <w:lang w:val="en-US" w:eastAsia="zh-CN" w:bidi="ar-SA"/>
        </w:rPr>
        <w:t>金融服务支撑热线：</w:t>
      </w:r>
      <w:r>
        <w:rPr>
          <w:rFonts w:hint="eastAsia" w:ascii="宋体" w:hAnsi="宋体" w:eastAsia="宋体" w:cs="宋体"/>
          <w:b/>
          <w:bCs/>
          <w:iCs/>
          <w:color w:val="auto"/>
          <w:kern w:val="2"/>
          <w:sz w:val="24"/>
          <w:szCs w:val="24"/>
          <w:highlight w:val="none"/>
          <w:shd w:val="clear" w:color="auto" w:fill="FFFFFF"/>
          <w:lang w:val="en-US" w:eastAsia="zh-CN" w:bidi="ar-SA"/>
        </w:rPr>
        <w:t>95763</w:t>
      </w:r>
    </w:p>
    <w:p w14:paraId="0CC2E36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18.响应文件的</w:t>
      </w:r>
      <w:bookmarkEnd w:id="258"/>
      <w:bookmarkEnd w:id="259"/>
      <w:bookmarkEnd w:id="260"/>
      <w:bookmarkEnd w:id="261"/>
      <w:r>
        <w:rPr>
          <w:rFonts w:hint="eastAsia" w:ascii="宋体" w:hAnsi="宋体" w:eastAsia="宋体" w:cs="宋体"/>
          <w:b/>
          <w:bCs/>
          <w:i w:val="0"/>
          <w:iCs w:val="0"/>
          <w:color w:val="auto"/>
          <w:kern w:val="2"/>
          <w:sz w:val="24"/>
          <w:szCs w:val="24"/>
          <w:highlight w:val="none"/>
          <w:lang w:val="en-US" w:eastAsia="zh-CN" w:bidi="ar-SA"/>
        </w:rPr>
        <w:t>加密</w:t>
      </w:r>
      <w:bookmarkEnd w:id="262"/>
      <w:bookmarkEnd w:id="263"/>
    </w:p>
    <w:p w14:paraId="4843C76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18.1 供应商在</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zh-CN"/>
        </w:rPr>
        <w:t>中生成响应文件并完成签章之后，使用CA证书在</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zh-CN"/>
        </w:rPr>
        <w:t>中对响应文件进行加密。</w:t>
      </w:r>
    </w:p>
    <w:p w14:paraId="617C28B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18.2 供应商应在</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zh-CN"/>
        </w:rPr>
        <w:t>中对加密的响应文件进行解密验证，以防止响应文件加密异常，在开启时无法解密。</w:t>
      </w:r>
    </w:p>
    <w:p w14:paraId="1A7FF4CE">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18.3 供应商应保证加密响应文件的CA证书有效期在开启时间之前。若CA证书有效期临近开启时间，建议供应商提前办理CA证书续期，以免开启时无法进行解密。</w:t>
      </w:r>
    </w:p>
    <w:p w14:paraId="545575EC">
      <w:pPr>
        <w:keepNext w:val="0"/>
        <w:keepLines w:val="0"/>
        <w:pageBreakBefore w:val="0"/>
        <w:widowControl w:val="0"/>
        <w:kinsoku/>
        <w:wordWrap w:val="0"/>
        <w:overflowPunct/>
        <w:topLinePunct w:val="0"/>
        <w:autoSpaceDE/>
        <w:autoSpaceDN/>
        <w:bidi w:val="0"/>
        <w:adjustRightInd/>
        <w:snapToGrid/>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供应商</w:t>
      </w:r>
      <w:r>
        <w:rPr>
          <w:rFonts w:hint="eastAsia" w:ascii="宋体" w:hAnsi="宋体" w:eastAsia="宋体" w:cs="宋体"/>
          <w:i w:val="0"/>
          <w:iCs w:val="0"/>
          <w:color w:val="auto"/>
          <w:sz w:val="24"/>
          <w:szCs w:val="24"/>
          <w:highlight w:val="none"/>
        </w:rPr>
        <w:t>在</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lang w:eastAsia="zh-CN"/>
        </w:rPr>
        <w:t>文件</w:t>
      </w:r>
      <w:r>
        <w:rPr>
          <w:rFonts w:hint="eastAsia" w:ascii="宋体" w:hAnsi="宋体" w:eastAsia="宋体" w:cs="宋体"/>
          <w:i w:val="0"/>
          <w:iCs w:val="0"/>
          <w:color w:val="auto"/>
          <w:sz w:val="24"/>
          <w:szCs w:val="24"/>
          <w:highlight w:val="none"/>
        </w:rPr>
        <w:t>递交截</w:t>
      </w:r>
      <w:r>
        <w:rPr>
          <w:rFonts w:hint="eastAsia" w:ascii="宋体" w:hAnsi="宋体" w:eastAsia="宋体" w:cs="宋体"/>
          <w:i w:val="0"/>
          <w:iCs w:val="0"/>
          <w:color w:val="auto"/>
          <w:sz w:val="24"/>
          <w:szCs w:val="24"/>
          <w:highlight w:val="none"/>
          <w:lang w:val="en-US" w:eastAsia="zh-CN"/>
        </w:rPr>
        <w:t>止</w:t>
      </w:r>
      <w:r>
        <w:rPr>
          <w:rFonts w:hint="eastAsia" w:ascii="宋体" w:hAnsi="宋体" w:eastAsia="宋体" w:cs="宋体"/>
          <w:i w:val="0"/>
          <w:iCs w:val="0"/>
          <w:color w:val="auto"/>
          <w:sz w:val="24"/>
          <w:szCs w:val="24"/>
          <w:highlight w:val="none"/>
        </w:rPr>
        <w:t>时间前通过</w:t>
      </w:r>
      <w:r>
        <w:rPr>
          <w:rFonts w:hint="eastAsia" w:cs="宋体"/>
          <w:i w:val="0"/>
          <w:iCs w:val="0"/>
          <w:color w:val="auto"/>
          <w:sz w:val="24"/>
          <w:szCs w:val="24"/>
          <w:highlight w:val="none"/>
          <w:lang w:val="en-US" w:eastAsia="zh-CN"/>
        </w:rPr>
        <w:t>新疆</w:t>
      </w:r>
      <w:r>
        <w:rPr>
          <w:rFonts w:hint="eastAsia" w:ascii="宋体" w:hAnsi="宋体" w:eastAsia="宋体" w:cs="宋体"/>
          <w:i w:val="0"/>
          <w:iCs w:val="0"/>
          <w:color w:val="auto"/>
          <w:sz w:val="24"/>
          <w:szCs w:val="24"/>
          <w:highlight w:val="none"/>
        </w:rPr>
        <w:t>政府采购网（http://ccgp-</w:t>
      </w:r>
      <w:r>
        <w:rPr>
          <w:rFonts w:hint="eastAsia" w:cs="宋体"/>
          <w:i w:val="0"/>
          <w:iCs w:val="0"/>
          <w:color w:val="auto"/>
          <w:sz w:val="24"/>
          <w:szCs w:val="24"/>
          <w:highlight w:val="none"/>
          <w:lang w:val="en-US" w:eastAsia="zh-CN"/>
        </w:rPr>
        <w:t>xinjiang</w:t>
      </w:r>
      <w:r>
        <w:rPr>
          <w:rFonts w:hint="eastAsia" w:ascii="宋体" w:hAnsi="宋体" w:eastAsia="宋体" w:cs="宋体"/>
          <w:i w:val="0"/>
          <w:iCs w:val="0"/>
          <w:color w:val="auto"/>
          <w:sz w:val="24"/>
          <w:szCs w:val="24"/>
          <w:highlight w:val="none"/>
        </w:rPr>
        <w:t>.gov.cn/）的”政采云登录入口”登录后，将加密电子</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lang w:eastAsia="zh-CN"/>
        </w:rPr>
        <w:t>文件</w:t>
      </w:r>
      <w:r>
        <w:rPr>
          <w:rFonts w:hint="eastAsia" w:ascii="宋体" w:hAnsi="宋体" w:eastAsia="宋体" w:cs="宋体"/>
          <w:i w:val="0"/>
          <w:iCs w:val="0"/>
          <w:color w:val="auto"/>
          <w:sz w:val="24"/>
          <w:szCs w:val="24"/>
          <w:highlight w:val="none"/>
        </w:rPr>
        <w:t>（为.jmbs后缀格式）上传到对应项目的指定位置</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认为有必要提交的其他资料请于</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lang w:eastAsia="zh-CN"/>
        </w:rPr>
        <w:t>文件</w:t>
      </w:r>
      <w:r>
        <w:rPr>
          <w:rFonts w:hint="eastAsia" w:ascii="宋体" w:hAnsi="宋体" w:eastAsia="宋体" w:cs="宋体"/>
          <w:i w:val="0"/>
          <w:iCs w:val="0"/>
          <w:color w:val="auto"/>
          <w:sz w:val="24"/>
          <w:szCs w:val="24"/>
          <w:highlight w:val="none"/>
        </w:rPr>
        <w:t>递交截止时间前一并提交。</w:t>
      </w:r>
    </w:p>
    <w:p w14:paraId="59CC1BC8">
      <w:pPr>
        <w:keepNext w:val="0"/>
        <w:keepLines w:val="0"/>
        <w:pageBreakBefore w:val="0"/>
        <w:widowControl w:val="0"/>
        <w:kinsoku/>
        <w:overflowPunct/>
        <w:topLinePunct w:val="0"/>
        <w:autoSpaceDE/>
        <w:autoSpaceDN/>
        <w:bidi w:val="0"/>
        <w:adjustRightInd/>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如果</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未按上述要求</w:t>
      </w:r>
      <w:r>
        <w:rPr>
          <w:rFonts w:hint="eastAsia" w:ascii="宋体" w:hAnsi="宋体" w:eastAsia="宋体" w:cs="宋体"/>
          <w:i w:val="0"/>
          <w:iCs w:val="0"/>
          <w:color w:val="auto"/>
          <w:sz w:val="24"/>
          <w:szCs w:val="24"/>
          <w:highlight w:val="none"/>
          <w:lang w:val="en-US" w:eastAsia="zh-CN"/>
        </w:rPr>
        <w:t>加密并上传</w:t>
      </w:r>
      <w:r>
        <w:rPr>
          <w:rFonts w:hint="eastAsia" w:ascii="宋体" w:hAnsi="宋体" w:eastAsia="宋体" w:cs="宋体"/>
          <w:i w:val="0"/>
          <w:iCs w:val="0"/>
          <w:color w:val="auto"/>
          <w:sz w:val="24"/>
          <w:szCs w:val="24"/>
          <w:highlight w:val="none"/>
        </w:rPr>
        <w:t>，采购代理机构对</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文件的误投</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无法解密、传输错误等问题</w:t>
      </w:r>
      <w:r>
        <w:rPr>
          <w:rFonts w:hint="eastAsia" w:ascii="宋体" w:hAnsi="宋体" w:eastAsia="宋体" w:cs="宋体"/>
          <w:i w:val="0"/>
          <w:iCs w:val="0"/>
          <w:color w:val="auto"/>
          <w:sz w:val="24"/>
          <w:szCs w:val="24"/>
          <w:highlight w:val="none"/>
        </w:rPr>
        <w:t>概不负责。对由此造成</w:t>
      </w:r>
      <w:r>
        <w:rPr>
          <w:rFonts w:hint="eastAsia" w:ascii="宋体" w:hAnsi="宋体" w:eastAsia="宋体" w:cs="宋体"/>
          <w:i w:val="0"/>
          <w:iCs w:val="0"/>
          <w:color w:val="auto"/>
          <w:sz w:val="24"/>
          <w:szCs w:val="24"/>
          <w:highlight w:val="none"/>
          <w:lang w:val="en-US" w:eastAsia="zh-CN"/>
        </w:rPr>
        <w:t>无法正常开启</w:t>
      </w:r>
      <w:r>
        <w:rPr>
          <w:rFonts w:hint="eastAsia" w:ascii="宋体" w:hAnsi="宋体" w:eastAsia="宋体" w:cs="宋体"/>
          <w:i w:val="0"/>
          <w:iCs w:val="0"/>
          <w:color w:val="auto"/>
          <w:sz w:val="24"/>
          <w:szCs w:val="24"/>
          <w:highlight w:val="none"/>
        </w:rPr>
        <w:t>的</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文件，采购代理机构有权予以拒绝，并退回</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w:t>
      </w:r>
    </w:p>
    <w:p w14:paraId="138DA62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本项目采用不见面开</w:t>
      </w:r>
      <w:r>
        <w:rPr>
          <w:rFonts w:hint="eastAsia" w:ascii="宋体" w:hAnsi="宋体" w:eastAsia="宋体" w:cs="宋体"/>
          <w:i w:val="0"/>
          <w:iCs w:val="0"/>
          <w:color w:val="auto"/>
          <w:sz w:val="24"/>
          <w:szCs w:val="24"/>
          <w:highlight w:val="none"/>
          <w:lang w:val="en-US" w:eastAsia="zh-CN"/>
        </w:rPr>
        <w:t>启</w:t>
      </w:r>
      <w:r>
        <w:rPr>
          <w:rFonts w:hint="eastAsia" w:ascii="宋体" w:hAnsi="宋体" w:eastAsia="宋体" w:cs="宋体"/>
          <w:i w:val="0"/>
          <w:iCs w:val="0"/>
          <w:color w:val="auto"/>
          <w:sz w:val="24"/>
          <w:szCs w:val="24"/>
          <w:highlight w:val="none"/>
        </w:rPr>
        <w:t>方式，无需提供电子</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文件U盘。</w:t>
      </w:r>
    </w:p>
    <w:p w14:paraId="305F47E1">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19.响应文件的</w:t>
      </w:r>
      <w:bookmarkEnd w:id="264"/>
      <w:bookmarkEnd w:id="265"/>
      <w:bookmarkEnd w:id="266"/>
      <w:bookmarkEnd w:id="267"/>
      <w:r>
        <w:rPr>
          <w:rFonts w:hint="eastAsia" w:ascii="宋体" w:hAnsi="宋体" w:eastAsia="宋体" w:cs="宋体"/>
          <w:b/>
          <w:bCs/>
          <w:i w:val="0"/>
          <w:iCs w:val="0"/>
          <w:color w:val="auto"/>
          <w:kern w:val="2"/>
          <w:sz w:val="24"/>
          <w:szCs w:val="24"/>
          <w:highlight w:val="none"/>
          <w:lang w:val="en-US" w:eastAsia="zh-CN" w:bidi="ar-SA"/>
        </w:rPr>
        <w:t>递交</w:t>
      </w:r>
      <w:bookmarkEnd w:id="268"/>
      <w:bookmarkEnd w:id="269"/>
      <w:r>
        <w:rPr>
          <w:rFonts w:hint="eastAsia" w:ascii="宋体" w:hAnsi="宋体" w:eastAsia="宋体" w:cs="宋体"/>
          <w:b/>
          <w:bCs/>
          <w:i w:val="0"/>
          <w:iCs w:val="0"/>
          <w:color w:val="auto"/>
          <w:kern w:val="2"/>
          <w:sz w:val="24"/>
          <w:szCs w:val="24"/>
          <w:highlight w:val="none"/>
          <w:lang w:val="en-US" w:eastAsia="zh-CN" w:bidi="ar-SA"/>
        </w:rPr>
        <w:t>（上传）</w:t>
      </w:r>
    </w:p>
    <w:p w14:paraId="68C9F23A">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19.1 供应商应在“</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color w:val="auto"/>
          <w:sz w:val="24"/>
          <w:szCs w:val="24"/>
          <w:highlight w:val="none"/>
        </w:rPr>
        <w:t>”规定的响应文件递交截止时间前递交（上传）响应文件。</w:t>
      </w:r>
    </w:p>
    <w:p w14:paraId="5DBD7705">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19.2 供应商递交（上传）响应文件的地点见“</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color w:val="auto"/>
          <w:sz w:val="24"/>
          <w:szCs w:val="24"/>
          <w:highlight w:val="none"/>
        </w:rPr>
        <w:t>”。</w:t>
      </w:r>
    </w:p>
    <w:p w14:paraId="5396E887">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19.3供应商应充分评估集中同时递交响应文件带来的网络影响，尽量避开递交响应文件高峰时间，错峰进行递交。供应商递交全部的响应文件后可在政采云平台（项目采购</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投标文件上传）中获取响应文件递交回执单。</w:t>
      </w:r>
    </w:p>
    <w:p w14:paraId="5726EBAD">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19.4 供应商应在</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color w:val="auto"/>
          <w:sz w:val="24"/>
          <w:szCs w:val="24"/>
          <w:highlight w:val="none"/>
        </w:rPr>
        <w:t>中下载未加密且完成签章的响应文件妥善保存，以便启动应急开启程序时使用。</w:t>
      </w:r>
    </w:p>
    <w:p w14:paraId="7DAFC1F3">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19.5供应商所递交的响应文件不予退还。</w:t>
      </w:r>
    </w:p>
    <w:p w14:paraId="68E5B918">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70" w:name="_Toc156490298"/>
      <w:bookmarkStart w:id="271" w:name="_Toc155095709"/>
      <w:r>
        <w:rPr>
          <w:rFonts w:hint="eastAsia" w:ascii="宋体" w:hAnsi="宋体" w:eastAsia="宋体" w:cs="宋体"/>
          <w:b/>
          <w:bCs/>
          <w:i w:val="0"/>
          <w:iCs w:val="0"/>
          <w:color w:val="auto"/>
          <w:kern w:val="2"/>
          <w:sz w:val="24"/>
          <w:szCs w:val="24"/>
          <w:highlight w:val="none"/>
          <w:lang w:val="en-US" w:eastAsia="zh-CN" w:bidi="ar-SA"/>
        </w:rPr>
        <w:t>20.拒收</w:t>
      </w:r>
      <w:bookmarkEnd w:id="270"/>
      <w:bookmarkEnd w:id="271"/>
    </w:p>
    <w:p w14:paraId="0157C37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20.1超过递交响应文件的截止时间或者不按照本章要求加密的响应文件，交易系统应当拒收。</w:t>
      </w:r>
    </w:p>
    <w:p w14:paraId="5715CAF3">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72" w:name="_Toc109900492"/>
      <w:bookmarkStart w:id="273" w:name="_Toc109897555"/>
      <w:bookmarkStart w:id="274" w:name="_Toc109900073"/>
      <w:bookmarkStart w:id="275" w:name="_Toc109899654"/>
      <w:bookmarkStart w:id="276" w:name="_Toc155095710"/>
      <w:bookmarkStart w:id="277" w:name="_Toc156490299"/>
      <w:r>
        <w:rPr>
          <w:rFonts w:hint="eastAsia" w:ascii="宋体" w:hAnsi="宋体" w:eastAsia="宋体" w:cs="宋体"/>
          <w:b/>
          <w:bCs/>
          <w:i w:val="0"/>
          <w:iCs w:val="0"/>
          <w:color w:val="auto"/>
          <w:kern w:val="2"/>
          <w:sz w:val="24"/>
          <w:szCs w:val="24"/>
          <w:highlight w:val="none"/>
          <w:lang w:val="en-US" w:eastAsia="zh-CN" w:bidi="ar-SA"/>
        </w:rPr>
        <w:t>21.响应文件的修改与撤回</w:t>
      </w:r>
      <w:bookmarkEnd w:id="272"/>
      <w:bookmarkEnd w:id="273"/>
      <w:bookmarkEnd w:id="274"/>
      <w:bookmarkEnd w:id="275"/>
      <w:bookmarkEnd w:id="276"/>
      <w:bookmarkEnd w:id="277"/>
    </w:p>
    <w:p w14:paraId="22707113">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2</w:t>
      </w:r>
      <w:r>
        <w:rPr>
          <w:rFonts w:hint="eastAsia" w:ascii="宋体" w:hAnsi="宋体" w:eastAsia="宋体" w:cs="宋体"/>
          <w:i w:val="0"/>
          <w:iCs w:val="0"/>
          <w:snapToGrid w:val="0"/>
          <w:color w:val="auto"/>
          <w:sz w:val="24"/>
          <w:szCs w:val="24"/>
          <w:highlight w:val="none"/>
          <w:lang w:val="zh-CN" w:eastAsia="zh-CN"/>
        </w:rPr>
        <w:t>1</w:t>
      </w:r>
      <w:r>
        <w:rPr>
          <w:rFonts w:hint="eastAsia" w:ascii="宋体" w:hAnsi="宋体" w:eastAsia="宋体" w:cs="宋体"/>
          <w:i w:val="0"/>
          <w:iCs w:val="0"/>
          <w:snapToGrid w:val="0"/>
          <w:color w:val="auto"/>
          <w:sz w:val="24"/>
          <w:szCs w:val="24"/>
          <w:highlight w:val="none"/>
          <w:lang w:val="zh-CN"/>
        </w:rPr>
        <w:t>.1</w:t>
      </w:r>
      <w:bookmarkStart w:id="278" w:name="_Hlk143532466"/>
      <w:r>
        <w:rPr>
          <w:rFonts w:hint="eastAsia" w:ascii="宋体" w:hAnsi="宋体" w:eastAsia="宋体" w:cs="宋体"/>
          <w:i w:val="0"/>
          <w:iCs w:val="0"/>
          <w:snapToGrid w:val="0"/>
          <w:color w:val="auto"/>
          <w:sz w:val="24"/>
          <w:szCs w:val="24"/>
          <w:highlight w:val="none"/>
          <w:lang w:val="zh-CN" w:eastAsia="zh-CN"/>
        </w:rPr>
        <w:t>供应商</w:t>
      </w:r>
      <w:r>
        <w:rPr>
          <w:rFonts w:hint="eastAsia" w:ascii="宋体" w:hAnsi="宋体" w:eastAsia="宋体" w:cs="宋体"/>
          <w:i w:val="0"/>
          <w:iCs w:val="0"/>
          <w:snapToGrid w:val="0"/>
          <w:color w:val="auto"/>
          <w:sz w:val="24"/>
          <w:szCs w:val="24"/>
          <w:highlight w:val="none"/>
          <w:lang w:val="zh-CN"/>
        </w:rPr>
        <w:t>在</w:t>
      </w:r>
      <w:r>
        <w:rPr>
          <w:rFonts w:hint="eastAsia" w:ascii="宋体" w:hAnsi="宋体" w:eastAsia="宋体" w:cs="宋体"/>
          <w:i w:val="0"/>
          <w:iCs w:val="0"/>
          <w:snapToGrid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snapToGrid w:val="0"/>
          <w:color w:val="auto"/>
          <w:sz w:val="24"/>
          <w:szCs w:val="24"/>
          <w:highlight w:val="none"/>
          <w:lang w:val="zh-CN" w:eastAsia="zh-CN"/>
        </w:rPr>
        <w:t>”</w:t>
      </w:r>
      <w:r>
        <w:rPr>
          <w:rFonts w:hint="eastAsia" w:ascii="宋体" w:hAnsi="宋体" w:eastAsia="宋体" w:cs="宋体"/>
          <w:i w:val="0"/>
          <w:iCs w:val="0"/>
          <w:snapToGrid w:val="0"/>
          <w:color w:val="auto"/>
          <w:sz w:val="24"/>
          <w:szCs w:val="24"/>
          <w:highlight w:val="none"/>
          <w:lang w:val="zh-CN"/>
        </w:rPr>
        <w:t>规定的</w:t>
      </w:r>
      <w:r>
        <w:rPr>
          <w:rFonts w:hint="eastAsia" w:ascii="宋体" w:hAnsi="宋体" w:eastAsia="宋体" w:cs="宋体"/>
          <w:i w:val="0"/>
          <w:iCs w:val="0"/>
          <w:snapToGrid w:val="0"/>
          <w:color w:val="auto"/>
          <w:sz w:val="24"/>
          <w:szCs w:val="24"/>
          <w:highlight w:val="none"/>
          <w:lang w:val="en-US" w:eastAsia="zh-CN"/>
        </w:rPr>
        <w:t>响应</w:t>
      </w:r>
      <w:r>
        <w:rPr>
          <w:rFonts w:hint="eastAsia" w:ascii="宋体" w:hAnsi="宋体" w:eastAsia="宋体" w:cs="宋体"/>
          <w:i w:val="0"/>
          <w:iCs w:val="0"/>
          <w:snapToGrid w:val="0"/>
          <w:color w:val="auto"/>
          <w:sz w:val="24"/>
          <w:szCs w:val="24"/>
          <w:highlight w:val="none"/>
          <w:lang w:val="zh-CN" w:eastAsia="zh-CN"/>
        </w:rPr>
        <w:t>文件</w:t>
      </w:r>
      <w:r>
        <w:rPr>
          <w:rFonts w:hint="eastAsia" w:ascii="宋体" w:hAnsi="宋体" w:eastAsia="宋体" w:cs="宋体"/>
          <w:i w:val="0"/>
          <w:iCs w:val="0"/>
          <w:snapToGrid w:val="0"/>
          <w:color w:val="auto"/>
          <w:sz w:val="24"/>
          <w:szCs w:val="24"/>
          <w:highlight w:val="none"/>
          <w:lang w:val="zh-CN"/>
        </w:rPr>
        <w:t>递交截止时间之前，可在</w:t>
      </w:r>
      <w:r>
        <w:rPr>
          <w:rFonts w:hint="eastAsia" w:cs="宋体"/>
          <w:i w:val="0"/>
          <w:iCs w:val="0"/>
          <w:snapToGrid w:val="0"/>
          <w:color w:val="auto"/>
          <w:sz w:val="24"/>
          <w:szCs w:val="24"/>
          <w:highlight w:val="none"/>
          <w:lang w:val="zh-CN"/>
        </w:rPr>
        <w:t>新疆</w:t>
      </w:r>
      <w:r>
        <w:rPr>
          <w:rFonts w:hint="eastAsia" w:ascii="宋体" w:hAnsi="宋体" w:eastAsia="宋体" w:cs="宋体"/>
          <w:i w:val="0"/>
          <w:iCs w:val="0"/>
          <w:snapToGrid w:val="0"/>
          <w:color w:val="auto"/>
          <w:sz w:val="24"/>
          <w:szCs w:val="24"/>
          <w:highlight w:val="none"/>
          <w:lang w:val="zh-CN"/>
        </w:rPr>
        <w:t>政府采购电子交易云平台上随时撤回已上传的电子</w:t>
      </w:r>
      <w:r>
        <w:rPr>
          <w:rFonts w:hint="eastAsia" w:ascii="宋体" w:hAnsi="宋体" w:eastAsia="宋体" w:cs="宋体"/>
          <w:i w:val="0"/>
          <w:iCs w:val="0"/>
          <w:snapToGrid w:val="0"/>
          <w:color w:val="auto"/>
          <w:sz w:val="24"/>
          <w:szCs w:val="24"/>
          <w:highlight w:val="none"/>
          <w:lang w:val="en-US" w:eastAsia="zh-CN"/>
        </w:rPr>
        <w:t>响应</w:t>
      </w:r>
      <w:r>
        <w:rPr>
          <w:rFonts w:hint="eastAsia" w:ascii="宋体" w:hAnsi="宋体" w:eastAsia="宋体" w:cs="宋体"/>
          <w:i w:val="0"/>
          <w:iCs w:val="0"/>
          <w:snapToGrid w:val="0"/>
          <w:color w:val="auto"/>
          <w:sz w:val="24"/>
          <w:szCs w:val="24"/>
          <w:highlight w:val="none"/>
          <w:lang w:val="zh-CN" w:eastAsia="zh-CN"/>
        </w:rPr>
        <w:t>文件</w:t>
      </w:r>
      <w:r>
        <w:rPr>
          <w:rFonts w:hint="eastAsia" w:ascii="宋体" w:hAnsi="宋体" w:eastAsia="宋体" w:cs="宋体"/>
          <w:i w:val="0"/>
          <w:iCs w:val="0"/>
          <w:snapToGrid w:val="0"/>
          <w:color w:val="auto"/>
          <w:sz w:val="24"/>
          <w:szCs w:val="24"/>
          <w:highlight w:val="none"/>
          <w:lang w:val="zh-CN"/>
        </w:rPr>
        <w:t>，将修改好的电子</w:t>
      </w:r>
      <w:r>
        <w:rPr>
          <w:rFonts w:hint="eastAsia" w:ascii="宋体" w:hAnsi="宋体" w:eastAsia="宋体" w:cs="宋体"/>
          <w:i w:val="0"/>
          <w:iCs w:val="0"/>
          <w:snapToGrid w:val="0"/>
          <w:color w:val="auto"/>
          <w:sz w:val="24"/>
          <w:szCs w:val="24"/>
          <w:highlight w:val="none"/>
          <w:lang w:val="en-US" w:eastAsia="zh-CN"/>
        </w:rPr>
        <w:t>响应</w:t>
      </w:r>
      <w:r>
        <w:rPr>
          <w:rFonts w:hint="eastAsia" w:ascii="宋体" w:hAnsi="宋体" w:eastAsia="宋体" w:cs="宋体"/>
          <w:i w:val="0"/>
          <w:iCs w:val="0"/>
          <w:snapToGrid w:val="0"/>
          <w:color w:val="auto"/>
          <w:sz w:val="24"/>
          <w:szCs w:val="24"/>
          <w:highlight w:val="none"/>
          <w:lang w:val="zh-CN" w:eastAsia="zh-CN"/>
        </w:rPr>
        <w:t>文件</w:t>
      </w:r>
      <w:r>
        <w:rPr>
          <w:rFonts w:hint="eastAsia" w:ascii="宋体" w:hAnsi="宋体" w:eastAsia="宋体" w:cs="宋体"/>
          <w:i w:val="0"/>
          <w:iCs w:val="0"/>
          <w:snapToGrid w:val="0"/>
          <w:color w:val="auto"/>
          <w:sz w:val="24"/>
          <w:szCs w:val="24"/>
          <w:highlight w:val="none"/>
          <w:lang w:val="zh-CN"/>
        </w:rPr>
        <w:t>在</w:t>
      </w:r>
      <w:r>
        <w:rPr>
          <w:rFonts w:hint="eastAsia" w:ascii="宋体" w:hAnsi="宋体" w:eastAsia="宋体" w:cs="宋体"/>
          <w:i w:val="0"/>
          <w:iCs w:val="0"/>
          <w:snapToGrid w:val="0"/>
          <w:color w:val="auto"/>
          <w:sz w:val="24"/>
          <w:szCs w:val="24"/>
          <w:highlight w:val="none"/>
          <w:lang w:val="en-US" w:eastAsia="zh-CN"/>
        </w:rPr>
        <w:t>响应</w:t>
      </w:r>
      <w:r>
        <w:rPr>
          <w:rFonts w:hint="eastAsia" w:ascii="宋体" w:hAnsi="宋体" w:eastAsia="宋体" w:cs="宋体"/>
          <w:i w:val="0"/>
          <w:iCs w:val="0"/>
          <w:snapToGrid w:val="0"/>
          <w:color w:val="auto"/>
          <w:sz w:val="24"/>
          <w:szCs w:val="24"/>
          <w:highlight w:val="none"/>
          <w:lang w:val="zh-CN" w:eastAsia="zh-CN"/>
        </w:rPr>
        <w:t>文件</w:t>
      </w:r>
      <w:r>
        <w:rPr>
          <w:rFonts w:hint="eastAsia" w:ascii="宋体" w:hAnsi="宋体" w:eastAsia="宋体" w:cs="宋体"/>
          <w:i w:val="0"/>
          <w:iCs w:val="0"/>
          <w:snapToGrid w:val="0"/>
          <w:color w:val="auto"/>
          <w:sz w:val="24"/>
          <w:szCs w:val="24"/>
          <w:highlight w:val="none"/>
          <w:lang w:val="zh-CN"/>
        </w:rPr>
        <w:t>递交截止时间前重新上传到</w:t>
      </w:r>
      <w:r>
        <w:rPr>
          <w:rFonts w:hint="eastAsia" w:cs="宋体"/>
          <w:i w:val="0"/>
          <w:iCs w:val="0"/>
          <w:snapToGrid w:val="0"/>
          <w:color w:val="auto"/>
          <w:sz w:val="24"/>
          <w:szCs w:val="24"/>
          <w:highlight w:val="none"/>
          <w:lang w:val="zh-CN"/>
        </w:rPr>
        <w:t>新疆</w:t>
      </w:r>
      <w:r>
        <w:rPr>
          <w:rFonts w:hint="eastAsia" w:ascii="宋体" w:hAnsi="宋体" w:eastAsia="宋体" w:cs="宋体"/>
          <w:i w:val="0"/>
          <w:iCs w:val="0"/>
          <w:snapToGrid w:val="0"/>
          <w:color w:val="auto"/>
          <w:sz w:val="24"/>
          <w:szCs w:val="24"/>
          <w:highlight w:val="none"/>
          <w:lang w:val="zh-CN"/>
        </w:rPr>
        <w:t>政府采购电子交易云平台的</w:t>
      </w:r>
      <w:r>
        <w:rPr>
          <w:rFonts w:hint="eastAsia" w:ascii="宋体" w:hAnsi="宋体" w:eastAsia="宋体" w:cs="宋体"/>
          <w:i w:val="0"/>
          <w:iCs w:val="0"/>
          <w:snapToGrid w:val="0"/>
          <w:color w:val="auto"/>
          <w:sz w:val="24"/>
          <w:szCs w:val="24"/>
          <w:highlight w:val="none"/>
          <w:lang w:val="zh-CN" w:eastAsia="zh-CN"/>
        </w:rPr>
        <w:t>指</w:t>
      </w:r>
      <w:r>
        <w:rPr>
          <w:rFonts w:hint="eastAsia" w:ascii="宋体" w:hAnsi="宋体" w:eastAsia="宋体" w:cs="宋体"/>
          <w:i w:val="0"/>
          <w:iCs w:val="0"/>
          <w:snapToGrid w:val="0"/>
          <w:color w:val="auto"/>
          <w:sz w:val="24"/>
          <w:szCs w:val="24"/>
          <w:highlight w:val="none"/>
          <w:lang w:val="zh-CN"/>
        </w:rPr>
        <w:t>定位置。</w:t>
      </w:r>
    </w:p>
    <w:bookmarkEnd w:id="278"/>
    <w:p w14:paraId="15EB1BCE">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79" w:name="_Toc155185973"/>
      <w:bookmarkStart w:id="280" w:name="_Toc155185874"/>
      <w:bookmarkStart w:id="281" w:name="_Toc158888664"/>
      <w:r>
        <w:rPr>
          <w:rFonts w:hint="eastAsia" w:ascii="宋体" w:hAnsi="宋体" w:eastAsia="宋体" w:cs="宋体"/>
          <w:b/>
          <w:bCs/>
          <w:i w:val="0"/>
          <w:iCs w:val="0"/>
          <w:color w:val="auto"/>
          <w:kern w:val="2"/>
          <w:sz w:val="24"/>
          <w:szCs w:val="24"/>
          <w:highlight w:val="none"/>
          <w:lang w:val="en-US" w:eastAsia="zh-CN" w:bidi="ar-SA"/>
        </w:rPr>
        <w:t>22.实物样品</w:t>
      </w:r>
      <w:bookmarkEnd w:id="279"/>
      <w:bookmarkEnd w:id="280"/>
      <w:bookmarkEnd w:id="281"/>
    </w:p>
    <w:p w14:paraId="3BF3D586">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22.1“供应商须知前附表”要求提供样品的，样品的具体要求及评审详见“第三章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采购需求”和“第</w:t>
      </w:r>
      <w:r>
        <w:rPr>
          <w:rFonts w:hint="eastAsia" w:ascii="宋体" w:hAnsi="宋体" w:eastAsia="宋体" w:cs="宋体"/>
          <w:i w:val="0"/>
          <w:iCs w:val="0"/>
          <w:color w:val="auto"/>
          <w:sz w:val="24"/>
          <w:szCs w:val="24"/>
          <w:highlight w:val="none"/>
          <w:lang w:val="en-US" w:eastAsia="zh-CN"/>
        </w:rPr>
        <w:t>四</w:t>
      </w:r>
      <w:r>
        <w:rPr>
          <w:rFonts w:hint="eastAsia" w:ascii="宋体" w:hAnsi="宋体" w:eastAsia="宋体" w:cs="宋体"/>
          <w:i w:val="0"/>
          <w:iCs w:val="0"/>
          <w:color w:val="auto"/>
          <w:sz w:val="24"/>
          <w:szCs w:val="24"/>
          <w:highlight w:val="none"/>
        </w:rPr>
        <w:t>章 评审</w:t>
      </w:r>
      <w:r>
        <w:rPr>
          <w:rFonts w:hint="eastAsia" w:ascii="宋体" w:hAnsi="宋体" w:eastAsia="宋体" w:cs="宋体"/>
          <w:i w:val="0"/>
          <w:iCs w:val="0"/>
          <w:color w:val="auto"/>
          <w:sz w:val="24"/>
          <w:szCs w:val="24"/>
          <w:highlight w:val="none"/>
          <w:lang w:val="en-US" w:eastAsia="zh-CN"/>
        </w:rPr>
        <w:t>方</w:t>
      </w:r>
      <w:r>
        <w:rPr>
          <w:rFonts w:hint="eastAsia" w:ascii="宋体" w:hAnsi="宋体" w:eastAsia="宋体" w:cs="宋体"/>
          <w:i w:val="0"/>
          <w:iCs w:val="0"/>
          <w:color w:val="auto"/>
          <w:sz w:val="24"/>
          <w:szCs w:val="24"/>
          <w:highlight w:val="none"/>
        </w:rPr>
        <w:t>法及标准”。</w:t>
      </w:r>
    </w:p>
    <w:p w14:paraId="36F56CA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22.2样品退还：未成交的供应商应</w:t>
      </w:r>
      <w:r>
        <w:rPr>
          <w:rFonts w:hint="eastAsia" w:ascii="宋体" w:hAnsi="宋体" w:eastAsia="宋体" w:cs="宋体"/>
          <w:i w:val="0"/>
          <w:iCs w:val="0"/>
          <w:color w:val="auto"/>
          <w:sz w:val="24"/>
          <w:szCs w:val="24"/>
          <w:highlight w:val="none"/>
          <w:lang w:val="en-US" w:eastAsia="zh-CN"/>
        </w:rPr>
        <w:t>按照</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须知前附表”</w:t>
      </w:r>
      <w:r>
        <w:rPr>
          <w:rFonts w:hint="eastAsia" w:ascii="宋体" w:hAnsi="宋体" w:eastAsia="宋体" w:cs="宋体"/>
          <w:i w:val="0"/>
          <w:iCs w:val="0"/>
          <w:color w:val="auto"/>
          <w:sz w:val="24"/>
          <w:szCs w:val="24"/>
          <w:highlight w:val="none"/>
          <w:lang w:val="en-US" w:eastAsia="zh-CN"/>
        </w:rPr>
        <w:t>要求</w:t>
      </w:r>
      <w:r>
        <w:rPr>
          <w:rFonts w:hint="eastAsia" w:ascii="宋体" w:hAnsi="宋体" w:eastAsia="宋体" w:cs="宋体"/>
          <w:i w:val="0"/>
          <w:iCs w:val="0"/>
          <w:color w:val="auto"/>
          <w:sz w:val="24"/>
          <w:szCs w:val="24"/>
          <w:highlight w:val="none"/>
        </w:rPr>
        <w:t>自行联系采购人取回递交样品；成交供应商的样品由采购人进行保管、封存，并作为履约验收的参考（竞争性磋商文件另有规定的从其规定）。</w:t>
      </w:r>
    </w:p>
    <w:p w14:paraId="0FC5178B">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82" w:name="_Toc155185875"/>
      <w:bookmarkStart w:id="283" w:name="_Toc158888665"/>
      <w:bookmarkStart w:id="284" w:name="_Toc155185974"/>
      <w:r>
        <w:rPr>
          <w:rFonts w:hint="eastAsia" w:ascii="宋体" w:hAnsi="宋体" w:eastAsia="宋体" w:cs="宋体"/>
          <w:b/>
          <w:bCs/>
          <w:i w:val="0"/>
          <w:iCs w:val="0"/>
          <w:color w:val="auto"/>
          <w:kern w:val="2"/>
          <w:sz w:val="24"/>
          <w:szCs w:val="24"/>
          <w:highlight w:val="none"/>
          <w:lang w:val="en-US" w:eastAsia="zh-CN" w:bidi="ar-SA"/>
        </w:rPr>
        <w:t>23.项目演示</w:t>
      </w:r>
      <w:bookmarkEnd w:id="282"/>
      <w:bookmarkEnd w:id="283"/>
      <w:bookmarkEnd w:id="284"/>
    </w:p>
    <w:p w14:paraId="42FEACA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23.1要求供应商进行演示的，演示要求详见“供应商须知前附表”。</w:t>
      </w:r>
    </w:p>
    <w:p w14:paraId="246D7244">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23.2演示的评审详见“第三章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采购需求”和“第四章 评审</w:t>
      </w:r>
      <w:r>
        <w:rPr>
          <w:rFonts w:hint="eastAsia" w:ascii="宋体" w:hAnsi="宋体" w:eastAsia="宋体" w:cs="宋体"/>
          <w:i w:val="0"/>
          <w:iCs w:val="0"/>
          <w:color w:val="auto"/>
          <w:sz w:val="24"/>
          <w:szCs w:val="24"/>
          <w:highlight w:val="none"/>
          <w:lang w:val="en-US" w:eastAsia="zh-CN"/>
        </w:rPr>
        <w:t>方</w:t>
      </w:r>
      <w:r>
        <w:rPr>
          <w:rFonts w:hint="eastAsia" w:ascii="宋体" w:hAnsi="宋体" w:eastAsia="宋体" w:cs="宋体"/>
          <w:i w:val="0"/>
          <w:iCs w:val="0"/>
          <w:color w:val="auto"/>
          <w:sz w:val="24"/>
          <w:szCs w:val="24"/>
          <w:highlight w:val="none"/>
        </w:rPr>
        <w:t>法及标准”</w:t>
      </w:r>
    </w:p>
    <w:p w14:paraId="72F078AD">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85" w:name="_Toc163493615"/>
      <w:bookmarkStart w:id="286" w:name="_Toc46771664"/>
      <w:bookmarkStart w:id="287" w:name="_Toc109899557"/>
      <w:bookmarkStart w:id="288" w:name="_Toc109897458"/>
      <w:bookmarkStart w:id="289" w:name="_Toc470172689"/>
      <w:bookmarkStart w:id="290" w:name="_Toc109900395"/>
      <w:bookmarkStart w:id="291" w:name="_Toc109899976"/>
      <w:r>
        <w:rPr>
          <w:rFonts w:hint="eastAsia" w:ascii="宋体" w:hAnsi="宋体" w:eastAsia="宋体" w:cs="宋体"/>
          <w:b/>
          <w:bCs/>
          <w:i w:val="0"/>
          <w:iCs w:val="0"/>
          <w:color w:val="auto"/>
          <w:kern w:val="2"/>
          <w:sz w:val="24"/>
          <w:szCs w:val="24"/>
          <w:highlight w:val="none"/>
          <w:lang w:val="en-US" w:eastAsia="zh-CN" w:bidi="ar-SA"/>
        </w:rPr>
        <w:t>（五）</w:t>
      </w:r>
      <w:bookmarkEnd w:id="285"/>
      <w:r>
        <w:rPr>
          <w:rFonts w:hint="eastAsia" w:ascii="宋体" w:hAnsi="宋体" w:eastAsia="宋体" w:cs="宋体"/>
          <w:b/>
          <w:bCs/>
          <w:i w:val="0"/>
          <w:iCs w:val="0"/>
          <w:color w:val="auto"/>
          <w:kern w:val="2"/>
          <w:sz w:val="24"/>
          <w:szCs w:val="24"/>
          <w:highlight w:val="none"/>
          <w:lang w:val="en-US" w:eastAsia="zh-CN" w:bidi="ar-SA"/>
        </w:rPr>
        <w:t>响应文件开启</w:t>
      </w:r>
    </w:p>
    <w:p w14:paraId="3374369F">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92" w:name="_Hlk161704700"/>
      <w:r>
        <w:rPr>
          <w:rFonts w:hint="eastAsia" w:ascii="宋体" w:hAnsi="宋体" w:eastAsia="宋体" w:cs="宋体"/>
          <w:b/>
          <w:bCs/>
          <w:i w:val="0"/>
          <w:iCs w:val="0"/>
          <w:color w:val="auto"/>
          <w:kern w:val="2"/>
          <w:sz w:val="24"/>
          <w:szCs w:val="24"/>
          <w:highlight w:val="none"/>
          <w:lang w:val="en-US" w:eastAsia="zh-CN" w:bidi="ar-SA"/>
        </w:rPr>
        <w:t>24.响应文件开启</w:t>
      </w:r>
    </w:p>
    <w:p w14:paraId="5A1038C6">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bCs/>
          <w:i w:val="0"/>
          <w:iCs w:val="0"/>
          <w:color w:val="auto"/>
          <w:sz w:val="24"/>
          <w:szCs w:val="24"/>
          <w:highlight w:val="none"/>
        </w:rPr>
      </w:pPr>
      <w:bookmarkStart w:id="293" w:name="_Toc140132781"/>
      <w:r>
        <w:rPr>
          <w:rFonts w:hint="eastAsia" w:ascii="宋体" w:hAnsi="宋体" w:eastAsia="宋体" w:cs="宋体"/>
          <w:i w:val="0"/>
          <w:iCs w:val="0"/>
          <w:color w:val="auto"/>
          <w:sz w:val="24"/>
          <w:szCs w:val="24"/>
          <w:highlight w:val="none"/>
        </w:rPr>
        <w:t>24.1供应商应按照“</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color w:val="auto"/>
          <w:sz w:val="24"/>
          <w:szCs w:val="24"/>
          <w:highlight w:val="none"/>
        </w:rPr>
        <w:t>”中的要求参与开启。</w:t>
      </w:r>
      <w:bookmarkEnd w:id="293"/>
    </w:p>
    <w:p w14:paraId="1E56302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94" w:name="_Toc140132782"/>
      <w:bookmarkStart w:id="295" w:name="_Toc161600316"/>
      <w:r>
        <w:rPr>
          <w:rFonts w:hint="eastAsia" w:ascii="宋体" w:hAnsi="宋体" w:eastAsia="宋体" w:cs="宋体"/>
          <w:b/>
          <w:bCs/>
          <w:i w:val="0"/>
          <w:iCs w:val="0"/>
          <w:color w:val="auto"/>
          <w:kern w:val="2"/>
          <w:sz w:val="24"/>
          <w:szCs w:val="24"/>
          <w:highlight w:val="none"/>
          <w:lang w:val="en-US" w:eastAsia="zh-CN" w:bidi="ar-SA"/>
        </w:rPr>
        <w:t>25.开启时间和地点</w:t>
      </w:r>
      <w:bookmarkEnd w:id="294"/>
      <w:bookmarkEnd w:id="295"/>
    </w:p>
    <w:p w14:paraId="7DC9304E">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25.1开启时间和地点</w:t>
      </w:r>
    </w:p>
    <w:p w14:paraId="59857585">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递交</w:t>
      </w:r>
      <w:r>
        <w:rPr>
          <w:rFonts w:hint="eastAsia" w:ascii="宋体" w:hAnsi="宋体" w:eastAsia="宋体" w:cs="宋体"/>
          <w:i w:val="0"/>
          <w:iCs w:val="0"/>
          <w:color w:val="auto"/>
          <w:sz w:val="24"/>
          <w:szCs w:val="24"/>
          <w:highlight w:val="none"/>
        </w:rPr>
        <w:t>响应文件截止时间前，供应商登录</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snapToGrid w:val="0"/>
          <w:color w:val="auto"/>
          <w:sz w:val="24"/>
          <w:szCs w:val="24"/>
          <w:highlight w:val="none"/>
          <w:lang w:val="zh-CN"/>
        </w:rPr>
        <w:t>通过</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zh-CN"/>
        </w:rPr>
        <w:t>进入交易系统</w:t>
      </w:r>
      <w:r>
        <w:rPr>
          <w:rFonts w:hint="eastAsia" w:ascii="宋体" w:hAnsi="宋体" w:eastAsia="宋体" w:cs="宋体"/>
          <w:i w:val="0"/>
          <w:iCs w:val="0"/>
          <w:color w:val="auto"/>
          <w:sz w:val="24"/>
          <w:szCs w:val="24"/>
          <w:highlight w:val="none"/>
        </w:rPr>
        <w:t>“开标大厅”选择所投项目（或采购包）完成项目签到工作。</w:t>
      </w:r>
    </w:p>
    <w:p w14:paraId="572F1446">
      <w:pPr>
        <w:keepNext w:val="0"/>
        <w:keepLines w:val="0"/>
        <w:pageBreakBefore w:val="0"/>
        <w:widowControl w:val="0"/>
        <w:kinsoku/>
        <w:overflowPunct/>
        <w:topLinePunct w:val="0"/>
        <w:bidi w:val="0"/>
        <w:ind w:firstLine="480" w:firstLineChars="20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zh-CN"/>
        </w:rPr>
        <w:t>（2）在</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第一章 竞争性磋商公告</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规</w:t>
      </w:r>
      <w:r>
        <w:rPr>
          <w:rFonts w:hint="eastAsia" w:ascii="宋体" w:hAnsi="宋体" w:eastAsia="宋体" w:cs="宋体"/>
          <w:i w:val="0"/>
          <w:iCs w:val="0"/>
          <w:color w:val="auto"/>
          <w:sz w:val="24"/>
          <w:szCs w:val="24"/>
          <w:highlight w:val="none"/>
          <w:lang w:val="zh-CN"/>
        </w:rPr>
        <w:t>定的</w:t>
      </w:r>
      <w:r>
        <w:rPr>
          <w:rFonts w:hint="eastAsia" w:ascii="宋体" w:hAnsi="宋体" w:eastAsia="宋体" w:cs="宋体"/>
          <w:i w:val="0"/>
          <w:iCs w:val="0"/>
          <w:color w:val="auto"/>
          <w:sz w:val="24"/>
          <w:szCs w:val="24"/>
          <w:highlight w:val="none"/>
          <w:lang w:val="en-US" w:eastAsia="zh-CN"/>
        </w:rPr>
        <w:t>递交</w:t>
      </w:r>
      <w:r>
        <w:rPr>
          <w:rFonts w:hint="eastAsia" w:ascii="宋体" w:hAnsi="宋体" w:eastAsia="宋体" w:cs="宋体"/>
          <w:i w:val="0"/>
          <w:iCs w:val="0"/>
          <w:color w:val="auto"/>
          <w:sz w:val="24"/>
          <w:szCs w:val="24"/>
          <w:highlight w:val="none"/>
          <w:lang w:val="zh-CN"/>
        </w:rPr>
        <w:t>响应文件截止时间、开启时间及地点，采购代理机构通过</w:t>
      </w:r>
      <w:r>
        <w:rPr>
          <w:rFonts w:hint="eastAsia" w:cs="宋体"/>
          <w:i w:val="0"/>
          <w:iCs w:val="0"/>
          <w:color w:val="auto"/>
          <w:sz w:val="24"/>
          <w:szCs w:val="24"/>
          <w:highlight w:val="none"/>
          <w:lang w:val="zh-CN" w:eastAsia="zh-CN"/>
        </w:rPr>
        <w:t>新疆</w:t>
      </w:r>
      <w:r>
        <w:rPr>
          <w:rFonts w:hint="eastAsia" w:ascii="宋体" w:hAnsi="宋体" w:eastAsia="宋体" w:cs="宋体"/>
          <w:i w:val="0"/>
          <w:iCs w:val="0"/>
          <w:color w:val="auto"/>
          <w:sz w:val="24"/>
          <w:szCs w:val="24"/>
          <w:highlight w:val="none"/>
          <w:lang w:val="zh-CN" w:eastAsia="zh-CN"/>
        </w:rPr>
        <w:t>政府采购电子交易云平台</w:t>
      </w:r>
      <w:r>
        <w:rPr>
          <w:rFonts w:hint="eastAsia" w:ascii="宋体" w:hAnsi="宋体" w:eastAsia="宋体" w:cs="宋体"/>
          <w:i w:val="0"/>
          <w:iCs w:val="0"/>
          <w:color w:val="auto"/>
          <w:kern w:val="2"/>
          <w:sz w:val="24"/>
          <w:szCs w:val="24"/>
          <w:highlight w:val="none"/>
        </w:rPr>
        <w:t>的“政采云远程开标大厅”</w:t>
      </w:r>
      <w:r>
        <w:rPr>
          <w:rFonts w:hint="eastAsia" w:ascii="宋体" w:hAnsi="宋体" w:eastAsia="宋体" w:cs="宋体"/>
          <w:i w:val="0"/>
          <w:iCs w:val="0"/>
          <w:color w:val="auto"/>
          <w:sz w:val="24"/>
          <w:szCs w:val="24"/>
          <w:highlight w:val="none"/>
          <w:lang w:val="zh-CN"/>
        </w:rPr>
        <w:t>组织响应文件开启工作。</w:t>
      </w:r>
    </w:p>
    <w:p w14:paraId="62A1F7F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25.2响应文件开启：</w:t>
      </w:r>
      <w:r>
        <w:rPr>
          <w:rFonts w:hint="eastAsia" w:ascii="宋体" w:hAnsi="宋体" w:eastAsia="宋体" w:cs="宋体"/>
          <w:i w:val="0"/>
          <w:iCs w:val="0"/>
          <w:color w:val="auto"/>
          <w:sz w:val="24"/>
          <w:szCs w:val="24"/>
          <w:highlight w:val="none"/>
          <w:lang w:val="en-US" w:eastAsia="zh-CN"/>
        </w:rPr>
        <w:t>递交</w:t>
      </w:r>
      <w:r>
        <w:rPr>
          <w:rFonts w:hint="eastAsia" w:ascii="宋体" w:hAnsi="宋体" w:eastAsia="宋体" w:cs="宋体"/>
          <w:i w:val="0"/>
          <w:iCs w:val="0"/>
          <w:color w:val="auto"/>
          <w:sz w:val="24"/>
          <w:szCs w:val="24"/>
          <w:highlight w:val="none"/>
        </w:rPr>
        <w:t>响应文件截止时间到后，工作人员启动开始解密指令，供应商应当按照“供应商须知前附表”规定及时进行响应文件解密，完成响应文件开启工作。</w:t>
      </w:r>
    </w:p>
    <w:p w14:paraId="22329E66">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25.3规定的时间内，非因</w:t>
      </w:r>
      <w:r>
        <w:rPr>
          <w:rFonts w:hint="eastAsia" w:cs="宋体"/>
          <w:i w:val="0"/>
          <w:iCs w:val="0"/>
          <w:color w:val="auto"/>
          <w:sz w:val="24"/>
          <w:szCs w:val="24"/>
          <w:highlight w:val="none"/>
          <w:lang w:val="zh-CN" w:eastAsia="zh-CN"/>
        </w:rPr>
        <w:t>新疆</w:t>
      </w:r>
      <w:r>
        <w:rPr>
          <w:rFonts w:hint="eastAsia" w:ascii="宋体" w:hAnsi="宋体" w:eastAsia="宋体" w:cs="宋体"/>
          <w:i w:val="0"/>
          <w:iCs w:val="0"/>
          <w:color w:val="auto"/>
          <w:sz w:val="24"/>
          <w:szCs w:val="24"/>
          <w:highlight w:val="none"/>
          <w:lang w:val="zh-CN" w:eastAsia="zh-CN"/>
        </w:rPr>
        <w:t>政府采购电子交易云平台</w:t>
      </w:r>
      <w:r>
        <w:rPr>
          <w:rFonts w:hint="eastAsia" w:ascii="宋体" w:hAnsi="宋体" w:eastAsia="宋体" w:cs="宋体"/>
          <w:i w:val="0"/>
          <w:iCs w:val="0"/>
          <w:color w:val="auto"/>
          <w:sz w:val="24"/>
          <w:szCs w:val="24"/>
          <w:highlight w:val="none"/>
        </w:rPr>
        <w:t>原因造成响应文件未解密的，视为供应商撤回响应文件。停止解密后，已解密开启的响应文件不足3家的，应当终止采购活动。</w:t>
      </w:r>
    </w:p>
    <w:p w14:paraId="54B9F045">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25.4供应商或其授权代表对响应文件开启过程有疑义的，以及认为采购人、采购代理机构相关工作人员有需要回避的情形的，应在开</w:t>
      </w:r>
      <w:r>
        <w:rPr>
          <w:rFonts w:hint="eastAsia" w:ascii="宋体" w:hAnsi="宋体" w:eastAsia="宋体" w:cs="宋体"/>
          <w:i w:val="0"/>
          <w:iCs w:val="0"/>
          <w:color w:val="auto"/>
          <w:sz w:val="24"/>
          <w:szCs w:val="24"/>
          <w:highlight w:val="none"/>
          <w:lang w:val="en-US" w:eastAsia="zh-CN"/>
        </w:rPr>
        <w:t>启</w:t>
      </w:r>
      <w:r>
        <w:rPr>
          <w:rFonts w:hint="eastAsia" w:ascii="宋体" w:hAnsi="宋体" w:eastAsia="宋体" w:cs="宋体"/>
          <w:i w:val="0"/>
          <w:iCs w:val="0"/>
          <w:color w:val="auto"/>
          <w:sz w:val="24"/>
          <w:szCs w:val="24"/>
          <w:highlight w:val="none"/>
        </w:rPr>
        <w:t>会议中提出询问或者回避申请。采购人、采购代理机构对</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授权代表提出的询问或者回避申请应当及时处理。</w:t>
      </w:r>
    </w:p>
    <w:p w14:paraId="02918355">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w:t>
      </w:r>
      <w:r>
        <w:rPr>
          <w:rFonts w:hint="eastAsia" w:ascii="宋体" w:hAnsi="宋体" w:eastAsia="宋体" w:cs="宋体"/>
          <w:i w:val="0"/>
          <w:iCs w:val="0"/>
          <w:color w:val="auto"/>
          <w:sz w:val="24"/>
          <w:szCs w:val="24"/>
          <w:highlight w:val="none"/>
          <w:lang w:val="en-US" w:eastAsia="zh-CN"/>
        </w:rPr>
        <w:t>5供应商</w:t>
      </w:r>
      <w:r>
        <w:rPr>
          <w:rFonts w:hint="eastAsia" w:ascii="宋体" w:hAnsi="宋体" w:eastAsia="宋体" w:cs="宋体"/>
          <w:i w:val="0"/>
          <w:iCs w:val="0"/>
          <w:color w:val="auto"/>
          <w:sz w:val="24"/>
          <w:szCs w:val="24"/>
          <w:highlight w:val="none"/>
        </w:rPr>
        <w:t>未参加开</w:t>
      </w:r>
      <w:r>
        <w:rPr>
          <w:rFonts w:hint="eastAsia" w:ascii="宋体" w:hAnsi="宋体" w:eastAsia="宋体" w:cs="宋体"/>
          <w:i w:val="0"/>
          <w:iCs w:val="0"/>
          <w:color w:val="auto"/>
          <w:sz w:val="24"/>
          <w:szCs w:val="24"/>
          <w:highlight w:val="none"/>
          <w:lang w:val="en-US" w:eastAsia="zh-CN"/>
        </w:rPr>
        <w:t>启</w:t>
      </w:r>
      <w:r>
        <w:rPr>
          <w:rFonts w:hint="eastAsia" w:ascii="宋体" w:hAnsi="宋体" w:eastAsia="宋体" w:cs="宋体"/>
          <w:i w:val="0"/>
          <w:iCs w:val="0"/>
          <w:color w:val="auto"/>
          <w:sz w:val="24"/>
          <w:szCs w:val="24"/>
          <w:highlight w:val="none"/>
        </w:rPr>
        <w:t>的，视同认可开</w:t>
      </w:r>
      <w:r>
        <w:rPr>
          <w:rFonts w:hint="eastAsia" w:ascii="宋体" w:hAnsi="宋体" w:eastAsia="宋体" w:cs="宋体"/>
          <w:i w:val="0"/>
          <w:iCs w:val="0"/>
          <w:color w:val="auto"/>
          <w:sz w:val="24"/>
          <w:szCs w:val="24"/>
          <w:highlight w:val="none"/>
          <w:lang w:val="en-US" w:eastAsia="zh-CN"/>
        </w:rPr>
        <w:t>启</w:t>
      </w:r>
      <w:r>
        <w:rPr>
          <w:rFonts w:hint="eastAsia" w:ascii="宋体" w:hAnsi="宋体" w:eastAsia="宋体" w:cs="宋体"/>
          <w:i w:val="0"/>
          <w:iCs w:val="0"/>
          <w:color w:val="auto"/>
          <w:sz w:val="24"/>
          <w:szCs w:val="24"/>
          <w:highlight w:val="none"/>
        </w:rPr>
        <w:t>结果。</w:t>
      </w:r>
    </w:p>
    <w:bookmarkEnd w:id="286"/>
    <w:bookmarkEnd w:id="287"/>
    <w:bookmarkEnd w:id="288"/>
    <w:bookmarkEnd w:id="289"/>
    <w:bookmarkEnd w:id="290"/>
    <w:bookmarkEnd w:id="291"/>
    <w:bookmarkEnd w:id="292"/>
    <w:p w14:paraId="0DC10AA7">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96" w:name="_Toc140132785"/>
      <w:bookmarkStart w:id="297" w:name="_Toc155185877"/>
      <w:bookmarkStart w:id="298" w:name="_Toc163492854"/>
      <w:r>
        <w:rPr>
          <w:rFonts w:hint="eastAsia" w:ascii="宋体" w:hAnsi="宋体" w:eastAsia="宋体" w:cs="宋体"/>
          <w:b/>
          <w:bCs/>
          <w:i w:val="0"/>
          <w:iCs w:val="0"/>
          <w:color w:val="auto"/>
          <w:kern w:val="2"/>
          <w:sz w:val="24"/>
          <w:szCs w:val="24"/>
          <w:highlight w:val="none"/>
          <w:lang w:val="en-US" w:eastAsia="zh-CN" w:bidi="ar-SA"/>
        </w:rPr>
        <w:t>（六）资格审查</w:t>
      </w:r>
      <w:bookmarkEnd w:id="296"/>
      <w:bookmarkEnd w:id="297"/>
      <w:bookmarkEnd w:id="298"/>
    </w:p>
    <w:p w14:paraId="39D7BB2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299" w:name="_Toc163492855"/>
      <w:r>
        <w:rPr>
          <w:rFonts w:hint="eastAsia" w:ascii="宋体" w:hAnsi="宋体" w:eastAsia="宋体" w:cs="宋体"/>
          <w:b/>
          <w:bCs/>
          <w:i w:val="0"/>
          <w:iCs w:val="0"/>
          <w:color w:val="auto"/>
          <w:kern w:val="2"/>
          <w:sz w:val="24"/>
          <w:szCs w:val="24"/>
          <w:highlight w:val="none"/>
          <w:lang w:val="en-US" w:eastAsia="zh-CN" w:bidi="ar-SA"/>
        </w:rPr>
        <w:t>26.资格审查及审查主体</w:t>
      </w:r>
      <w:bookmarkEnd w:id="299"/>
    </w:p>
    <w:p w14:paraId="6414DAA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bookmarkStart w:id="300" w:name="_Toc140132786"/>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.1开</w:t>
      </w:r>
      <w:r>
        <w:rPr>
          <w:rFonts w:hint="eastAsia" w:ascii="宋体" w:hAnsi="宋体" w:eastAsia="宋体" w:cs="宋体"/>
          <w:i w:val="0"/>
          <w:iCs w:val="0"/>
          <w:color w:val="auto"/>
          <w:sz w:val="24"/>
          <w:szCs w:val="24"/>
          <w:highlight w:val="none"/>
          <w:lang w:val="en-US" w:eastAsia="zh-CN"/>
        </w:rPr>
        <w:t>启</w:t>
      </w:r>
      <w:r>
        <w:rPr>
          <w:rFonts w:hint="eastAsia" w:ascii="宋体" w:hAnsi="宋体" w:eastAsia="宋体" w:cs="宋体"/>
          <w:i w:val="0"/>
          <w:iCs w:val="0"/>
          <w:color w:val="auto"/>
          <w:sz w:val="24"/>
          <w:szCs w:val="24"/>
          <w:highlight w:val="none"/>
        </w:rPr>
        <w:t>结束后，</w:t>
      </w:r>
      <w:r>
        <w:rPr>
          <w:rFonts w:hint="eastAsia" w:ascii="宋体" w:hAnsi="宋体" w:eastAsia="宋体" w:cs="宋体"/>
          <w:i w:val="0"/>
          <w:iCs w:val="0"/>
          <w:color w:val="auto"/>
          <w:sz w:val="24"/>
          <w:szCs w:val="24"/>
          <w:highlight w:val="none"/>
          <w:lang w:val="en-US" w:eastAsia="zh-CN"/>
        </w:rPr>
        <w:t>磋商小组</w:t>
      </w:r>
      <w:r>
        <w:rPr>
          <w:rFonts w:hint="eastAsia" w:ascii="宋体" w:hAnsi="宋体" w:eastAsia="宋体" w:cs="宋体"/>
          <w:i w:val="0"/>
          <w:iCs w:val="0"/>
          <w:color w:val="auto"/>
          <w:sz w:val="24"/>
          <w:szCs w:val="24"/>
          <w:highlight w:val="none"/>
        </w:rPr>
        <w:t>依据法律法规和本</w:t>
      </w:r>
      <w:r>
        <w:rPr>
          <w:rFonts w:hint="eastAsia" w:ascii="宋体" w:hAnsi="宋体" w:eastAsia="宋体" w:cs="宋体"/>
          <w:i w:val="0"/>
          <w:iCs w:val="0"/>
          <w:color w:val="auto"/>
          <w:sz w:val="24"/>
          <w:szCs w:val="24"/>
          <w:highlight w:val="none"/>
          <w:lang w:val="en-US" w:eastAsia="zh-CN"/>
        </w:rPr>
        <w:t>竞争性磋商</w:t>
      </w:r>
      <w:r>
        <w:rPr>
          <w:rFonts w:hint="eastAsia" w:ascii="宋体" w:hAnsi="宋体" w:eastAsia="宋体" w:cs="宋体"/>
          <w:i w:val="0"/>
          <w:iCs w:val="0"/>
          <w:color w:val="auto"/>
          <w:sz w:val="24"/>
          <w:szCs w:val="24"/>
          <w:highlight w:val="none"/>
        </w:rPr>
        <w:t>文件的规定，依法对</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资格进行审查，以确定</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是否具备</w:t>
      </w:r>
      <w:r>
        <w:rPr>
          <w:rFonts w:hint="eastAsia" w:ascii="宋体" w:hAnsi="宋体" w:eastAsia="宋体" w:cs="宋体"/>
          <w:i w:val="0"/>
          <w:iCs w:val="0"/>
          <w:color w:val="auto"/>
          <w:sz w:val="24"/>
          <w:szCs w:val="24"/>
          <w:highlight w:val="none"/>
          <w:lang w:val="en-US" w:eastAsia="zh-CN"/>
        </w:rPr>
        <w:t>磋商</w:t>
      </w:r>
      <w:r>
        <w:rPr>
          <w:rFonts w:hint="eastAsia" w:ascii="宋体" w:hAnsi="宋体" w:eastAsia="宋体" w:cs="宋体"/>
          <w:i w:val="0"/>
          <w:iCs w:val="0"/>
          <w:color w:val="auto"/>
          <w:sz w:val="24"/>
          <w:szCs w:val="24"/>
          <w:highlight w:val="none"/>
        </w:rPr>
        <w:t>资格。</w:t>
      </w:r>
      <w:bookmarkEnd w:id="300"/>
    </w:p>
    <w:p w14:paraId="351C5EB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bookmarkStart w:id="301" w:name="_Toc140132787"/>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.2资格审查按“第四章</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snapToGrid w:val="0"/>
          <w:color w:val="auto"/>
          <w:sz w:val="24"/>
          <w:szCs w:val="24"/>
          <w:highlight w:val="none"/>
          <w:lang w:val="zh-CN"/>
        </w:rPr>
        <w:t>评审</w:t>
      </w:r>
      <w:r>
        <w:rPr>
          <w:rFonts w:hint="eastAsia" w:ascii="宋体" w:hAnsi="宋体" w:eastAsia="宋体" w:cs="宋体"/>
          <w:i w:val="0"/>
          <w:iCs w:val="0"/>
          <w:snapToGrid w:val="0"/>
          <w:color w:val="auto"/>
          <w:sz w:val="24"/>
          <w:szCs w:val="24"/>
          <w:highlight w:val="none"/>
          <w:lang w:val="en-US" w:eastAsia="zh-CN"/>
        </w:rPr>
        <w:t>方</w:t>
      </w:r>
      <w:r>
        <w:rPr>
          <w:rFonts w:hint="eastAsia" w:ascii="宋体" w:hAnsi="宋体" w:eastAsia="宋体" w:cs="宋体"/>
          <w:i w:val="0"/>
          <w:iCs w:val="0"/>
          <w:snapToGrid w:val="0"/>
          <w:color w:val="auto"/>
          <w:sz w:val="24"/>
          <w:szCs w:val="24"/>
          <w:highlight w:val="none"/>
          <w:lang w:val="zh-CN"/>
        </w:rPr>
        <w:t>法及标准</w:t>
      </w:r>
      <w:r>
        <w:rPr>
          <w:rFonts w:hint="eastAsia" w:ascii="宋体" w:hAnsi="宋体" w:eastAsia="宋体" w:cs="宋体"/>
          <w:i w:val="0"/>
          <w:iCs w:val="0"/>
          <w:color w:val="auto"/>
          <w:sz w:val="24"/>
          <w:szCs w:val="24"/>
          <w:highlight w:val="none"/>
        </w:rPr>
        <w:t>”的规定进行。</w:t>
      </w:r>
      <w:bookmarkEnd w:id="301"/>
    </w:p>
    <w:p w14:paraId="1FC08DB9">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bookmarkStart w:id="302" w:name="_Toc140132788"/>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.3资格审查结束后，应及时对资格审查结果进行复核，对资格审查错误进行及时纠正并记录。</w:t>
      </w:r>
      <w:bookmarkEnd w:id="302"/>
    </w:p>
    <w:p w14:paraId="79E3BEA5">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26.4</w:t>
      </w:r>
      <w:r>
        <w:rPr>
          <w:rFonts w:hint="eastAsia" w:ascii="宋体" w:hAnsi="宋体" w:eastAsia="宋体" w:cs="宋体"/>
          <w:i w:val="0"/>
          <w:iCs w:val="0"/>
          <w:color w:val="auto"/>
          <w:sz w:val="24"/>
          <w:szCs w:val="24"/>
          <w:highlight w:val="none"/>
        </w:rPr>
        <w:t>资格审查合格</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不足3家的，不得评</w:t>
      </w:r>
      <w:r>
        <w:rPr>
          <w:rFonts w:hint="eastAsia" w:ascii="宋体" w:hAnsi="宋体" w:eastAsia="宋体" w:cs="宋体"/>
          <w:i w:val="0"/>
          <w:iCs w:val="0"/>
          <w:color w:val="auto"/>
          <w:sz w:val="24"/>
          <w:szCs w:val="24"/>
          <w:highlight w:val="none"/>
          <w:lang w:val="en-US" w:eastAsia="zh-CN"/>
        </w:rPr>
        <w:t>审</w:t>
      </w:r>
      <w:r>
        <w:rPr>
          <w:rFonts w:hint="eastAsia" w:ascii="宋体" w:hAnsi="宋体" w:eastAsia="宋体" w:cs="宋体"/>
          <w:i w:val="0"/>
          <w:iCs w:val="0"/>
          <w:color w:val="auto"/>
          <w:sz w:val="24"/>
          <w:szCs w:val="24"/>
          <w:highlight w:val="none"/>
        </w:rPr>
        <w:t>。</w:t>
      </w:r>
    </w:p>
    <w:p w14:paraId="2885570B">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36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03" w:name="_Toc140132789"/>
      <w:bookmarkStart w:id="304" w:name="_Toc163492856"/>
      <w:bookmarkStart w:id="305" w:name="_Toc155185878"/>
      <w:r>
        <w:rPr>
          <w:rFonts w:hint="eastAsia" w:ascii="宋体" w:hAnsi="宋体" w:eastAsia="宋体" w:cs="宋体"/>
          <w:b/>
          <w:bCs/>
          <w:i w:val="0"/>
          <w:iCs w:val="0"/>
          <w:color w:val="auto"/>
          <w:kern w:val="2"/>
          <w:sz w:val="24"/>
          <w:szCs w:val="24"/>
          <w:highlight w:val="none"/>
          <w:lang w:val="en-US" w:eastAsia="zh-CN" w:bidi="ar-SA"/>
        </w:rPr>
        <w:t>（七）项目评</w:t>
      </w:r>
      <w:bookmarkEnd w:id="303"/>
      <w:bookmarkEnd w:id="304"/>
      <w:bookmarkEnd w:id="305"/>
      <w:r>
        <w:rPr>
          <w:rFonts w:hint="eastAsia" w:ascii="宋体" w:hAnsi="宋体" w:eastAsia="宋体" w:cs="宋体"/>
          <w:b/>
          <w:bCs/>
          <w:i w:val="0"/>
          <w:iCs w:val="0"/>
          <w:color w:val="auto"/>
          <w:kern w:val="2"/>
          <w:sz w:val="24"/>
          <w:szCs w:val="24"/>
          <w:highlight w:val="none"/>
          <w:lang w:val="en-US" w:eastAsia="zh-CN" w:bidi="ar-SA"/>
        </w:rPr>
        <w:t>审</w:t>
      </w:r>
    </w:p>
    <w:p w14:paraId="3F713FF7">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27.评审方法、程序及标准</w:t>
      </w:r>
    </w:p>
    <w:p w14:paraId="11F04EFF">
      <w:pPr>
        <w:keepNext w:val="0"/>
        <w:keepLines w:val="0"/>
        <w:pageBreakBefore w:val="0"/>
        <w:widowControl w:val="0"/>
        <w:tabs>
          <w:tab w:val="left" w:pos="426"/>
        </w:tabs>
        <w:kinsoku/>
        <w:overflowPunct/>
        <w:topLinePunct w:val="0"/>
        <w:autoSpaceDE w:val="0"/>
        <w:autoSpaceDN w:val="0"/>
        <w:bidi w:val="0"/>
        <w:adjustRightInd w:val="0"/>
        <w:snapToGrid w:val="0"/>
        <w:ind w:firstLine="480" w:firstLineChars="200"/>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zh-CN"/>
        </w:rPr>
        <w:t>2</w:t>
      </w:r>
      <w:r>
        <w:rPr>
          <w:rFonts w:hint="eastAsia" w:ascii="宋体" w:hAnsi="宋体" w:eastAsia="宋体" w:cs="宋体"/>
          <w:i w:val="0"/>
          <w:iCs w:val="0"/>
          <w:snapToGrid w:val="0"/>
          <w:color w:val="auto"/>
          <w:sz w:val="24"/>
          <w:szCs w:val="24"/>
          <w:highlight w:val="none"/>
          <w:lang w:val="en-US" w:eastAsia="zh-CN"/>
        </w:rPr>
        <w:t>7</w:t>
      </w: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snapToGrid w:val="0"/>
          <w:color w:val="auto"/>
          <w:sz w:val="24"/>
          <w:szCs w:val="24"/>
          <w:highlight w:val="none"/>
          <w:lang w:val="en-US" w:eastAsia="zh-CN"/>
        </w:rPr>
        <w:t>评审方法：综合评分法。</w:t>
      </w:r>
    </w:p>
    <w:p w14:paraId="104C6DDC">
      <w:pPr>
        <w:keepNext w:val="0"/>
        <w:keepLines w:val="0"/>
        <w:pageBreakBefore w:val="0"/>
        <w:widowControl w:val="0"/>
        <w:tabs>
          <w:tab w:val="left" w:pos="426"/>
        </w:tabs>
        <w:kinsoku/>
        <w:overflowPunct/>
        <w:topLinePunct w:val="0"/>
        <w:autoSpaceDE w:val="0"/>
        <w:autoSpaceDN w:val="0"/>
        <w:bidi w:val="0"/>
        <w:adjustRightInd w:val="0"/>
        <w:snapToGrid w:val="0"/>
        <w:ind w:firstLine="480" w:firstLineChars="20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eastAsia="zh-CN"/>
        </w:rPr>
        <w:t>综合评分法，是指响应文件满足磋商文件全部实质性要求且按评审因素的量化指标评审得分最高的供应商为成交候选供应商的评审方法。</w:t>
      </w:r>
    </w:p>
    <w:p w14:paraId="7AD9735D">
      <w:pPr>
        <w:keepNext w:val="0"/>
        <w:keepLines w:val="0"/>
        <w:pageBreakBefore w:val="0"/>
        <w:widowControl w:val="0"/>
        <w:tabs>
          <w:tab w:val="left" w:pos="426"/>
        </w:tabs>
        <w:kinsoku/>
        <w:overflowPunct/>
        <w:topLinePunct w:val="0"/>
        <w:autoSpaceDE w:val="0"/>
        <w:autoSpaceDN w:val="0"/>
        <w:bidi w:val="0"/>
        <w:adjustRightInd w:val="0"/>
        <w:snapToGrid w:val="0"/>
        <w:ind w:firstLine="480" w:firstLineChars="20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en-US" w:eastAsia="zh-CN"/>
        </w:rPr>
        <w:t>本</w:t>
      </w:r>
      <w:r>
        <w:rPr>
          <w:rFonts w:hint="eastAsia" w:ascii="宋体" w:hAnsi="宋体" w:eastAsia="宋体" w:cs="宋体"/>
          <w:i w:val="0"/>
          <w:iCs w:val="0"/>
          <w:snapToGrid w:val="0"/>
          <w:color w:val="auto"/>
          <w:sz w:val="24"/>
          <w:szCs w:val="24"/>
          <w:highlight w:val="none"/>
          <w:lang w:val="zh-CN"/>
        </w:rPr>
        <w:t>项目评审方法、程序及标准详见“第</w:t>
      </w:r>
      <w:r>
        <w:rPr>
          <w:rFonts w:hint="eastAsia" w:ascii="宋体" w:hAnsi="宋体" w:eastAsia="宋体" w:cs="宋体"/>
          <w:i w:val="0"/>
          <w:iCs w:val="0"/>
          <w:snapToGrid w:val="0"/>
          <w:color w:val="auto"/>
          <w:sz w:val="24"/>
          <w:szCs w:val="24"/>
          <w:highlight w:val="none"/>
          <w:lang w:val="en-US" w:eastAsia="zh-CN"/>
        </w:rPr>
        <w:t>四</w:t>
      </w:r>
      <w:r>
        <w:rPr>
          <w:rFonts w:hint="eastAsia" w:ascii="宋体" w:hAnsi="宋体" w:eastAsia="宋体" w:cs="宋体"/>
          <w:i w:val="0"/>
          <w:iCs w:val="0"/>
          <w:snapToGrid w:val="0"/>
          <w:color w:val="auto"/>
          <w:sz w:val="24"/>
          <w:szCs w:val="24"/>
          <w:highlight w:val="none"/>
          <w:lang w:val="zh-CN"/>
        </w:rPr>
        <w:t>章 评审</w:t>
      </w:r>
      <w:r>
        <w:rPr>
          <w:rFonts w:hint="eastAsia" w:ascii="宋体" w:hAnsi="宋体" w:eastAsia="宋体" w:cs="宋体"/>
          <w:i w:val="0"/>
          <w:iCs w:val="0"/>
          <w:snapToGrid w:val="0"/>
          <w:color w:val="auto"/>
          <w:sz w:val="24"/>
          <w:szCs w:val="24"/>
          <w:highlight w:val="none"/>
          <w:lang w:val="en-US" w:eastAsia="zh-CN"/>
        </w:rPr>
        <w:t>方</w:t>
      </w:r>
      <w:r>
        <w:rPr>
          <w:rFonts w:hint="eastAsia" w:ascii="宋体" w:hAnsi="宋体" w:eastAsia="宋体" w:cs="宋体"/>
          <w:i w:val="0"/>
          <w:iCs w:val="0"/>
          <w:snapToGrid w:val="0"/>
          <w:color w:val="auto"/>
          <w:sz w:val="24"/>
          <w:szCs w:val="24"/>
          <w:highlight w:val="none"/>
          <w:lang w:val="zh-CN"/>
        </w:rPr>
        <w:t>法及标准”。</w:t>
      </w:r>
    </w:p>
    <w:p w14:paraId="6CB969F3">
      <w:pPr>
        <w:keepNext w:val="0"/>
        <w:keepLines w:val="0"/>
        <w:pageBreakBefore w:val="0"/>
        <w:widowControl w:val="0"/>
        <w:tabs>
          <w:tab w:val="left" w:pos="426"/>
        </w:tabs>
        <w:kinsoku/>
        <w:overflowPunct/>
        <w:topLinePunct w:val="0"/>
        <w:autoSpaceDE w:val="0"/>
        <w:autoSpaceDN w:val="0"/>
        <w:bidi w:val="0"/>
        <w:adjustRightInd w:val="0"/>
        <w:snapToGrid w:val="0"/>
        <w:ind w:firstLine="480" w:firstLineChars="20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2</w:t>
      </w:r>
      <w:r>
        <w:rPr>
          <w:rFonts w:hint="eastAsia" w:ascii="宋体" w:hAnsi="宋体" w:eastAsia="宋体" w:cs="宋体"/>
          <w:i w:val="0"/>
          <w:iCs w:val="0"/>
          <w:snapToGrid w:val="0"/>
          <w:color w:val="auto"/>
          <w:sz w:val="24"/>
          <w:szCs w:val="24"/>
          <w:highlight w:val="none"/>
          <w:lang w:val="en-US" w:eastAsia="zh-CN"/>
        </w:rPr>
        <w:t>7</w:t>
      </w:r>
      <w:r>
        <w:rPr>
          <w:rFonts w:hint="eastAsia" w:ascii="宋体" w:hAnsi="宋体" w:eastAsia="宋体" w:cs="宋体"/>
          <w:i w:val="0"/>
          <w:iCs w:val="0"/>
          <w:snapToGrid w:val="0"/>
          <w:color w:val="auto"/>
          <w:sz w:val="24"/>
          <w:szCs w:val="24"/>
          <w:highlight w:val="none"/>
          <w:lang w:val="zh-CN"/>
        </w:rPr>
        <w:t>.2磋商准备：供应商应当按照“</w:t>
      </w:r>
      <w:r>
        <w:rPr>
          <w:rFonts w:hint="eastAsia" w:ascii="宋体" w:hAnsi="宋体" w:eastAsia="宋体" w:cs="宋体"/>
          <w:i w:val="0"/>
          <w:iCs w:val="0"/>
          <w:snapToGrid w:val="0"/>
          <w:color w:val="auto"/>
          <w:sz w:val="24"/>
          <w:szCs w:val="24"/>
          <w:highlight w:val="none"/>
          <w:lang w:val="zh-CN" w:eastAsia="zh-CN"/>
        </w:rPr>
        <w:t>第</w:t>
      </w:r>
      <w:r>
        <w:rPr>
          <w:rFonts w:hint="eastAsia" w:ascii="宋体" w:hAnsi="宋体" w:eastAsia="宋体" w:cs="宋体"/>
          <w:i w:val="0"/>
          <w:iCs w:val="0"/>
          <w:snapToGrid w:val="0"/>
          <w:color w:val="auto"/>
          <w:sz w:val="24"/>
          <w:szCs w:val="24"/>
          <w:highlight w:val="none"/>
          <w:lang w:val="en-US" w:eastAsia="zh-CN"/>
        </w:rPr>
        <w:t>二</w:t>
      </w:r>
      <w:r>
        <w:rPr>
          <w:rFonts w:hint="eastAsia" w:ascii="宋体" w:hAnsi="宋体" w:eastAsia="宋体" w:cs="宋体"/>
          <w:i w:val="0"/>
          <w:iCs w:val="0"/>
          <w:snapToGrid w:val="0"/>
          <w:color w:val="auto"/>
          <w:sz w:val="24"/>
          <w:szCs w:val="24"/>
          <w:highlight w:val="none"/>
          <w:lang w:val="zh-CN" w:eastAsia="zh-CN"/>
        </w:rPr>
        <w:t xml:space="preserve">章 </w:t>
      </w:r>
      <w:r>
        <w:rPr>
          <w:rFonts w:hint="eastAsia" w:ascii="宋体" w:hAnsi="宋体" w:eastAsia="宋体" w:cs="宋体"/>
          <w:i w:val="0"/>
          <w:iCs w:val="0"/>
          <w:snapToGrid w:val="0"/>
          <w:color w:val="auto"/>
          <w:sz w:val="24"/>
          <w:szCs w:val="24"/>
          <w:highlight w:val="none"/>
          <w:lang w:val="en-US" w:eastAsia="zh-CN"/>
        </w:rPr>
        <w:t>供应商须知</w:t>
      </w:r>
      <w:r>
        <w:rPr>
          <w:rFonts w:hint="eastAsia" w:ascii="宋体" w:hAnsi="宋体" w:eastAsia="宋体" w:cs="宋体"/>
          <w:i w:val="0"/>
          <w:iCs w:val="0"/>
          <w:snapToGrid w:val="0"/>
          <w:color w:val="auto"/>
          <w:sz w:val="24"/>
          <w:szCs w:val="24"/>
          <w:highlight w:val="none"/>
          <w:lang w:val="zh-CN"/>
        </w:rPr>
        <w:t>”</w:t>
      </w:r>
      <w:r>
        <w:rPr>
          <w:rFonts w:hint="eastAsia" w:ascii="宋体" w:hAnsi="宋体" w:eastAsia="宋体" w:cs="宋体"/>
          <w:i w:val="0"/>
          <w:iCs w:val="0"/>
          <w:snapToGrid w:val="0"/>
          <w:color w:val="auto"/>
          <w:sz w:val="24"/>
          <w:szCs w:val="24"/>
          <w:highlight w:val="none"/>
          <w:lang w:val="en-US" w:eastAsia="zh-CN"/>
        </w:rPr>
        <w:t>的</w:t>
      </w:r>
      <w:r>
        <w:rPr>
          <w:rFonts w:hint="eastAsia" w:ascii="宋体" w:hAnsi="宋体" w:eastAsia="宋体" w:cs="宋体"/>
          <w:i w:val="0"/>
          <w:iCs w:val="0"/>
          <w:snapToGrid w:val="0"/>
          <w:color w:val="auto"/>
          <w:sz w:val="24"/>
          <w:szCs w:val="24"/>
          <w:highlight w:val="none"/>
          <w:lang w:val="zh-CN"/>
        </w:rPr>
        <w:t>要求提前准备好磋商所需的设备，确保设备稳定可靠、互联网畅通。</w:t>
      </w:r>
      <w:r>
        <w:rPr>
          <w:rFonts w:hint="eastAsia" w:ascii="宋体" w:hAnsi="宋体" w:eastAsia="宋体" w:cs="宋体"/>
          <w:i w:val="0"/>
          <w:iCs w:val="0"/>
          <w:color w:val="auto"/>
          <w:sz w:val="24"/>
          <w:szCs w:val="24"/>
          <w:highlight w:val="none"/>
        </w:rPr>
        <w:t>供应商登录</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snapToGrid w:val="0"/>
          <w:color w:val="auto"/>
          <w:sz w:val="24"/>
          <w:szCs w:val="24"/>
          <w:highlight w:val="none"/>
          <w:lang w:val="zh-CN"/>
        </w:rPr>
        <w:t>通过</w:t>
      </w:r>
      <w:r>
        <w:rPr>
          <w:rFonts w:hint="eastAsia" w:cs="宋体"/>
          <w:color w:val="auto"/>
          <w:sz w:val="24"/>
          <w:szCs w:val="24"/>
          <w:highlight w:val="none"/>
          <w:lang w:eastAsia="zh-CN"/>
        </w:rPr>
        <w:t>“</w:t>
      </w:r>
      <w:r>
        <w:rPr>
          <w:rFonts w:hint="eastAsia" w:cs="仿宋_GB2312"/>
          <w:color w:val="auto"/>
          <w:sz w:val="24"/>
          <w:szCs w:val="24"/>
          <w:highlight w:val="none"/>
          <w:lang w:val="en-US" w:eastAsia="zh-CN"/>
        </w:rPr>
        <w:t>投标</w:t>
      </w:r>
      <w:r>
        <w:rPr>
          <w:rFonts w:hint="eastAsia" w:eastAsia="宋体" w:cs="仿宋_GB2312"/>
          <w:color w:val="auto"/>
          <w:sz w:val="24"/>
          <w:szCs w:val="24"/>
          <w:highlight w:val="none"/>
        </w:rPr>
        <w:t>客户端</w:t>
      </w:r>
      <w:r>
        <w:rPr>
          <w:rFonts w:hint="eastAsia" w:cs="仿宋_GB2312"/>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zh-CN"/>
        </w:rPr>
        <w:t>进入交易系统“</w:t>
      </w:r>
      <w:r>
        <w:rPr>
          <w:rFonts w:hint="eastAsia" w:ascii="宋体" w:hAnsi="宋体" w:eastAsia="宋体" w:cs="宋体"/>
          <w:i w:val="0"/>
          <w:iCs w:val="0"/>
          <w:snapToGrid w:val="0"/>
          <w:color w:val="auto"/>
          <w:sz w:val="24"/>
          <w:szCs w:val="24"/>
          <w:highlight w:val="none"/>
          <w:lang w:val="en-US" w:eastAsia="zh-CN"/>
        </w:rPr>
        <w:t>开</w:t>
      </w:r>
      <w:r>
        <w:rPr>
          <w:rFonts w:hint="eastAsia" w:ascii="宋体" w:hAnsi="宋体" w:eastAsia="宋体" w:cs="宋体"/>
          <w:i w:val="0"/>
          <w:iCs w:val="0"/>
          <w:snapToGrid w:val="0"/>
          <w:color w:val="auto"/>
          <w:sz w:val="24"/>
          <w:szCs w:val="24"/>
          <w:highlight w:val="none"/>
          <w:lang w:val="zh-CN"/>
        </w:rPr>
        <w:t>标大厅”，准时参加在线磋商，按照工作人员提示进行相关操作。未按上述要求进行的，导致的后果由供应商自行承担。</w:t>
      </w:r>
    </w:p>
    <w:p w14:paraId="191A856C">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06" w:name="_Toc163492857"/>
      <w:bookmarkStart w:id="307" w:name="_Toc140132790"/>
      <w:r>
        <w:rPr>
          <w:rFonts w:hint="eastAsia" w:ascii="宋体" w:hAnsi="宋体" w:eastAsia="宋体" w:cs="宋体"/>
          <w:b/>
          <w:bCs/>
          <w:i w:val="0"/>
          <w:iCs w:val="0"/>
          <w:color w:val="auto"/>
          <w:kern w:val="2"/>
          <w:sz w:val="24"/>
          <w:szCs w:val="24"/>
          <w:highlight w:val="none"/>
          <w:lang w:val="en-US" w:eastAsia="zh-CN" w:bidi="ar-SA"/>
        </w:rPr>
        <w:t>28.</w:t>
      </w:r>
      <w:bookmarkEnd w:id="306"/>
      <w:bookmarkEnd w:id="307"/>
      <w:r>
        <w:rPr>
          <w:rFonts w:hint="eastAsia" w:ascii="宋体" w:hAnsi="宋体" w:eastAsia="宋体" w:cs="宋体"/>
          <w:b/>
          <w:bCs/>
          <w:i w:val="0"/>
          <w:iCs w:val="0"/>
          <w:color w:val="auto"/>
          <w:kern w:val="2"/>
          <w:sz w:val="24"/>
          <w:szCs w:val="24"/>
          <w:highlight w:val="none"/>
          <w:lang w:val="en-US" w:eastAsia="zh-CN" w:bidi="ar-SA"/>
        </w:rPr>
        <w:t>磋商小组</w:t>
      </w:r>
    </w:p>
    <w:p w14:paraId="2D3AD83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.1 磋商小组由采购人代表和评审专家共3人以上单数组成，其中评审专家人数不得少于磋商小组成员总数的2/3。采购人代表不得以评审专家身份参加本部门或本单位采购项目的评审。采购代理机构人员不得参加本机构代理的采购项目的评审。</w:t>
      </w:r>
    </w:p>
    <w:p w14:paraId="7D71BDF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.2 磋商小组成员有下列情形之一的，应当回避：</w:t>
      </w:r>
    </w:p>
    <w:p w14:paraId="7A6ACEE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（1）参加采购活动前3年内与</w:t>
      </w:r>
      <w:r>
        <w:rPr>
          <w:rFonts w:hint="eastAsia" w:ascii="宋体" w:hAnsi="宋体" w:eastAsia="宋体" w:cs="宋体"/>
          <w:i w:val="0"/>
          <w:iCs w:val="0"/>
          <w:color w:val="auto"/>
          <w:sz w:val="24"/>
          <w:szCs w:val="24"/>
          <w:highlight w:val="none"/>
          <w:lang w:val="en-US" w:eastAsia="zh-CN"/>
        </w:rPr>
        <w:t>磋商供应商</w:t>
      </w:r>
      <w:r>
        <w:rPr>
          <w:rFonts w:hint="eastAsia" w:ascii="宋体" w:hAnsi="宋体" w:eastAsia="宋体" w:cs="宋体"/>
          <w:i w:val="0"/>
          <w:iCs w:val="0"/>
          <w:color w:val="auto"/>
          <w:sz w:val="24"/>
          <w:szCs w:val="24"/>
          <w:highlight w:val="none"/>
        </w:rPr>
        <w:t>存在劳动关系；</w:t>
      </w:r>
    </w:p>
    <w:p w14:paraId="2209E087">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（2）参加采购活动前3年内担任</w:t>
      </w:r>
      <w:r>
        <w:rPr>
          <w:rFonts w:hint="eastAsia" w:ascii="宋体" w:hAnsi="宋体" w:eastAsia="宋体" w:cs="宋体"/>
          <w:i w:val="0"/>
          <w:iCs w:val="0"/>
          <w:color w:val="auto"/>
          <w:sz w:val="24"/>
          <w:szCs w:val="24"/>
          <w:highlight w:val="none"/>
          <w:lang w:val="en-US" w:eastAsia="zh-CN"/>
        </w:rPr>
        <w:t>磋商供应商</w:t>
      </w:r>
      <w:r>
        <w:rPr>
          <w:rFonts w:hint="eastAsia" w:ascii="宋体" w:hAnsi="宋体" w:eastAsia="宋体" w:cs="宋体"/>
          <w:i w:val="0"/>
          <w:iCs w:val="0"/>
          <w:color w:val="auto"/>
          <w:sz w:val="24"/>
          <w:szCs w:val="24"/>
          <w:highlight w:val="none"/>
        </w:rPr>
        <w:t>的董事、监事；</w:t>
      </w:r>
    </w:p>
    <w:p w14:paraId="03AEBEC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（3）参加采购活动前3年内是</w:t>
      </w:r>
      <w:r>
        <w:rPr>
          <w:rFonts w:hint="eastAsia" w:ascii="宋体" w:hAnsi="宋体" w:eastAsia="宋体" w:cs="宋体"/>
          <w:i w:val="0"/>
          <w:iCs w:val="0"/>
          <w:color w:val="auto"/>
          <w:sz w:val="24"/>
          <w:szCs w:val="24"/>
          <w:highlight w:val="none"/>
          <w:lang w:val="en-US" w:eastAsia="zh-CN"/>
        </w:rPr>
        <w:t>磋商供应商</w:t>
      </w:r>
      <w:r>
        <w:rPr>
          <w:rFonts w:hint="eastAsia" w:ascii="宋体" w:hAnsi="宋体" w:eastAsia="宋体" w:cs="宋体"/>
          <w:i w:val="0"/>
          <w:iCs w:val="0"/>
          <w:color w:val="auto"/>
          <w:sz w:val="24"/>
          <w:szCs w:val="24"/>
          <w:highlight w:val="none"/>
        </w:rPr>
        <w:t>的控股股东或者实际控制人；</w:t>
      </w:r>
    </w:p>
    <w:p w14:paraId="3EED69A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（4）与</w:t>
      </w:r>
      <w:r>
        <w:rPr>
          <w:rFonts w:hint="eastAsia" w:ascii="宋体" w:hAnsi="宋体" w:eastAsia="宋体" w:cs="宋体"/>
          <w:i w:val="0"/>
          <w:iCs w:val="0"/>
          <w:color w:val="auto"/>
          <w:sz w:val="24"/>
          <w:szCs w:val="24"/>
          <w:highlight w:val="none"/>
          <w:lang w:val="en-US" w:eastAsia="zh-CN"/>
        </w:rPr>
        <w:t>磋商供应商</w:t>
      </w:r>
      <w:r>
        <w:rPr>
          <w:rFonts w:hint="eastAsia" w:ascii="宋体" w:hAnsi="宋体" w:eastAsia="宋体" w:cs="宋体"/>
          <w:i w:val="0"/>
          <w:iCs w:val="0"/>
          <w:color w:val="auto"/>
          <w:sz w:val="24"/>
          <w:szCs w:val="24"/>
          <w:highlight w:val="none"/>
        </w:rPr>
        <w:t>的法定代表人或者负责人有夫妻、直系血亲、三代以内旁系血亲或者近姻亲关系；</w:t>
      </w:r>
    </w:p>
    <w:p w14:paraId="29D072B9">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（5）与</w:t>
      </w:r>
      <w:r>
        <w:rPr>
          <w:rFonts w:hint="eastAsia" w:ascii="宋体" w:hAnsi="宋体" w:eastAsia="宋体" w:cs="宋体"/>
          <w:i w:val="0"/>
          <w:iCs w:val="0"/>
          <w:color w:val="auto"/>
          <w:sz w:val="24"/>
          <w:szCs w:val="24"/>
          <w:highlight w:val="none"/>
          <w:lang w:val="en-US" w:eastAsia="zh-CN"/>
        </w:rPr>
        <w:t>磋商供应商</w:t>
      </w:r>
      <w:r>
        <w:rPr>
          <w:rFonts w:hint="eastAsia" w:ascii="宋体" w:hAnsi="宋体" w:eastAsia="宋体" w:cs="宋体"/>
          <w:i w:val="0"/>
          <w:iCs w:val="0"/>
          <w:color w:val="auto"/>
          <w:sz w:val="24"/>
          <w:szCs w:val="24"/>
          <w:highlight w:val="none"/>
        </w:rPr>
        <w:t>有其他可能影响采购活动公平、公正进行的关系。</w:t>
      </w:r>
    </w:p>
    <w:p w14:paraId="696A6F04">
      <w:pPr>
        <w:pStyle w:val="38"/>
        <w:keepNext w:val="0"/>
        <w:keepLines w:val="0"/>
        <w:pageBreakBefore w:val="0"/>
        <w:widowControl w:val="0"/>
        <w:kinsoku/>
        <w:overflowPunct/>
        <w:topLinePunct w:val="0"/>
        <w:autoSpaceDE/>
        <w:autoSpaceDN/>
        <w:bidi w:val="0"/>
        <w:adjustRightInd/>
        <w:jc w:val="both"/>
        <w:textAlignment w:val="auto"/>
        <w:rPr>
          <w:rFonts w:hint="default" w:ascii="宋体" w:hAnsi="宋体" w:eastAsia="宋体" w:cs="宋体"/>
          <w:i w:val="0"/>
          <w:iCs w:val="0"/>
          <w:color w:val="auto"/>
          <w:sz w:val="24"/>
          <w:szCs w:val="24"/>
          <w:highlight w:val="none"/>
          <w:lang w:val="en-US" w:eastAsia="zh-CN"/>
        </w:rPr>
      </w:pPr>
      <w:r>
        <w:rPr>
          <w:rFonts w:hint="eastAsia" w:cs="宋体"/>
          <w:i w:val="0"/>
          <w:iCs w:val="0"/>
          <w:color w:val="auto"/>
          <w:sz w:val="24"/>
          <w:szCs w:val="24"/>
          <w:highlight w:val="none"/>
          <w:lang w:val="en-US" w:eastAsia="zh-CN"/>
        </w:rPr>
        <w:t xml:space="preserve">28.3 </w:t>
      </w:r>
      <w:r>
        <w:rPr>
          <w:rFonts w:hint="eastAsia" w:ascii="宋体" w:hAnsi="宋体" w:cs="宋体"/>
          <w:kern w:val="0"/>
          <w:sz w:val="24"/>
          <w:highlight w:val="none"/>
        </w:rPr>
        <w:t>本项目</w:t>
      </w:r>
      <w:r>
        <w:rPr>
          <w:rFonts w:hint="eastAsia" w:ascii="宋体" w:hAnsi="宋体" w:cs="宋体"/>
          <w:kern w:val="0"/>
          <w:sz w:val="24"/>
          <w:highlight w:val="none"/>
          <w:lang w:val="en-US" w:eastAsia="zh-CN"/>
        </w:rPr>
        <w:t>磋商小组</w:t>
      </w:r>
      <w:r>
        <w:rPr>
          <w:rFonts w:hint="eastAsia" w:ascii="宋体" w:hAnsi="宋体" w:cs="宋体"/>
          <w:kern w:val="0"/>
          <w:sz w:val="24"/>
          <w:highlight w:val="none"/>
        </w:rPr>
        <w:t>由</w:t>
      </w:r>
      <w:r>
        <w:rPr>
          <w:rFonts w:hint="eastAsia" w:ascii="宋体" w:hAnsi="宋体" w:cs="宋体"/>
          <w:kern w:val="0"/>
          <w:sz w:val="24"/>
          <w:highlight w:val="none"/>
          <w:u w:val="single"/>
        </w:rPr>
        <w:t xml:space="preserve">  </w:t>
      </w:r>
      <w:r>
        <w:rPr>
          <w:rFonts w:hint="eastAsia" w:ascii="宋体" w:hAnsi="宋体" w:cs="宋体"/>
          <w:kern w:val="0"/>
          <w:sz w:val="24"/>
          <w:highlight w:val="none"/>
          <w:u w:val="single"/>
          <w:lang w:val="en-US" w:eastAsia="zh-CN"/>
        </w:rPr>
        <w:t>5</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人组成，专家库中随机抽取专家 </w:t>
      </w:r>
      <w:r>
        <w:rPr>
          <w:rFonts w:hint="eastAsia" w:ascii="宋体" w:hAnsi="宋体" w:cs="宋体"/>
          <w:kern w:val="0"/>
          <w:sz w:val="24"/>
          <w:highlight w:val="none"/>
          <w:u w:val="single"/>
        </w:rPr>
        <w:t xml:space="preserve">  </w:t>
      </w:r>
      <w:r>
        <w:rPr>
          <w:rFonts w:hint="eastAsia" w:ascii="宋体" w:hAnsi="宋体" w:cs="宋体"/>
          <w:kern w:val="0"/>
          <w:sz w:val="24"/>
          <w:highlight w:val="none"/>
          <w:u w:val="single"/>
          <w:lang w:val="en-US" w:eastAsia="zh-CN"/>
        </w:rPr>
        <w:t>4</w:t>
      </w:r>
      <w:r>
        <w:rPr>
          <w:rFonts w:hint="eastAsia" w:ascii="宋体" w:hAnsi="宋体" w:cs="宋体"/>
          <w:kern w:val="0"/>
          <w:sz w:val="24"/>
          <w:highlight w:val="none"/>
          <w:u w:val="single"/>
        </w:rPr>
        <w:t xml:space="preserve">  </w:t>
      </w:r>
      <w:r>
        <w:rPr>
          <w:rFonts w:hint="eastAsia" w:ascii="宋体" w:hAnsi="宋体" w:cs="宋体"/>
          <w:kern w:val="0"/>
          <w:sz w:val="24"/>
          <w:highlight w:val="none"/>
        </w:rPr>
        <w:t>人,采购人代表</w:t>
      </w:r>
      <w:r>
        <w:rPr>
          <w:rFonts w:hint="eastAsia" w:ascii="宋体" w:hAnsi="宋体" w:cs="宋体"/>
          <w:kern w:val="0"/>
          <w:sz w:val="24"/>
          <w:highlight w:val="none"/>
          <w:u w:val="single"/>
        </w:rPr>
        <w:t xml:space="preserve">  </w:t>
      </w:r>
      <w:r>
        <w:rPr>
          <w:rFonts w:hint="eastAsia" w:ascii="宋体" w:hAnsi="宋体" w:cs="宋体"/>
          <w:kern w:val="0"/>
          <w:sz w:val="24"/>
          <w:highlight w:val="none"/>
          <w:u w:val="single"/>
          <w:lang w:val="en-US" w:eastAsia="zh-CN"/>
        </w:rPr>
        <w:t>1</w:t>
      </w:r>
      <w:r>
        <w:rPr>
          <w:rFonts w:hint="eastAsia" w:ascii="宋体" w:hAnsi="宋体" w:cs="宋体"/>
          <w:kern w:val="0"/>
          <w:sz w:val="24"/>
          <w:highlight w:val="none"/>
          <w:u w:val="single"/>
        </w:rPr>
        <w:t xml:space="preserve">  </w:t>
      </w:r>
      <w:r>
        <w:rPr>
          <w:rFonts w:hint="eastAsia" w:ascii="宋体" w:hAnsi="宋体" w:cs="宋体"/>
          <w:kern w:val="0"/>
          <w:sz w:val="24"/>
          <w:highlight w:val="none"/>
        </w:rPr>
        <w:t>人。</w:t>
      </w:r>
    </w:p>
    <w:p w14:paraId="72A83031">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08" w:name="_Toc140132791"/>
      <w:bookmarkStart w:id="309" w:name="_Toc163492858"/>
      <w:r>
        <w:rPr>
          <w:rFonts w:hint="eastAsia" w:ascii="宋体" w:hAnsi="宋体" w:eastAsia="宋体" w:cs="宋体"/>
          <w:b/>
          <w:bCs/>
          <w:i w:val="0"/>
          <w:iCs w:val="0"/>
          <w:color w:val="auto"/>
          <w:kern w:val="2"/>
          <w:sz w:val="24"/>
          <w:szCs w:val="24"/>
          <w:highlight w:val="none"/>
          <w:lang w:val="en-US" w:eastAsia="zh-CN" w:bidi="ar-SA"/>
        </w:rPr>
        <w:t>29.</w:t>
      </w:r>
      <w:bookmarkEnd w:id="308"/>
      <w:bookmarkEnd w:id="309"/>
      <w:r>
        <w:rPr>
          <w:rFonts w:hint="eastAsia" w:ascii="宋体" w:hAnsi="宋体" w:eastAsia="宋体" w:cs="宋体"/>
          <w:b/>
          <w:bCs/>
          <w:i w:val="0"/>
          <w:iCs w:val="0"/>
          <w:color w:val="auto"/>
          <w:kern w:val="2"/>
          <w:sz w:val="24"/>
          <w:szCs w:val="24"/>
          <w:highlight w:val="none"/>
          <w:lang w:val="en-US" w:eastAsia="zh-CN" w:bidi="ar-SA"/>
        </w:rPr>
        <w:t>评审</w:t>
      </w:r>
    </w:p>
    <w:p w14:paraId="1AFF334C">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29</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 xml:space="preserve">1 </w:t>
      </w:r>
      <w:r>
        <w:rPr>
          <w:rFonts w:hint="eastAsia" w:ascii="宋体" w:hAnsi="宋体" w:eastAsia="宋体" w:cs="宋体"/>
          <w:i w:val="0"/>
          <w:iCs w:val="0"/>
          <w:color w:val="auto"/>
          <w:sz w:val="24"/>
          <w:szCs w:val="24"/>
          <w:highlight w:val="none"/>
        </w:rPr>
        <w:t>磋商小组按照“第</w:t>
      </w:r>
      <w:r>
        <w:rPr>
          <w:rFonts w:hint="eastAsia" w:ascii="宋体" w:hAnsi="宋体" w:eastAsia="宋体" w:cs="宋体"/>
          <w:i w:val="0"/>
          <w:iCs w:val="0"/>
          <w:color w:val="auto"/>
          <w:sz w:val="24"/>
          <w:szCs w:val="24"/>
          <w:highlight w:val="none"/>
          <w:lang w:val="en-US" w:eastAsia="zh-CN"/>
        </w:rPr>
        <w:t>四</w:t>
      </w:r>
      <w:r>
        <w:rPr>
          <w:rFonts w:hint="eastAsia" w:ascii="宋体" w:hAnsi="宋体" w:eastAsia="宋体" w:cs="宋体"/>
          <w:i w:val="0"/>
          <w:iCs w:val="0"/>
          <w:color w:val="auto"/>
          <w:sz w:val="24"/>
          <w:szCs w:val="24"/>
          <w:highlight w:val="none"/>
        </w:rPr>
        <w:t>章</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评</w:t>
      </w:r>
      <w:r>
        <w:rPr>
          <w:rFonts w:hint="eastAsia" w:ascii="宋体" w:hAnsi="宋体" w:eastAsia="宋体" w:cs="宋体"/>
          <w:i w:val="0"/>
          <w:iCs w:val="0"/>
          <w:color w:val="auto"/>
          <w:sz w:val="24"/>
          <w:szCs w:val="24"/>
          <w:highlight w:val="none"/>
          <w:lang w:val="en-US" w:eastAsia="zh-CN"/>
        </w:rPr>
        <w:t>审</w:t>
      </w:r>
      <w:r>
        <w:rPr>
          <w:rFonts w:hint="eastAsia" w:ascii="宋体" w:hAnsi="宋体" w:eastAsia="宋体" w:cs="宋体"/>
          <w:i w:val="0"/>
          <w:iCs w:val="0"/>
          <w:color w:val="auto"/>
          <w:sz w:val="24"/>
          <w:szCs w:val="24"/>
          <w:highlight w:val="none"/>
        </w:rPr>
        <w:t>方法及标准”</w:t>
      </w:r>
      <w:r>
        <w:rPr>
          <w:rFonts w:hint="eastAsia" w:ascii="宋体" w:hAnsi="宋体" w:eastAsia="宋体" w:cs="宋体"/>
          <w:i w:val="0"/>
          <w:iCs w:val="0"/>
          <w:color w:val="auto"/>
          <w:sz w:val="24"/>
          <w:szCs w:val="24"/>
          <w:highlight w:val="none"/>
          <w:lang w:val="en-US" w:eastAsia="zh-CN"/>
        </w:rPr>
        <w:t>的</w:t>
      </w:r>
      <w:r>
        <w:rPr>
          <w:rFonts w:hint="eastAsia" w:ascii="宋体" w:hAnsi="宋体" w:eastAsia="宋体" w:cs="宋体"/>
          <w:i w:val="0"/>
          <w:iCs w:val="0"/>
          <w:color w:val="auto"/>
          <w:sz w:val="24"/>
          <w:szCs w:val="24"/>
          <w:highlight w:val="none"/>
        </w:rPr>
        <w:t>规定对</w:t>
      </w:r>
      <w:r>
        <w:rPr>
          <w:rFonts w:hint="eastAsia" w:ascii="宋体" w:hAnsi="宋体" w:eastAsia="宋体"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rPr>
        <w:t>文件进行评审。“第</w:t>
      </w:r>
      <w:r>
        <w:rPr>
          <w:rFonts w:hint="eastAsia" w:ascii="宋体" w:hAnsi="宋体" w:eastAsia="宋体" w:cs="宋体"/>
          <w:i w:val="0"/>
          <w:iCs w:val="0"/>
          <w:color w:val="auto"/>
          <w:sz w:val="24"/>
          <w:szCs w:val="24"/>
          <w:highlight w:val="none"/>
          <w:lang w:val="en-US" w:eastAsia="zh-CN"/>
        </w:rPr>
        <w:t>四</w:t>
      </w:r>
      <w:r>
        <w:rPr>
          <w:rFonts w:hint="eastAsia" w:ascii="宋体" w:hAnsi="宋体" w:eastAsia="宋体" w:cs="宋体"/>
          <w:i w:val="0"/>
          <w:iCs w:val="0"/>
          <w:color w:val="auto"/>
          <w:sz w:val="24"/>
          <w:szCs w:val="24"/>
          <w:highlight w:val="none"/>
        </w:rPr>
        <w:t>章</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评</w:t>
      </w:r>
      <w:r>
        <w:rPr>
          <w:rFonts w:hint="eastAsia" w:ascii="宋体" w:hAnsi="宋体" w:eastAsia="宋体" w:cs="宋体"/>
          <w:i w:val="0"/>
          <w:iCs w:val="0"/>
          <w:color w:val="auto"/>
          <w:sz w:val="24"/>
          <w:szCs w:val="24"/>
          <w:highlight w:val="none"/>
          <w:lang w:val="en-US" w:eastAsia="zh-CN"/>
        </w:rPr>
        <w:t>审</w:t>
      </w:r>
      <w:r>
        <w:rPr>
          <w:rFonts w:hint="eastAsia" w:ascii="宋体" w:hAnsi="宋体" w:eastAsia="宋体" w:cs="宋体"/>
          <w:i w:val="0"/>
          <w:iCs w:val="0"/>
          <w:color w:val="auto"/>
          <w:sz w:val="24"/>
          <w:szCs w:val="24"/>
          <w:highlight w:val="none"/>
        </w:rPr>
        <w:t>方法及标准”没有规定的方法、评审因素和标准，不作为评</w:t>
      </w:r>
      <w:r>
        <w:rPr>
          <w:rFonts w:hint="eastAsia" w:ascii="宋体" w:hAnsi="宋体" w:eastAsia="宋体" w:cs="宋体"/>
          <w:i w:val="0"/>
          <w:iCs w:val="0"/>
          <w:color w:val="auto"/>
          <w:sz w:val="24"/>
          <w:szCs w:val="24"/>
          <w:highlight w:val="none"/>
          <w:lang w:val="en-US" w:eastAsia="zh-CN"/>
        </w:rPr>
        <w:t>审</w:t>
      </w:r>
      <w:r>
        <w:rPr>
          <w:rFonts w:hint="eastAsia" w:ascii="宋体" w:hAnsi="宋体" w:eastAsia="宋体" w:cs="宋体"/>
          <w:i w:val="0"/>
          <w:iCs w:val="0"/>
          <w:color w:val="auto"/>
          <w:sz w:val="24"/>
          <w:szCs w:val="24"/>
          <w:highlight w:val="none"/>
        </w:rPr>
        <w:t>依据。</w:t>
      </w:r>
      <w:r>
        <w:rPr>
          <w:rFonts w:hint="eastAsia" w:cs="宋体"/>
          <w:color w:val="auto"/>
          <w:sz w:val="24"/>
          <w:szCs w:val="24"/>
          <w:highlight w:val="none"/>
          <w:lang w:val="en-US" w:eastAsia="zh-CN"/>
        </w:rPr>
        <w:t>本项目磋商轮次及磋商顺序详“供应商须知前附表”。</w:t>
      </w:r>
    </w:p>
    <w:p w14:paraId="2C4DE764">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29</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 xml:space="preserve">2 </w:t>
      </w:r>
      <w:r>
        <w:rPr>
          <w:rFonts w:hint="eastAsia" w:ascii="宋体" w:hAnsi="宋体" w:eastAsia="宋体" w:cs="宋体"/>
          <w:i w:val="0"/>
          <w:iCs w:val="0"/>
          <w:color w:val="auto"/>
          <w:sz w:val="24"/>
          <w:szCs w:val="24"/>
          <w:highlight w:val="none"/>
        </w:rPr>
        <w:t>磋商小组按“</w:t>
      </w:r>
      <w:r>
        <w:rPr>
          <w:rFonts w:hint="eastAsia" w:ascii="宋体" w:hAnsi="宋体" w:eastAsia="宋体" w:cs="宋体"/>
          <w:i w:val="0"/>
          <w:iCs w:val="0"/>
          <w:color w:val="auto"/>
          <w:sz w:val="24"/>
          <w:szCs w:val="24"/>
          <w:highlight w:val="none"/>
          <w:lang w:val="en-US" w:eastAsia="zh-CN"/>
        </w:rPr>
        <w:t>供应商</w:t>
      </w:r>
      <w:r>
        <w:rPr>
          <w:rFonts w:hint="eastAsia" w:ascii="宋体" w:hAnsi="宋体" w:eastAsia="宋体" w:cs="宋体"/>
          <w:i w:val="0"/>
          <w:iCs w:val="0"/>
          <w:color w:val="auto"/>
          <w:sz w:val="24"/>
          <w:szCs w:val="24"/>
          <w:highlight w:val="none"/>
        </w:rPr>
        <w:t>须知前附表”规定的</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候选人数量在评</w:t>
      </w:r>
      <w:r>
        <w:rPr>
          <w:rFonts w:hint="eastAsia" w:ascii="宋体" w:hAnsi="宋体" w:eastAsia="宋体" w:cs="宋体"/>
          <w:i w:val="0"/>
          <w:iCs w:val="0"/>
          <w:color w:val="auto"/>
          <w:sz w:val="24"/>
          <w:szCs w:val="24"/>
          <w:highlight w:val="none"/>
          <w:lang w:val="en-US" w:eastAsia="zh-CN"/>
        </w:rPr>
        <w:t>审</w:t>
      </w:r>
      <w:r>
        <w:rPr>
          <w:rFonts w:hint="eastAsia" w:ascii="宋体" w:hAnsi="宋体" w:eastAsia="宋体" w:cs="宋体"/>
          <w:i w:val="0"/>
          <w:iCs w:val="0"/>
          <w:color w:val="auto"/>
          <w:sz w:val="24"/>
          <w:szCs w:val="24"/>
          <w:highlight w:val="none"/>
        </w:rPr>
        <w:t>报告中向采购人推荐</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候选人。</w:t>
      </w:r>
    </w:p>
    <w:p w14:paraId="5C9A448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29.3 开启之后，直到签订合同止，凡是属于审查、澄清、评价和比较磋商的有关资料以及确定成交意向等，均不得向供应商或者其他与评审无关的人员透露。</w:t>
      </w:r>
    </w:p>
    <w:p w14:paraId="750F98C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29.4 在确定成交人之前，供应商试图在响应文件审查、澄清、比较和评审时对</w:t>
      </w:r>
      <w:r>
        <w:rPr>
          <w:rFonts w:hint="eastAsia" w:ascii="宋体" w:hAnsi="宋体" w:eastAsia="宋体" w:cs="宋体"/>
          <w:i w:val="0"/>
          <w:iCs w:val="0"/>
          <w:color w:val="auto"/>
          <w:sz w:val="24"/>
          <w:szCs w:val="24"/>
          <w:highlight w:val="none"/>
        </w:rPr>
        <w:t>磋商小组</w:t>
      </w:r>
      <w:r>
        <w:rPr>
          <w:rFonts w:hint="eastAsia" w:ascii="宋体" w:hAnsi="宋体" w:eastAsia="宋体" w:cs="宋体"/>
          <w:i w:val="0"/>
          <w:iCs w:val="0"/>
          <w:color w:val="auto"/>
          <w:sz w:val="24"/>
          <w:szCs w:val="24"/>
          <w:highlight w:val="none"/>
          <w:lang w:val="en-US" w:eastAsia="zh-CN"/>
        </w:rPr>
        <w:t>、采购人和采购代理机构施加任何影响都可能导致其</w:t>
      </w:r>
      <w:r>
        <w:rPr>
          <w:rFonts w:hint="eastAsia" w:ascii="宋体" w:hAnsi="宋体" w:eastAsia="宋体" w:cs="宋体"/>
          <w:b/>
          <w:bCs/>
          <w:i w:val="0"/>
          <w:iCs w:val="0"/>
          <w:color w:val="auto"/>
          <w:sz w:val="24"/>
          <w:szCs w:val="24"/>
          <w:highlight w:val="none"/>
          <w:lang w:val="en-US" w:eastAsia="zh-CN"/>
        </w:rPr>
        <w:t>响应无效</w:t>
      </w:r>
      <w:r>
        <w:rPr>
          <w:rFonts w:hint="eastAsia" w:ascii="宋体" w:hAnsi="宋体" w:eastAsia="宋体" w:cs="宋体"/>
          <w:i w:val="0"/>
          <w:iCs w:val="0"/>
          <w:color w:val="auto"/>
          <w:sz w:val="24"/>
          <w:szCs w:val="24"/>
          <w:highlight w:val="none"/>
          <w:lang w:val="en-US" w:eastAsia="zh-CN"/>
        </w:rPr>
        <w:t>。</w:t>
      </w:r>
    </w:p>
    <w:p w14:paraId="0382427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29.5 电子招投标的应急措施</w:t>
      </w:r>
    </w:p>
    <w:p w14:paraId="6B1061E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29.5.1电子开启、评审如出现下列原因，导致系统无法正常运行或无法正常评审时，应采取应急措施。</w:t>
      </w:r>
    </w:p>
    <w:p w14:paraId="5685E27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（1）系统服务器发生故障，无法访问或无法使用系统；</w:t>
      </w:r>
    </w:p>
    <w:p w14:paraId="6A46683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（2）系统的软件或数据库出现错误，不能进行正常操作；</w:t>
      </w:r>
    </w:p>
    <w:p w14:paraId="0F97F52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（3）系统发现有安全漏洞，有潜在的泄密危险；</w:t>
      </w:r>
    </w:p>
    <w:p w14:paraId="1008BEC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（4）病毒发作或受到外来病毒的攻击；</w:t>
      </w:r>
    </w:p>
    <w:p w14:paraId="4BF7B38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（5）出现其他不可抗拒的客观原因造成开评标系统无法正常使用。</w:t>
      </w:r>
    </w:p>
    <w:p w14:paraId="1CDF4139">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出现上述情况时，应对未开启的暂停开启。已在系统内开启、评审的立即停止。采取应急措施时，必须对原有资料及信息作出妥善保密处理。</w:t>
      </w:r>
    </w:p>
    <w:p w14:paraId="5EB32E4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29.5.2因系统原因导致供应商均无法解密电子响应文件时，采购代理机构可在开启现场直接导入供应商在递交响应文件截止时间前递交的未加密的电子响应文件进行开启、评审。</w:t>
      </w:r>
    </w:p>
    <w:p w14:paraId="1389A179">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29.6 供应商瑕疵滞后发现的处理规则</w:t>
      </w:r>
    </w:p>
    <w:p w14:paraId="4987B95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29.6.1无论基于何种原因，各项本应作拒绝处理的情形即便未被及时发现而使该供应商进入初审、综合评审或其他后续程序，包括已经签订合同的情形，一旦供应商被拒绝或该供应商的此前评议结果被取消，其现有的位置将被其他供应商依序替代，相关的一切损失均由该供应商承担。</w:t>
      </w:r>
    </w:p>
    <w:p w14:paraId="75C369C8">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10" w:name="_Toc470172692"/>
      <w:bookmarkStart w:id="311" w:name="_Toc46771670"/>
      <w:bookmarkStart w:id="312" w:name="_Toc109899563"/>
      <w:bookmarkStart w:id="313" w:name="_Toc109897464"/>
      <w:bookmarkStart w:id="314" w:name="_Toc109900401"/>
      <w:bookmarkStart w:id="315" w:name="_Toc163493616"/>
      <w:bookmarkStart w:id="316" w:name="_Toc109899982"/>
      <w:r>
        <w:rPr>
          <w:rFonts w:hint="eastAsia" w:ascii="宋体" w:hAnsi="宋体" w:eastAsia="宋体" w:cs="宋体"/>
          <w:b/>
          <w:bCs/>
          <w:i w:val="0"/>
          <w:iCs w:val="0"/>
          <w:color w:val="auto"/>
          <w:kern w:val="2"/>
          <w:sz w:val="24"/>
          <w:szCs w:val="24"/>
          <w:highlight w:val="none"/>
          <w:lang w:val="en-US" w:eastAsia="zh-CN" w:bidi="ar-SA"/>
        </w:rPr>
        <w:t>（八）成交</w:t>
      </w:r>
      <w:bookmarkEnd w:id="310"/>
      <w:bookmarkEnd w:id="311"/>
      <w:bookmarkEnd w:id="312"/>
      <w:bookmarkEnd w:id="313"/>
      <w:bookmarkEnd w:id="314"/>
      <w:bookmarkEnd w:id="315"/>
      <w:bookmarkEnd w:id="316"/>
    </w:p>
    <w:p w14:paraId="122F9B80">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17" w:name="_Toc52960584"/>
      <w:bookmarkStart w:id="318" w:name="_Toc46771671"/>
      <w:bookmarkStart w:id="319" w:name="_Toc48846140"/>
      <w:bookmarkStart w:id="320" w:name="_Toc46772272"/>
      <w:bookmarkStart w:id="321" w:name="_Toc51674242"/>
      <w:bookmarkStart w:id="322" w:name="_Toc109897465"/>
      <w:bookmarkStart w:id="323" w:name="_Toc48688820"/>
      <w:bookmarkStart w:id="324" w:name="_Toc109900402"/>
      <w:bookmarkStart w:id="325" w:name="_Toc52962758"/>
      <w:bookmarkStart w:id="326" w:name="_Toc109899983"/>
      <w:bookmarkStart w:id="327" w:name="_Toc109899564"/>
      <w:bookmarkStart w:id="328" w:name="_Hlk143533953"/>
      <w:r>
        <w:rPr>
          <w:rFonts w:hint="eastAsia" w:ascii="宋体" w:hAnsi="宋体" w:eastAsia="宋体" w:cs="宋体"/>
          <w:b/>
          <w:bCs/>
          <w:i w:val="0"/>
          <w:iCs w:val="0"/>
          <w:color w:val="auto"/>
          <w:kern w:val="2"/>
          <w:sz w:val="24"/>
          <w:szCs w:val="24"/>
          <w:highlight w:val="none"/>
          <w:lang w:val="en-US" w:eastAsia="zh-CN" w:bidi="ar-SA"/>
        </w:rPr>
        <w:t>30.确定成交供应商</w:t>
      </w:r>
      <w:bookmarkEnd w:id="317"/>
      <w:bookmarkEnd w:id="318"/>
      <w:bookmarkEnd w:id="319"/>
      <w:bookmarkEnd w:id="320"/>
      <w:bookmarkEnd w:id="321"/>
      <w:bookmarkEnd w:id="322"/>
      <w:bookmarkEnd w:id="323"/>
      <w:bookmarkEnd w:id="324"/>
      <w:bookmarkEnd w:id="325"/>
      <w:bookmarkEnd w:id="326"/>
      <w:bookmarkEnd w:id="327"/>
    </w:p>
    <w:p w14:paraId="375086A3">
      <w:pPr>
        <w:keepNext w:val="0"/>
        <w:keepLines w:val="0"/>
        <w:pageBreakBefore w:val="0"/>
        <w:widowControl w:val="0"/>
        <w:tabs>
          <w:tab w:val="left" w:pos="426"/>
        </w:tabs>
        <w:kinsoku/>
        <w:overflowPunct/>
        <w:topLinePunct w:val="0"/>
        <w:autoSpaceDE w:val="0"/>
        <w:autoSpaceDN w:val="0"/>
        <w:bidi w:val="0"/>
        <w:adjustRightInd w:val="0"/>
        <w:snapToGrid w:val="0"/>
        <w:ind w:firstLine="480" w:firstLineChars="20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en-US" w:eastAsia="zh-CN"/>
        </w:rPr>
        <w:t>30</w:t>
      </w:r>
      <w:r>
        <w:rPr>
          <w:rFonts w:hint="eastAsia" w:ascii="宋体" w:hAnsi="宋体" w:eastAsia="宋体" w:cs="宋体"/>
          <w:i w:val="0"/>
          <w:iCs w:val="0"/>
          <w:snapToGrid w:val="0"/>
          <w:color w:val="auto"/>
          <w:sz w:val="24"/>
          <w:szCs w:val="24"/>
          <w:highlight w:val="none"/>
          <w:lang w:val="zh-CN"/>
        </w:rPr>
        <w:t>.1确定成交供应商详见”供应商须知前附表”。</w:t>
      </w:r>
    </w:p>
    <w:p w14:paraId="12C75BAC">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31.成交结果公告</w:t>
      </w:r>
    </w:p>
    <w:p w14:paraId="24B606F7">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snapToGrid w:val="0"/>
          <w:color w:val="auto"/>
          <w:sz w:val="24"/>
          <w:szCs w:val="24"/>
          <w:highlight w:val="none"/>
          <w:lang w:val="en-US" w:eastAsia="zh-CN"/>
        </w:rPr>
        <w:t>31</w:t>
      </w:r>
      <w:r>
        <w:rPr>
          <w:rFonts w:hint="eastAsia" w:ascii="宋体" w:hAnsi="宋体" w:eastAsia="宋体" w:cs="宋体"/>
          <w:i w:val="0"/>
          <w:iCs w:val="0"/>
          <w:snapToGrid w:val="0"/>
          <w:color w:val="auto"/>
          <w:sz w:val="24"/>
          <w:szCs w:val="24"/>
          <w:highlight w:val="none"/>
          <w:lang w:val="zh-CN"/>
        </w:rPr>
        <w:t>.1</w:t>
      </w:r>
      <w:r>
        <w:rPr>
          <w:rFonts w:hint="eastAsia" w:ascii="宋体" w:hAnsi="宋体" w:eastAsia="宋体" w:cs="宋体"/>
          <w:i w:val="0"/>
          <w:iCs w:val="0"/>
          <w:color w:val="auto"/>
          <w:sz w:val="24"/>
          <w:szCs w:val="24"/>
          <w:highlight w:val="none"/>
        </w:rPr>
        <w:t>采购人或者采购代理机构应当在成交供应商确定后2个工作日内，在省级以上财政部门指定的政府采购信息发布媒体上公告成交结果，磋商文件</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bCs/>
          <w:i w:val="0"/>
          <w:iCs w:val="0"/>
          <w:color w:val="auto"/>
          <w:sz w:val="24"/>
          <w:szCs w:val="24"/>
          <w:highlight w:val="none"/>
          <w:lang w:eastAsia="zh-CN"/>
        </w:rPr>
        <w:t>成交</w:t>
      </w:r>
      <w:r>
        <w:rPr>
          <w:rFonts w:hint="eastAsia" w:ascii="宋体" w:hAnsi="宋体" w:eastAsia="宋体" w:cs="宋体"/>
          <w:bCs/>
          <w:i w:val="0"/>
          <w:iCs w:val="0"/>
          <w:color w:val="auto"/>
          <w:sz w:val="24"/>
          <w:szCs w:val="24"/>
          <w:highlight w:val="none"/>
          <w:lang w:val="en-US" w:eastAsia="zh-CN"/>
        </w:rPr>
        <w:t>供应商的评审总得分</w:t>
      </w:r>
      <w:r>
        <w:rPr>
          <w:rFonts w:hint="eastAsia" w:ascii="宋体" w:hAnsi="宋体" w:eastAsia="宋体" w:cs="宋体"/>
          <w:i w:val="0"/>
          <w:iCs w:val="0"/>
          <w:color w:val="auto"/>
          <w:sz w:val="24"/>
          <w:szCs w:val="24"/>
          <w:highlight w:val="none"/>
        </w:rPr>
        <w:t>随成交结果同时公告。</w:t>
      </w:r>
    </w:p>
    <w:p w14:paraId="520189E6">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3</w:t>
      </w:r>
      <w:r>
        <w:rPr>
          <w:rFonts w:hint="eastAsia" w:ascii="宋体" w:hAnsi="宋体" w:eastAsia="宋体" w:cs="宋体"/>
          <w:bCs/>
          <w:i w:val="0"/>
          <w:iCs w:val="0"/>
          <w:color w:val="auto"/>
          <w:sz w:val="24"/>
          <w:szCs w:val="24"/>
          <w:highlight w:val="none"/>
          <w:lang w:val="en-US" w:eastAsia="zh-CN"/>
        </w:rPr>
        <w:t>1</w:t>
      </w:r>
      <w:r>
        <w:rPr>
          <w:rFonts w:hint="eastAsia" w:ascii="宋体" w:hAnsi="宋体" w:eastAsia="宋体" w:cs="宋体"/>
          <w:bCs/>
          <w:i w:val="0"/>
          <w:iCs w:val="0"/>
          <w:color w:val="auto"/>
          <w:sz w:val="24"/>
          <w:szCs w:val="24"/>
          <w:highlight w:val="none"/>
        </w:rPr>
        <w:t>.2</w:t>
      </w:r>
      <w:r>
        <w:rPr>
          <w:rFonts w:hint="eastAsia" w:ascii="宋体" w:hAnsi="宋体" w:eastAsia="宋体" w:cs="宋体"/>
          <w:bCs/>
          <w:i w:val="0"/>
          <w:iCs w:val="0"/>
          <w:color w:val="auto"/>
          <w:sz w:val="24"/>
          <w:szCs w:val="24"/>
          <w:highlight w:val="none"/>
          <w:lang w:eastAsia="zh-CN"/>
        </w:rPr>
        <w:t>成交</w:t>
      </w:r>
      <w:r>
        <w:rPr>
          <w:rFonts w:hint="eastAsia" w:ascii="宋体" w:hAnsi="宋体" w:eastAsia="宋体" w:cs="宋体"/>
          <w:bCs/>
          <w:i w:val="0"/>
          <w:iCs w:val="0"/>
          <w:color w:val="auto"/>
          <w:sz w:val="24"/>
          <w:szCs w:val="24"/>
          <w:highlight w:val="none"/>
          <w:lang w:val="en-US" w:eastAsia="zh-CN"/>
        </w:rPr>
        <w:t>人</w:t>
      </w:r>
      <w:r>
        <w:rPr>
          <w:rFonts w:hint="eastAsia" w:ascii="宋体" w:hAnsi="宋体" w:eastAsia="宋体" w:cs="宋体"/>
          <w:bCs/>
          <w:i w:val="0"/>
          <w:iCs w:val="0"/>
          <w:color w:val="auto"/>
          <w:sz w:val="24"/>
          <w:szCs w:val="24"/>
          <w:highlight w:val="none"/>
          <w:lang w:eastAsia="zh-CN"/>
        </w:rPr>
        <w:t>为中小企业</w:t>
      </w:r>
      <w:r>
        <w:rPr>
          <w:rFonts w:hint="eastAsia" w:ascii="宋体" w:hAnsi="宋体" w:eastAsia="宋体" w:cs="宋体"/>
          <w:bCs/>
          <w:i w:val="0"/>
          <w:iCs w:val="0"/>
          <w:color w:val="auto"/>
          <w:sz w:val="24"/>
          <w:szCs w:val="24"/>
          <w:highlight w:val="none"/>
          <w:lang w:val="en-US" w:eastAsia="zh-CN"/>
        </w:rPr>
        <w:t>享受中小企业扶持政策的</w:t>
      </w:r>
      <w:r>
        <w:rPr>
          <w:rFonts w:hint="eastAsia" w:ascii="宋体" w:hAnsi="宋体" w:eastAsia="宋体" w:cs="宋体"/>
          <w:bCs/>
          <w:i w:val="0"/>
          <w:iCs w:val="0"/>
          <w:color w:val="auto"/>
          <w:sz w:val="24"/>
          <w:szCs w:val="24"/>
          <w:highlight w:val="none"/>
          <w:lang w:eastAsia="zh-CN"/>
        </w:rPr>
        <w:t>，其“中小企业声明函”随成交结果同时公告。成交</w:t>
      </w:r>
      <w:r>
        <w:rPr>
          <w:rFonts w:hint="eastAsia" w:ascii="宋体" w:hAnsi="宋体" w:eastAsia="宋体" w:cs="宋体"/>
          <w:bCs/>
          <w:i w:val="0"/>
          <w:iCs w:val="0"/>
          <w:color w:val="auto"/>
          <w:sz w:val="24"/>
          <w:szCs w:val="24"/>
          <w:highlight w:val="none"/>
          <w:lang w:val="en-US" w:eastAsia="zh-CN"/>
        </w:rPr>
        <w:t>人</w:t>
      </w:r>
      <w:r>
        <w:rPr>
          <w:rFonts w:hint="eastAsia" w:ascii="宋体" w:hAnsi="宋体" w:eastAsia="宋体" w:cs="宋体"/>
          <w:bCs/>
          <w:i w:val="0"/>
          <w:iCs w:val="0"/>
          <w:color w:val="auto"/>
          <w:sz w:val="24"/>
          <w:szCs w:val="24"/>
          <w:highlight w:val="none"/>
          <w:lang w:eastAsia="zh-CN"/>
        </w:rPr>
        <w:t>为残疾人福利性单位的，其“残疾人福利性单位声明函”随成交结果同时公告。</w:t>
      </w:r>
    </w:p>
    <w:p w14:paraId="003005F8">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32.成交通知书</w:t>
      </w:r>
    </w:p>
    <w:p w14:paraId="40D9EC11">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en-US" w:eastAsia="zh-CN"/>
        </w:rPr>
        <w:t>32</w:t>
      </w:r>
      <w:r>
        <w:rPr>
          <w:rFonts w:hint="eastAsia" w:ascii="宋体" w:hAnsi="宋体" w:eastAsia="宋体" w:cs="宋体"/>
          <w:i w:val="0"/>
          <w:iCs w:val="0"/>
          <w:snapToGrid w:val="0"/>
          <w:color w:val="auto"/>
          <w:sz w:val="24"/>
          <w:szCs w:val="24"/>
          <w:highlight w:val="none"/>
          <w:lang w:val="zh-CN"/>
        </w:rPr>
        <w:t>.1发布成交结果公告同时向成交供应商发出成交通知书。成交通知书是合同的组成部分,对成交供应商和采购人具有同等法律效力。</w:t>
      </w:r>
    </w:p>
    <w:p w14:paraId="1E582D8F">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29" w:name="_Toc163493617"/>
      <w:r>
        <w:rPr>
          <w:rFonts w:hint="eastAsia" w:ascii="宋体" w:hAnsi="宋体" w:eastAsia="宋体" w:cs="宋体"/>
          <w:b/>
          <w:bCs/>
          <w:i w:val="0"/>
          <w:iCs w:val="0"/>
          <w:color w:val="auto"/>
          <w:kern w:val="2"/>
          <w:sz w:val="24"/>
          <w:szCs w:val="24"/>
          <w:highlight w:val="none"/>
          <w:lang w:val="en-US" w:eastAsia="zh-CN" w:bidi="ar-SA"/>
        </w:rPr>
        <w:t>（九）签订合同</w:t>
      </w:r>
      <w:bookmarkEnd w:id="329"/>
    </w:p>
    <w:p w14:paraId="1489B33B">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30" w:name="_Toc109897466"/>
      <w:bookmarkStart w:id="331" w:name="_Toc48846141"/>
      <w:bookmarkStart w:id="332" w:name="_Toc52962759"/>
      <w:bookmarkStart w:id="333" w:name="_Toc52960585"/>
      <w:bookmarkStart w:id="334" w:name="_Toc109900403"/>
      <w:bookmarkStart w:id="335" w:name="_Toc46772273"/>
      <w:bookmarkStart w:id="336" w:name="_Toc48688821"/>
      <w:bookmarkStart w:id="337" w:name="_Toc109899984"/>
      <w:bookmarkStart w:id="338" w:name="_Toc51674243"/>
      <w:bookmarkStart w:id="339" w:name="_Toc109899565"/>
      <w:bookmarkStart w:id="340" w:name="_Toc46771672"/>
      <w:r>
        <w:rPr>
          <w:rFonts w:hint="eastAsia" w:ascii="宋体" w:hAnsi="宋体" w:eastAsia="宋体" w:cs="宋体"/>
          <w:b/>
          <w:bCs/>
          <w:i w:val="0"/>
          <w:iCs w:val="0"/>
          <w:color w:val="auto"/>
          <w:kern w:val="2"/>
          <w:sz w:val="24"/>
          <w:szCs w:val="24"/>
          <w:highlight w:val="none"/>
          <w:lang w:val="en-US" w:eastAsia="zh-CN" w:bidi="ar-SA"/>
        </w:rPr>
        <w:t>33.履约保证金</w:t>
      </w:r>
    </w:p>
    <w:p w14:paraId="66525D5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.1在签订合同前，成交供应商应按“供应商须知前附表”规定的金额、担保形式和采购人认可的履约担保格式向采购人提交履约保证金。</w:t>
      </w:r>
    </w:p>
    <w:p w14:paraId="26B7C00D">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.2成交供应商不能按本章第3</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.1项要求提交履约担保的，视为放弃成交，给采购人造成损失的，成交供应商还应当承担民事责任。</w:t>
      </w:r>
    </w:p>
    <w:p w14:paraId="252386D5">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34.签订合同</w:t>
      </w:r>
      <w:bookmarkEnd w:id="330"/>
      <w:bookmarkEnd w:id="331"/>
      <w:bookmarkEnd w:id="332"/>
      <w:bookmarkEnd w:id="333"/>
      <w:bookmarkEnd w:id="334"/>
      <w:bookmarkEnd w:id="335"/>
      <w:bookmarkEnd w:id="336"/>
      <w:bookmarkEnd w:id="337"/>
      <w:bookmarkEnd w:id="338"/>
      <w:bookmarkEnd w:id="339"/>
      <w:bookmarkEnd w:id="340"/>
    </w:p>
    <w:p w14:paraId="751BD68D">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snapToGrid w:val="0"/>
          <w:color w:val="auto"/>
          <w:sz w:val="24"/>
          <w:szCs w:val="24"/>
          <w:highlight w:val="none"/>
          <w:lang w:val="zh-CN"/>
        </w:rPr>
        <w:t>3</w:t>
      </w:r>
      <w:r>
        <w:rPr>
          <w:rFonts w:hint="eastAsia" w:ascii="宋体" w:hAnsi="宋体" w:eastAsia="宋体" w:cs="宋体"/>
          <w:i w:val="0"/>
          <w:iCs w:val="0"/>
          <w:snapToGrid w:val="0"/>
          <w:color w:val="auto"/>
          <w:sz w:val="24"/>
          <w:szCs w:val="24"/>
          <w:highlight w:val="none"/>
          <w:lang w:val="en-US" w:eastAsia="zh-CN"/>
        </w:rPr>
        <w:t>4</w:t>
      </w:r>
      <w:r>
        <w:rPr>
          <w:rFonts w:hint="eastAsia" w:ascii="宋体" w:hAnsi="宋体" w:eastAsia="宋体" w:cs="宋体"/>
          <w:i w:val="0"/>
          <w:iCs w:val="0"/>
          <w:snapToGrid w:val="0"/>
          <w:color w:val="auto"/>
          <w:sz w:val="24"/>
          <w:szCs w:val="24"/>
          <w:highlight w:val="none"/>
          <w:lang w:val="zh-CN"/>
        </w:rPr>
        <w:t>.1采购人与成交供应商应当在成交通知书发出之日起</w:t>
      </w:r>
      <w:r>
        <w:rPr>
          <w:rFonts w:hint="eastAsia" w:cs="宋体"/>
          <w:i w:val="0"/>
          <w:iCs w:val="0"/>
          <w:snapToGrid w:val="0"/>
          <w:color w:val="auto"/>
          <w:sz w:val="24"/>
          <w:szCs w:val="24"/>
          <w:highlight w:val="none"/>
          <w:lang w:val="en-US" w:eastAsia="zh-CN"/>
        </w:rPr>
        <w:t>30</w:t>
      </w:r>
      <w:r>
        <w:rPr>
          <w:rFonts w:hint="eastAsia" w:ascii="宋体" w:hAnsi="宋体" w:eastAsia="宋体" w:cs="宋体"/>
          <w:i w:val="0"/>
          <w:iCs w:val="0"/>
          <w:snapToGrid w:val="0"/>
          <w:color w:val="auto"/>
          <w:sz w:val="24"/>
          <w:szCs w:val="24"/>
          <w:highlight w:val="none"/>
          <w:lang w:val="zh-CN"/>
        </w:rPr>
        <w:t>日内，按照磋商文件确定的合同文本以及采购标的、规格型号、采购金额、采购数量、技术和服务要求等事项签订政府采购合同。</w:t>
      </w:r>
      <w:r>
        <w:rPr>
          <w:rFonts w:hint="eastAsia" w:ascii="宋体" w:hAnsi="宋体" w:eastAsia="宋体" w:cs="宋体"/>
          <w:i w:val="0"/>
          <w:iCs w:val="0"/>
          <w:color w:val="auto"/>
          <w:sz w:val="24"/>
          <w:szCs w:val="24"/>
          <w:highlight w:val="none"/>
        </w:rPr>
        <w:t>采购人因不可抗力原因迟延签订合同的，应当自不可抗力事由消除之日起7日内完成合同签订事宜。所签订的合同不得对</w:t>
      </w:r>
      <w:r>
        <w:rPr>
          <w:rFonts w:hint="eastAsia" w:ascii="宋体" w:hAnsi="宋体" w:eastAsia="宋体" w:cs="宋体"/>
          <w:i w:val="0"/>
          <w:iCs w:val="0"/>
          <w:color w:val="auto"/>
          <w:sz w:val="24"/>
          <w:szCs w:val="24"/>
          <w:highlight w:val="none"/>
          <w:lang w:val="en-US" w:eastAsia="zh-CN"/>
        </w:rPr>
        <w:t>磋商</w:t>
      </w:r>
      <w:r>
        <w:rPr>
          <w:rFonts w:hint="eastAsia" w:ascii="宋体" w:hAnsi="宋体" w:eastAsia="宋体" w:cs="宋体"/>
          <w:i w:val="0"/>
          <w:iCs w:val="0"/>
          <w:color w:val="auto"/>
          <w:sz w:val="24"/>
          <w:szCs w:val="24"/>
          <w:highlight w:val="none"/>
        </w:rPr>
        <w:t>文件和</w:t>
      </w:r>
      <w:r>
        <w:rPr>
          <w:rFonts w:hint="eastAsia" w:ascii="宋体" w:hAnsi="宋体" w:eastAsia="宋体" w:cs="宋体"/>
          <w:i w:val="0"/>
          <w:iCs w:val="0"/>
          <w:color w:val="auto"/>
          <w:sz w:val="24"/>
          <w:szCs w:val="24"/>
          <w:highlight w:val="none"/>
          <w:lang w:val="en-US" w:eastAsia="zh-CN"/>
        </w:rPr>
        <w:t>成交供应商响应</w:t>
      </w:r>
      <w:r>
        <w:rPr>
          <w:rFonts w:hint="eastAsia" w:ascii="宋体" w:hAnsi="宋体" w:eastAsia="宋体" w:cs="宋体"/>
          <w:i w:val="0"/>
          <w:iCs w:val="0"/>
          <w:color w:val="auto"/>
          <w:sz w:val="24"/>
          <w:szCs w:val="24"/>
          <w:highlight w:val="none"/>
        </w:rPr>
        <w:t>文件作实质性修改。</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人无正当理由拒签合同，给采购人造成损失的，</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人还应当承担民事责任。</w:t>
      </w:r>
    </w:p>
    <w:p w14:paraId="42BCA016">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.2</w:t>
      </w:r>
      <w:r>
        <w:rPr>
          <w:rFonts w:hint="eastAsia" w:ascii="宋体" w:hAnsi="宋体" w:eastAsia="宋体" w:cs="宋体"/>
          <w:i w:val="0"/>
          <w:iCs w:val="0"/>
          <w:color w:val="auto"/>
          <w:sz w:val="24"/>
          <w:szCs w:val="24"/>
          <w:highlight w:val="none"/>
          <w:lang w:val="zh-CN"/>
        </w:rPr>
        <w:t>成交供应商拒绝签订政府采购合同的，采购人可以</w:t>
      </w:r>
      <w:r>
        <w:rPr>
          <w:rFonts w:hint="eastAsia" w:ascii="宋体" w:hAnsi="宋体" w:eastAsia="宋体" w:cs="宋体"/>
          <w:i w:val="0"/>
          <w:iCs w:val="0"/>
          <w:color w:val="auto"/>
          <w:sz w:val="24"/>
          <w:szCs w:val="24"/>
          <w:highlight w:val="none"/>
          <w:lang w:val="en-US" w:eastAsia="zh-CN"/>
        </w:rPr>
        <w:t>按照</w:t>
      </w:r>
      <w:r>
        <w:rPr>
          <w:rFonts w:hint="eastAsia" w:ascii="宋体" w:hAnsi="宋体" w:eastAsia="宋体" w:cs="宋体"/>
          <w:i w:val="0"/>
          <w:iCs w:val="0"/>
          <w:color w:val="auto"/>
          <w:sz w:val="24"/>
          <w:szCs w:val="24"/>
          <w:highlight w:val="none"/>
          <w:lang w:val="zh-CN"/>
        </w:rPr>
        <w:t>《政府采购竞争性磋商采购方式管理暂行办法》（财库〔2014〕214号）第二十八条第二款规定</w:t>
      </w:r>
      <w:r>
        <w:rPr>
          <w:rFonts w:hint="eastAsia" w:cs="宋体"/>
          <w:i w:val="0"/>
          <w:iCs w:val="0"/>
          <w:color w:val="auto"/>
          <w:sz w:val="24"/>
          <w:szCs w:val="24"/>
          <w:highlight w:val="none"/>
          <w:lang w:val="zh-CN"/>
        </w:rPr>
        <w:t>的</w:t>
      </w:r>
      <w:r>
        <w:rPr>
          <w:rFonts w:hint="eastAsia" w:cs="宋体"/>
          <w:i w:val="0"/>
          <w:iCs w:val="0"/>
          <w:color w:val="auto"/>
          <w:sz w:val="24"/>
          <w:szCs w:val="24"/>
          <w:highlight w:val="none"/>
          <w:lang w:val="en-US" w:eastAsia="zh-CN"/>
        </w:rPr>
        <w:t>原则</w:t>
      </w:r>
      <w:r>
        <w:rPr>
          <w:rFonts w:hint="eastAsia" w:ascii="宋体" w:hAnsi="宋体" w:eastAsia="宋体" w:cs="宋体"/>
          <w:i w:val="0"/>
          <w:iCs w:val="0"/>
          <w:color w:val="auto"/>
          <w:sz w:val="24"/>
          <w:szCs w:val="24"/>
          <w:highlight w:val="none"/>
          <w:lang w:val="zh-CN"/>
        </w:rPr>
        <w:t>确定其他供应商作为成交供应商并签订政府采购合同，也可以重新开展采购活动。拒绝签订政府采购合同的成交供应商不得参加对该项目重新开展的采购活动。</w:t>
      </w:r>
    </w:p>
    <w:p w14:paraId="1B163862">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3</w:t>
      </w:r>
      <w:r>
        <w:rPr>
          <w:rFonts w:hint="eastAsia" w:ascii="宋体" w:hAnsi="宋体" w:eastAsia="宋体" w:cs="宋体"/>
          <w:bCs/>
          <w:i w:val="0"/>
          <w:iCs w:val="0"/>
          <w:color w:val="auto"/>
          <w:sz w:val="24"/>
          <w:szCs w:val="24"/>
          <w:highlight w:val="none"/>
          <w:lang w:val="en-US" w:eastAsia="zh-CN"/>
        </w:rPr>
        <w:t>4</w:t>
      </w:r>
      <w:r>
        <w:rPr>
          <w:rFonts w:hint="eastAsia" w:ascii="宋体" w:hAnsi="宋体" w:eastAsia="宋体" w:cs="宋体"/>
          <w:bCs/>
          <w:i w:val="0"/>
          <w:iCs w:val="0"/>
          <w:color w:val="auto"/>
          <w:sz w:val="24"/>
          <w:szCs w:val="24"/>
          <w:highlight w:val="none"/>
        </w:rPr>
        <w:t>.3</w:t>
      </w:r>
      <w:r>
        <w:rPr>
          <w:rFonts w:hint="eastAsia" w:ascii="宋体" w:hAnsi="宋体" w:eastAsia="宋体" w:cs="宋体"/>
          <w:i w:val="0"/>
          <w:iCs w:val="0"/>
          <w:color w:val="auto"/>
          <w:sz w:val="24"/>
          <w:szCs w:val="24"/>
          <w:highlight w:val="none"/>
        </w:rPr>
        <w:t>采购人和</w:t>
      </w:r>
      <w:r>
        <w:rPr>
          <w:rFonts w:hint="eastAsia" w:ascii="宋体" w:hAnsi="宋体" w:eastAsia="宋体"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供应商不得向对方提出任何不合理的要求，作为签订合同的条件，双方不得私下订立背离合同实质性内容的协议。</w:t>
      </w:r>
    </w:p>
    <w:p w14:paraId="666C08D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34.4联合体成交的，联合体各方应当共同与采购人签订合同，就采购合同约定的事项向采购人承担连带责任。</w:t>
      </w:r>
    </w:p>
    <w:p w14:paraId="1898210E">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b/>
          <w:bCs/>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34.5本项目的非主体、非关键性工作是否允许分包，见“供应商须知前附表”。</w:t>
      </w:r>
      <w:r>
        <w:rPr>
          <w:rFonts w:hint="eastAsia" w:ascii="宋体" w:hAnsi="宋体" w:eastAsia="宋体" w:cs="宋体"/>
          <w:i w:val="0"/>
          <w:iCs w:val="0"/>
          <w:color w:val="auto"/>
          <w:sz w:val="24"/>
          <w:szCs w:val="24"/>
          <w:highlight w:val="none"/>
        </w:rPr>
        <w:t>供应商未遵守竞争性磋商文件分包规定的，其</w:t>
      </w:r>
      <w:r>
        <w:rPr>
          <w:rFonts w:hint="eastAsia" w:ascii="宋体" w:hAnsi="宋体" w:eastAsia="宋体" w:cs="宋体"/>
          <w:b/>
          <w:bCs/>
          <w:i w:val="0"/>
          <w:iCs w:val="0"/>
          <w:color w:val="auto"/>
          <w:sz w:val="24"/>
          <w:szCs w:val="24"/>
          <w:highlight w:val="none"/>
        </w:rPr>
        <w:t>响应无效</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采购人允许采用分包方式履行合同的，成交供应商可以依法在成交后将成交项目的非主体、非关键性工作采取分包方式履行合同。政府采购合同分包履行的，应当在响应文件中载明分包承担主体，分包承担主体应当具备相应资质条件且不得再次分包，否则</w:t>
      </w:r>
      <w:r>
        <w:rPr>
          <w:rFonts w:hint="eastAsia" w:ascii="宋体" w:hAnsi="宋体" w:eastAsia="宋体" w:cs="宋体"/>
          <w:b/>
          <w:bCs/>
          <w:i w:val="0"/>
          <w:iCs w:val="0"/>
          <w:color w:val="auto"/>
          <w:sz w:val="24"/>
          <w:szCs w:val="24"/>
          <w:highlight w:val="none"/>
          <w:lang w:val="en-US" w:eastAsia="zh-CN"/>
        </w:rPr>
        <w:t>成交无效</w:t>
      </w:r>
      <w:r>
        <w:rPr>
          <w:rFonts w:hint="eastAsia" w:ascii="宋体" w:hAnsi="宋体" w:eastAsia="宋体" w:cs="宋体"/>
          <w:i w:val="0"/>
          <w:iCs w:val="0"/>
          <w:color w:val="auto"/>
          <w:sz w:val="24"/>
          <w:szCs w:val="24"/>
          <w:highlight w:val="none"/>
          <w:lang w:val="en-US" w:eastAsia="zh-CN"/>
        </w:rPr>
        <w:t>。成交供应商就采购项目和分包项目向采购人负责，分包供应商就分包项目承担责任。</w:t>
      </w:r>
      <w:r>
        <w:rPr>
          <w:rFonts w:hint="eastAsia" w:ascii="宋体" w:hAnsi="宋体" w:eastAsia="宋体" w:cs="宋体"/>
          <w:b/>
          <w:bCs/>
          <w:i w:val="0"/>
          <w:iCs w:val="0"/>
          <w:color w:val="auto"/>
          <w:sz w:val="24"/>
          <w:szCs w:val="24"/>
          <w:highlight w:val="none"/>
          <w:lang w:val="en-US" w:eastAsia="zh-CN"/>
        </w:rPr>
        <w:t>政府采购合同不能转包。</w:t>
      </w:r>
    </w:p>
    <w:p w14:paraId="3BBA3F7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3</w:t>
      </w:r>
      <w:r>
        <w:rPr>
          <w:rFonts w:hint="eastAsia" w:ascii="宋体" w:hAnsi="宋体" w:eastAsia="宋体" w:cs="宋体"/>
          <w:bCs/>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采购合同履行中，采购人需追加与合同标的相同的</w:t>
      </w:r>
      <w:r>
        <w:rPr>
          <w:rFonts w:hint="eastAsia" w:ascii="宋体" w:hAnsi="宋体" w:eastAsia="宋体" w:cs="宋体"/>
          <w:i w:val="0"/>
          <w:iCs w:val="0"/>
          <w:color w:val="auto"/>
          <w:sz w:val="24"/>
          <w:szCs w:val="24"/>
          <w:highlight w:val="none"/>
          <w:lang w:val="en-US" w:eastAsia="zh-CN"/>
        </w:rPr>
        <w:t>货物、工程或者服务</w:t>
      </w:r>
      <w:r>
        <w:rPr>
          <w:rFonts w:hint="eastAsia" w:ascii="宋体" w:hAnsi="宋体" w:eastAsia="宋体" w:cs="宋体"/>
          <w:i w:val="0"/>
          <w:iCs w:val="0"/>
          <w:color w:val="auto"/>
          <w:sz w:val="24"/>
          <w:szCs w:val="24"/>
          <w:highlight w:val="none"/>
        </w:rPr>
        <w:t>的，在不改变合同其他条款的前提下，可以与成交供应商协商签订补充合同，但所有补充合同的采购金额不得超过原合同采购金额的百分之十。</w:t>
      </w:r>
    </w:p>
    <w:p w14:paraId="0F6EB38B">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34.7采购人应于签订合同之日起2个工作日内在政采云平台备案公示。</w:t>
      </w:r>
    </w:p>
    <w:bookmarkEnd w:id="328"/>
    <w:p w14:paraId="24DC3484">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41" w:name="_Toc109899566"/>
      <w:bookmarkStart w:id="342" w:name="_Toc163493618"/>
      <w:bookmarkStart w:id="343" w:name="_Toc109899985"/>
      <w:bookmarkStart w:id="344" w:name="_Toc109900404"/>
      <w:bookmarkStart w:id="345" w:name="_Toc109897467"/>
      <w:bookmarkStart w:id="346" w:name="_Toc46771673"/>
      <w:bookmarkStart w:id="347" w:name="_Toc470172693"/>
      <w:r>
        <w:rPr>
          <w:rFonts w:hint="eastAsia" w:ascii="宋体" w:hAnsi="宋体" w:eastAsia="宋体" w:cs="宋体"/>
          <w:b/>
          <w:bCs/>
          <w:i w:val="0"/>
          <w:iCs w:val="0"/>
          <w:color w:val="auto"/>
          <w:kern w:val="2"/>
          <w:sz w:val="24"/>
          <w:szCs w:val="24"/>
          <w:highlight w:val="none"/>
          <w:lang w:val="en-US" w:eastAsia="zh-CN" w:bidi="ar-SA"/>
        </w:rPr>
        <w:t>（十）质疑和投诉</w:t>
      </w:r>
      <w:bookmarkEnd w:id="341"/>
      <w:bookmarkEnd w:id="342"/>
      <w:bookmarkEnd w:id="343"/>
      <w:bookmarkEnd w:id="344"/>
      <w:bookmarkEnd w:id="345"/>
      <w:bookmarkEnd w:id="346"/>
    </w:p>
    <w:p w14:paraId="054CA5A8">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48" w:name="_Toc48846143"/>
      <w:bookmarkStart w:id="349" w:name="_Toc109899567"/>
      <w:bookmarkStart w:id="350" w:name="_Toc109899986"/>
      <w:bookmarkStart w:id="351" w:name="_Toc52960587"/>
      <w:bookmarkStart w:id="352" w:name="_Toc109897468"/>
      <w:bookmarkStart w:id="353" w:name="_Toc109900405"/>
      <w:bookmarkStart w:id="354" w:name="_Toc52962761"/>
      <w:bookmarkStart w:id="355" w:name="_Toc46772275"/>
      <w:bookmarkStart w:id="356" w:name="_Toc46771674"/>
      <w:bookmarkStart w:id="357" w:name="_Toc48688823"/>
      <w:bookmarkStart w:id="358" w:name="_Toc51674245"/>
      <w:r>
        <w:rPr>
          <w:rFonts w:hint="eastAsia" w:ascii="宋体" w:hAnsi="宋体" w:eastAsia="宋体" w:cs="宋体"/>
          <w:b/>
          <w:bCs/>
          <w:i w:val="0"/>
          <w:iCs w:val="0"/>
          <w:color w:val="auto"/>
          <w:kern w:val="2"/>
          <w:sz w:val="24"/>
          <w:szCs w:val="24"/>
          <w:highlight w:val="none"/>
          <w:lang w:val="en-US" w:eastAsia="zh-CN" w:bidi="ar-SA"/>
        </w:rPr>
        <w:t>35.质疑</w:t>
      </w:r>
      <w:bookmarkEnd w:id="348"/>
      <w:bookmarkEnd w:id="349"/>
      <w:bookmarkEnd w:id="350"/>
      <w:bookmarkEnd w:id="351"/>
      <w:bookmarkEnd w:id="352"/>
      <w:bookmarkEnd w:id="353"/>
      <w:bookmarkEnd w:id="354"/>
      <w:bookmarkEnd w:id="355"/>
      <w:bookmarkEnd w:id="356"/>
      <w:bookmarkEnd w:id="357"/>
      <w:bookmarkEnd w:id="358"/>
    </w:p>
    <w:bookmarkEnd w:id="106"/>
    <w:bookmarkEnd w:id="347"/>
    <w:p w14:paraId="2A0BDFC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bookmarkStart w:id="359" w:name="_Toc109897469"/>
      <w:bookmarkStart w:id="360" w:name="_Toc48846144"/>
      <w:bookmarkStart w:id="361" w:name="_Toc52962762"/>
      <w:bookmarkStart w:id="362" w:name="_Toc46771675"/>
      <w:bookmarkStart w:id="363" w:name="_Toc51674246"/>
      <w:bookmarkStart w:id="364" w:name="_Toc109900406"/>
      <w:bookmarkStart w:id="365" w:name="_Toc109899568"/>
      <w:bookmarkStart w:id="366" w:name="_Toc48688824"/>
      <w:bookmarkStart w:id="367" w:name="_Toc52960588"/>
      <w:bookmarkStart w:id="368" w:name="_Toc109899987"/>
      <w:bookmarkStart w:id="369" w:name="_Toc46772276"/>
      <w:bookmarkStart w:id="370" w:name="_Toc163493619"/>
      <w:bookmarkStart w:id="371" w:name="_Toc109900408"/>
      <w:bookmarkStart w:id="372" w:name="_Toc109899989"/>
      <w:bookmarkStart w:id="373" w:name="_Toc109897471"/>
      <w:bookmarkStart w:id="374" w:name="_Hlk60570485"/>
      <w:bookmarkStart w:id="375" w:name="_Toc109899570"/>
      <w:r>
        <w:rPr>
          <w:rFonts w:hint="eastAsia" w:ascii="宋体" w:hAnsi="宋体" w:eastAsia="宋体" w:cs="宋体"/>
          <w:bCs/>
          <w:i w:val="0"/>
          <w:iCs w:val="0"/>
          <w:color w:val="auto"/>
          <w:sz w:val="24"/>
          <w:szCs w:val="24"/>
          <w:highlight w:val="none"/>
        </w:rPr>
        <w:t>3</w:t>
      </w:r>
      <w:r>
        <w:rPr>
          <w:rFonts w:hint="eastAsia" w:ascii="宋体" w:hAnsi="宋体" w:eastAsia="宋体" w:cs="宋体"/>
          <w:bCs/>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.1供应商认为</w:t>
      </w:r>
      <w:r>
        <w:rPr>
          <w:rFonts w:hint="eastAsia" w:ascii="宋体" w:hAnsi="宋体" w:eastAsia="宋体" w:cs="宋体"/>
          <w:i w:val="0"/>
          <w:iCs w:val="0"/>
          <w:color w:val="auto"/>
          <w:sz w:val="24"/>
          <w:szCs w:val="24"/>
          <w:highlight w:val="none"/>
          <w:lang w:eastAsia="zh-CN"/>
        </w:rPr>
        <w:t>磋商</w:t>
      </w:r>
      <w:r>
        <w:rPr>
          <w:rFonts w:hint="eastAsia" w:ascii="宋体" w:hAnsi="宋体" w:eastAsia="宋体" w:cs="宋体"/>
          <w:i w:val="0"/>
          <w:iCs w:val="0"/>
          <w:color w:val="auto"/>
          <w:sz w:val="24"/>
          <w:szCs w:val="24"/>
          <w:highlight w:val="none"/>
        </w:rPr>
        <w:t>文件、</w:t>
      </w:r>
      <w:r>
        <w:rPr>
          <w:rFonts w:hint="eastAsia" w:ascii="宋体" w:hAnsi="宋体" w:eastAsia="宋体" w:cs="宋体"/>
          <w:i w:val="0"/>
          <w:iCs w:val="0"/>
          <w:color w:val="auto"/>
          <w:sz w:val="24"/>
          <w:szCs w:val="24"/>
          <w:highlight w:val="none"/>
          <w:lang w:eastAsia="zh-CN"/>
        </w:rPr>
        <w:t>评审</w:t>
      </w:r>
      <w:r>
        <w:rPr>
          <w:rFonts w:hint="eastAsia" w:ascii="宋体" w:hAnsi="宋体" w:eastAsia="宋体" w:cs="宋体"/>
          <w:i w:val="0"/>
          <w:iCs w:val="0"/>
          <w:color w:val="auto"/>
          <w:sz w:val="24"/>
          <w:szCs w:val="24"/>
          <w:highlight w:val="none"/>
        </w:rPr>
        <w:t>过程、成交结果使自己的权益受到损害的，可以在知道或者应知其权益受到损害之日起7个工作日内，以书面形式向采购人、采购代理机构提出质疑</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详见“供应商须知前附表”</w:t>
      </w:r>
      <w:r>
        <w:rPr>
          <w:rFonts w:hint="eastAsia" w:ascii="宋体" w:hAnsi="宋体" w:eastAsia="宋体" w:cs="宋体"/>
          <w:i w:val="0"/>
          <w:iCs w:val="0"/>
          <w:color w:val="auto"/>
          <w:sz w:val="24"/>
          <w:szCs w:val="24"/>
          <w:highlight w:val="none"/>
        </w:rPr>
        <w:t>。供应商在法定质疑期内一次性提出针对同一采购程序环节的质疑。</w:t>
      </w:r>
    </w:p>
    <w:p w14:paraId="260C888F">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3</w:t>
      </w:r>
      <w:r>
        <w:rPr>
          <w:rFonts w:hint="eastAsia" w:ascii="宋体" w:hAnsi="宋体" w:eastAsia="宋体" w:cs="宋体"/>
          <w:bCs/>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.2提出质疑的供应商（以下简称质疑供应商）应当是参与所质疑项目采购活动的供应商。</w:t>
      </w:r>
    </w:p>
    <w:p w14:paraId="46C97D2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35.3</w:t>
      </w:r>
      <w:r>
        <w:rPr>
          <w:rFonts w:hint="eastAsia" w:ascii="宋体" w:hAnsi="宋体" w:eastAsia="宋体" w:cs="宋体"/>
          <w:i w:val="0"/>
          <w:iCs w:val="0"/>
          <w:color w:val="auto"/>
          <w:sz w:val="24"/>
          <w:szCs w:val="24"/>
          <w:highlight w:val="none"/>
        </w:rPr>
        <w:t>潜在供应商已依法获取其可质疑的</w:t>
      </w:r>
      <w:r>
        <w:rPr>
          <w:rFonts w:hint="eastAsia" w:ascii="宋体" w:hAnsi="宋体" w:eastAsia="宋体" w:cs="宋体"/>
          <w:i w:val="0"/>
          <w:iCs w:val="0"/>
          <w:color w:val="auto"/>
          <w:sz w:val="24"/>
          <w:szCs w:val="24"/>
          <w:highlight w:val="none"/>
          <w:lang w:eastAsia="zh-CN"/>
        </w:rPr>
        <w:t>磋商</w:t>
      </w:r>
      <w:r>
        <w:rPr>
          <w:rFonts w:hint="eastAsia" w:ascii="宋体" w:hAnsi="宋体" w:eastAsia="宋体" w:cs="宋体"/>
          <w:i w:val="0"/>
          <w:iCs w:val="0"/>
          <w:color w:val="auto"/>
          <w:sz w:val="24"/>
          <w:szCs w:val="24"/>
          <w:highlight w:val="none"/>
        </w:rPr>
        <w:t>文件的，可以对该文件提出质疑。对</w:t>
      </w:r>
      <w:r>
        <w:rPr>
          <w:rFonts w:hint="eastAsia" w:ascii="宋体" w:hAnsi="宋体" w:eastAsia="宋体" w:cs="宋体"/>
          <w:i w:val="0"/>
          <w:iCs w:val="0"/>
          <w:color w:val="auto"/>
          <w:sz w:val="24"/>
          <w:szCs w:val="24"/>
          <w:highlight w:val="none"/>
          <w:lang w:eastAsia="zh-CN"/>
        </w:rPr>
        <w:t>磋商</w:t>
      </w:r>
      <w:r>
        <w:rPr>
          <w:rFonts w:hint="eastAsia" w:ascii="宋体" w:hAnsi="宋体" w:eastAsia="宋体" w:cs="宋体"/>
          <w:i w:val="0"/>
          <w:iCs w:val="0"/>
          <w:color w:val="auto"/>
          <w:sz w:val="24"/>
          <w:szCs w:val="24"/>
          <w:highlight w:val="none"/>
        </w:rPr>
        <w:t>文件提出质疑的，应当在获取</w:t>
      </w:r>
      <w:r>
        <w:rPr>
          <w:rFonts w:hint="eastAsia" w:ascii="宋体" w:hAnsi="宋体" w:eastAsia="宋体" w:cs="宋体"/>
          <w:i w:val="0"/>
          <w:iCs w:val="0"/>
          <w:color w:val="auto"/>
          <w:sz w:val="24"/>
          <w:szCs w:val="24"/>
          <w:highlight w:val="none"/>
          <w:lang w:eastAsia="zh-CN"/>
        </w:rPr>
        <w:t>磋商</w:t>
      </w:r>
      <w:r>
        <w:rPr>
          <w:rFonts w:hint="eastAsia" w:ascii="宋体" w:hAnsi="宋体" w:eastAsia="宋体" w:cs="宋体"/>
          <w:i w:val="0"/>
          <w:iCs w:val="0"/>
          <w:color w:val="auto"/>
          <w:sz w:val="24"/>
          <w:szCs w:val="24"/>
          <w:highlight w:val="none"/>
        </w:rPr>
        <w:t>文件或者</w:t>
      </w:r>
      <w:r>
        <w:rPr>
          <w:rFonts w:hint="eastAsia" w:ascii="宋体" w:hAnsi="宋体" w:eastAsia="宋体" w:cs="宋体"/>
          <w:i w:val="0"/>
          <w:iCs w:val="0"/>
          <w:color w:val="auto"/>
          <w:sz w:val="24"/>
          <w:szCs w:val="24"/>
          <w:highlight w:val="none"/>
          <w:lang w:eastAsia="zh-CN"/>
        </w:rPr>
        <w:t>磋商</w:t>
      </w:r>
      <w:r>
        <w:rPr>
          <w:rFonts w:hint="eastAsia" w:ascii="宋体" w:hAnsi="宋体" w:eastAsia="宋体" w:cs="宋体"/>
          <w:i w:val="0"/>
          <w:iCs w:val="0"/>
          <w:color w:val="auto"/>
          <w:sz w:val="24"/>
          <w:szCs w:val="24"/>
          <w:highlight w:val="none"/>
        </w:rPr>
        <w:t>文件公告期限届满之日起7个工作日内提出。</w:t>
      </w:r>
    </w:p>
    <w:p w14:paraId="38A5CA4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35.4</w:t>
      </w:r>
      <w:r>
        <w:rPr>
          <w:rFonts w:hint="eastAsia" w:ascii="宋体" w:hAnsi="宋体" w:eastAsia="宋体" w:cs="宋体"/>
          <w:i w:val="0"/>
          <w:iCs w:val="0"/>
          <w:color w:val="auto"/>
          <w:sz w:val="24"/>
          <w:szCs w:val="24"/>
          <w:highlight w:val="none"/>
        </w:rPr>
        <w:t>供应商提出质疑应当提交质疑函和必要的证明材料。质疑函应当包括下列内容：</w:t>
      </w:r>
    </w:p>
    <w:p w14:paraId="64BE79C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）供应商的姓名或者名称、地址、邮编、联系人及联系电话；</w:t>
      </w:r>
    </w:p>
    <w:p w14:paraId="0CA09154">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）质疑项目的名称、</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编号</w:t>
      </w:r>
      <w:r>
        <w:rPr>
          <w:rFonts w:hint="eastAsia" w:ascii="宋体" w:hAnsi="宋体" w:eastAsia="宋体" w:cs="宋体"/>
          <w:i w:val="0"/>
          <w:iCs w:val="0"/>
          <w:color w:val="auto"/>
          <w:sz w:val="24"/>
          <w:szCs w:val="24"/>
          <w:highlight w:val="none"/>
          <w:lang w:val="en-US" w:eastAsia="zh-CN"/>
        </w:rPr>
        <w:t>/包号</w:t>
      </w:r>
      <w:r>
        <w:rPr>
          <w:rFonts w:hint="eastAsia" w:ascii="宋体" w:hAnsi="宋体" w:eastAsia="宋体" w:cs="宋体"/>
          <w:i w:val="0"/>
          <w:iCs w:val="0"/>
          <w:color w:val="auto"/>
          <w:sz w:val="24"/>
          <w:szCs w:val="24"/>
          <w:highlight w:val="none"/>
        </w:rPr>
        <w:t>；</w:t>
      </w:r>
    </w:p>
    <w:p w14:paraId="75CCAFA7">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）具体、明确的质疑事项和与质疑事项相关的请求；</w:t>
      </w:r>
    </w:p>
    <w:p w14:paraId="4CD2C93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）事实依据；</w:t>
      </w:r>
    </w:p>
    <w:p w14:paraId="6299A33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）必要的法律依据；</w:t>
      </w:r>
    </w:p>
    <w:p w14:paraId="520A4179">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）提出质疑的日期。</w:t>
      </w:r>
    </w:p>
    <w:p w14:paraId="76BE35B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供应商为自然人的，应当由本人签字；供应商为法人或者其他组织的，应当由法定代表人、主要负责人，或者其授权代表签字或者盖章，并加盖公章。</w:t>
      </w:r>
    </w:p>
    <w:p w14:paraId="1F8D6899">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.5质疑函不符合上述要求的，采购人或代理机构应书面告知具体事项，质疑人应当按要求进行修改或补充，并在质疑有效期限内提交。</w:t>
      </w:r>
    </w:p>
    <w:p w14:paraId="7454187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ascii="宋体" w:hAnsi="宋体" w:eastAsia="宋体" w:cs="宋体"/>
          <w:i w:val="0"/>
          <w:iCs w:val="0"/>
          <w:snapToGrid w:val="0"/>
          <w:color w:val="auto"/>
          <w:sz w:val="24"/>
          <w:szCs w:val="24"/>
          <w:highlight w:val="none"/>
        </w:rPr>
        <w:t>3</w:t>
      </w:r>
      <w:r>
        <w:rPr>
          <w:rFonts w:hint="eastAsia" w:ascii="宋体" w:hAnsi="宋体" w:eastAsia="宋体" w:cs="宋体"/>
          <w:i w:val="0"/>
          <w:iCs w:val="0"/>
          <w:snapToGrid w:val="0"/>
          <w:color w:val="auto"/>
          <w:sz w:val="24"/>
          <w:szCs w:val="24"/>
          <w:highlight w:val="none"/>
          <w:lang w:val="en-US" w:eastAsia="zh-CN"/>
        </w:rPr>
        <w:t>5</w:t>
      </w:r>
      <w:r>
        <w:rPr>
          <w:rFonts w:hint="eastAsia" w:ascii="宋体" w:hAnsi="宋体" w:eastAsia="宋体" w:cs="宋体"/>
          <w:i w:val="0"/>
          <w:iCs w:val="0"/>
          <w:snapToGrid w:val="0"/>
          <w:color w:val="auto"/>
          <w:sz w:val="24"/>
          <w:szCs w:val="24"/>
          <w:highlight w:val="none"/>
        </w:rPr>
        <w:t>.</w:t>
      </w:r>
      <w:r>
        <w:rPr>
          <w:rFonts w:hint="eastAsia" w:ascii="宋体" w:hAnsi="宋体" w:eastAsia="宋体" w:cs="宋体"/>
          <w:i w:val="0"/>
          <w:iCs w:val="0"/>
          <w:snapToGrid w:val="0"/>
          <w:color w:val="auto"/>
          <w:sz w:val="24"/>
          <w:szCs w:val="24"/>
          <w:highlight w:val="none"/>
          <w:lang w:val="en-US" w:eastAsia="zh-CN"/>
        </w:rPr>
        <w:t>6供应商</w:t>
      </w:r>
      <w:r>
        <w:rPr>
          <w:rFonts w:hint="eastAsia" w:ascii="宋体" w:hAnsi="宋体" w:eastAsia="宋体" w:cs="宋体"/>
          <w:i w:val="0"/>
          <w:iCs w:val="0"/>
          <w:snapToGrid w:val="0"/>
          <w:color w:val="auto"/>
          <w:sz w:val="24"/>
          <w:szCs w:val="24"/>
          <w:highlight w:val="none"/>
        </w:rPr>
        <w:t>进行虚假和恶意</w:t>
      </w:r>
      <w:r>
        <w:rPr>
          <w:rFonts w:hint="eastAsia" w:ascii="宋体" w:hAnsi="宋体" w:eastAsia="宋体" w:cs="宋体"/>
          <w:i w:val="0"/>
          <w:iCs w:val="0"/>
          <w:snapToGrid w:val="0"/>
          <w:color w:val="auto"/>
          <w:sz w:val="24"/>
          <w:szCs w:val="24"/>
          <w:highlight w:val="none"/>
          <w:lang w:val="en-US" w:eastAsia="zh-CN"/>
        </w:rPr>
        <w:t>质疑投诉</w:t>
      </w:r>
      <w:r>
        <w:rPr>
          <w:rFonts w:hint="eastAsia" w:ascii="宋体" w:hAnsi="宋体" w:eastAsia="宋体" w:cs="宋体"/>
          <w:i w:val="0"/>
          <w:iCs w:val="0"/>
          <w:snapToGrid w:val="0"/>
          <w:color w:val="auto"/>
          <w:sz w:val="24"/>
          <w:szCs w:val="24"/>
          <w:highlight w:val="none"/>
        </w:rPr>
        <w:t>的，采购代理机构将提请有关部门将其列入不良记录名单，在一至三年内禁止参加政府采购活动，并将处理决定在相关政府采购媒体上公布。</w:t>
      </w:r>
    </w:p>
    <w:p w14:paraId="09AFC5C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ascii="宋体" w:hAnsi="宋体" w:eastAsia="宋体" w:cs="宋体"/>
          <w:i w:val="0"/>
          <w:iCs w:val="0"/>
          <w:snapToGrid w:val="0"/>
          <w:color w:val="auto"/>
          <w:sz w:val="24"/>
          <w:szCs w:val="24"/>
          <w:highlight w:val="none"/>
          <w:lang w:val="en-US" w:eastAsia="zh-CN"/>
        </w:rPr>
        <w:t>35.7</w:t>
      </w:r>
      <w:r>
        <w:rPr>
          <w:rFonts w:hint="eastAsia" w:ascii="宋体" w:hAnsi="宋体" w:eastAsia="宋体" w:cs="宋体"/>
          <w:i w:val="0"/>
          <w:iCs w:val="0"/>
          <w:color w:val="auto"/>
          <w:sz w:val="24"/>
          <w:szCs w:val="24"/>
          <w:highlight w:val="none"/>
        </w:rPr>
        <w:t>质疑函</w:t>
      </w:r>
      <w:r>
        <w:rPr>
          <w:rFonts w:hint="eastAsia" w:ascii="宋体" w:hAnsi="宋体" w:eastAsia="宋体" w:cs="宋体"/>
          <w:i w:val="0"/>
          <w:iCs w:val="0"/>
          <w:color w:val="auto"/>
          <w:sz w:val="24"/>
          <w:szCs w:val="24"/>
          <w:highlight w:val="none"/>
          <w:lang w:val="en-US" w:eastAsia="zh-CN"/>
        </w:rPr>
        <w:t>应当使用中文，并采用财政部门制定的范本。</w:t>
      </w:r>
    </w:p>
    <w:p w14:paraId="0EB2D1ED">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36.质疑答复</w:t>
      </w:r>
      <w:bookmarkEnd w:id="359"/>
      <w:bookmarkEnd w:id="360"/>
      <w:bookmarkEnd w:id="361"/>
      <w:bookmarkEnd w:id="362"/>
      <w:bookmarkEnd w:id="363"/>
      <w:bookmarkEnd w:id="364"/>
      <w:bookmarkEnd w:id="365"/>
      <w:bookmarkEnd w:id="366"/>
      <w:bookmarkEnd w:id="367"/>
      <w:bookmarkEnd w:id="368"/>
      <w:bookmarkEnd w:id="369"/>
    </w:p>
    <w:p w14:paraId="7733902E">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bookmarkStart w:id="376" w:name="_Toc48688825"/>
      <w:bookmarkStart w:id="377" w:name="_Toc109899988"/>
      <w:bookmarkStart w:id="378" w:name="_Toc109897470"/>
      <w:bookmarkStart w:id="379" w:name="_Toc46772277"/>
      <w:bookmarkStart w:id="380" w:name="_Toc51674247"/>
      <w:bookmarkStart w:id="381" w:name="_Toc46771676"/>
      <w:bookmarkStart w:id="382" w:name="_Toc109899569"/>
      <w:bookmarkStart w:id="383" w:name="_Toc52962763"/>
      <w:bookmarkStart w:id="384" w:name="_Toc52960589"/>
      <w:bookmarkStart w:id="385" w:name="_Toc48846145"/>
      <w:bookmarkStart w:id="386" w:name="_Toc109900407"/>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.1采购人、采购代理机构不得拒收质疑供应商在法定质疑期内发出的质疑函，应当在收到质疑函后7个工作日内作出答复，并以书面形式通知质疑供应商和其他有关供应商。</w:t>
      </w:r>
    </w:p>
    <w:p w14:paraId="2F0C911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36.2供应商对评审过程、成交结果提出质疑的，采购人、采购代理机构可以组织原竞争性磋商小组协助答复质疑。</w:t>
      </w:r>
    </w:p>
    <w:p w14:paraId="277D3D1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zh-CN" w:eastAsia="zh-CN"/>
        </w:rPr>
        <w:t>质疑答复应当包括下列内容：</w:t>
      </w:r>
    </w:p>
    <w:p w14:paraId="3574AB1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lang w:val="zh-CN" w:eastAsia="zh-CN"/>
        </w:rPr>
        <w:t>）质疑供应商的姓名或者名称；</w:t>
      </w:r>
    </w:p>
    <w:p w14:paraId="3F7E4AA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lang w:val="zh-CN" w:eastAsia="zh-CN"/>
        </w:rPr>
        <w:t>）收到质疑函的日期、质疑项目名称及</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lang w:val="zh-CN" w:eastAsia="zh-CN"/>
        </w:rPr>
        <w:t>编号/包号；</w:t>
      </w:r>
    </w:p>
    <w:p w14:paraId="289303E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lang w:val="zh-CN" w:eastAsia="zh-CN"/>
        </w:rPr>
        <w:t>）质疑事项、质疑答复的具体内容、事实依据和法律依据；</w:t>
      </w:r>
    </w:p>
    <w:p w14:paraId="2D67396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lang w:val="zh-CN" w:eastAsia="zh-CN"/>
        </w:rPr>
        <w:t>）告知质疑供应商依法投诉的权利；</w:t>
      </w:r>
    </w:p>
    <w:p w14:paraId="44B24E2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lang w:val="zh-CN" w:eastAsia="zh-CN"/>
        </w:rPr>
        <w:t>）质疑答复人名称；</w:t>
      </w:r>
    </w:p>
    <w:p w14:paraId="41D1E067">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zh-CN" w:eastAsia="zh-CN"/>
        </w:rPr>
        <w:t>（</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lang w:val="zh-CN" w:eastAsia="zh-CN"/>
        </w:rPr>
        <w:t>）答复质疑的日期。</w:t>
      </w:r>
    </w:p>
    <w:p w14:paraId="51160FB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color w:val="auto"/>
          <w:sz w:val="24"/>
          <w:szCs w:val="24"/>
          <w:highlight w:val="none"/>
          <w:lang w:val="en-US" w:eastAsia="zh-CN"/>
        </w:rPr>
        <w:t>36.3</w:t>
      </w:r>
      <w:r>
        <w:rPr>
          <w:rFonts w:hint="eastAsia" w:ascii="宋体" w:hAnsi="宋体" w:eastAsia="宋体" w:cs="宋体"/>
          <w:i w:val="0"/>
          <w:iCs w:val="0"/>
          <w:color w:val="auto"/>
          <w:sz w:val="24"/>
          <w:szCs w:val="24"/>
          <w:highlight w:val="none"/>
          <w:lang w:val="zh-CN" w:eastAsia="zh-CN"/>
        </w:rPr>
        <w:t>质疑答复的内容不得涉及商业秘密。</w:t>
      </w:r>
    </w:p>
    <w:p w14:paraId="19D7236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37.投诉</w:t>
      </w:r>
      <w:bookmarkEnd w:id="376"/>
      <w:bookmarkEnd w:id="377"/>
      <w:bookmarkEnd w:id="378"/>
      <w:bookmarkEnd w:id="379"/>
      <w:bookmarkEnd w:id="380"/>
      <w:bookmarkEnd w:id="381"/>
      <w:bookmarkEnd w:id="382"/>
      <w:bookmarkEnd w:id="383"/>
      <w:bookmarkEnd w:id="384"/>
      <w:bookmarkEnd w:id="385"/>
      <w:bookmarkEnd w:id="386"/>
    </w:p>
    <w:p w14:paraId="0A507E2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37.1</w:t>
      </w:r>
      <w:r>
        <w:rPr>
          <w:rFonts w:hint="eastAsia" w:ascii="宋体" w:hAnsi="宋体" w:eastAsia="宋体" w:cs="宋体"/>
          <w:i w:val="0"/>
          <w:iCs w:val="0"/>
          <w:color w:val="auto"/>
          <w:sz w:val="24"/>
          <w:szCs w:val="24"/>
          <w:highlight w:val="none"/>
        </w:rPr>
        <w:t>质疑供应商对采购人、采购代理机构的答复不满意，或者采购人、采购代理机构未在规定时间内作出答复的，可以在答复期满后15个工作日内向</w:t>
      </w:r>
      <w:r>
        <w:rPr>
          <w:rFonts w:hint="eastAsia" w:ascii="宋体" w:hAnsi="宋体" w:eastAsia="宋体" w:cs="宋体"/>
          <w:i w:val="0"/>
          <w:iCs w:val="0"/>
          <w:color w:val="auto"/>
          <w:sz w:val="24"/>
          <w:szCs w:val="24"/>
          <w:highlight w:val="none"/>
          <w:lang w:val="en-US" w:eastAsia="zh-CN"/>
        </w:rPr>
        <w:t>同级政府采购监督管理部门</w:t>
      </w:r>
      <w:r>
        <w:rPr>
          <w:rFonts w:hint="eastAsia" w:ascii="宋体" w:hAnsi="宋体" w:eastAsia="宋体" w:cs="宋体"/>
          <w:i w:val="0"/>
          <w:iCs w:val="0"/>
          <w:color w:val="auto"/>
          <w:sz w:val="24"/>
          <w:szCs w:val="24"/>
          <w:highlight w:val="none"/>
        </w:rPr>
        <w:t>提起投诉。</w:t>
      </w:r>
    </w:p>
    <w:p w14:paraId="49985DA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37.2</w:t>
      </w:r>
      <w:r>
        <w:rPr>
          <w:rFonts w:hint="eastAsia" w:ascii="宋体" w:hAnsi="宋体" w:eastAsia="宋体" w:cs="宋体"/>
          <w:i w:val="0"/>
          <w:iCs w:val="0"/>
          <w:color w:val="auto"/>
          <w:sz w:val="24"/>
          <w:szCs w:val="24"/>
          <w:highlight w:val="none"/>
        </w:rPr>
        <w:t>投诉人投诉时,应当提交投诉书和必要的证明材料，并按照被投诉采购人、采购代理机构（以下简称被投诉人）和与投诉事项有关的供应商数量提供投诉书的副本。投诉书应当包括下列内容：</w:t>
      </w:r>
    </w:p>
    <w:p w14:paraId="5A69EACD">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）投诉人和被投诉人的姓名或者名称、通讯地址、邮编、联系人及联系电话；</w:t>
      </w:r>
    </w:p>
    <w:p w14:paraId="720F320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）质疑和质疑答复情况说明及相关证明材料；</w:t>
      </w:r>
    </w:p>
    <w:p w14:paraId="2DAB850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）具体、明确的投诉事项和与投诉事项相关的投诉请求；</w:t>
      </w:r>
    </w:p>
    <w:p w14:paraId="4B1078D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）事实依据；</w:t>
      </w:r>
    </w:p>
    <w:p w14:paraId="04D1331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）法律依据；</w:t>
      </w:r>
    </w:p>
    <w:p w14:paraId="22BAB93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）提起投诉的日期。</w:t>
      </w:r>
    </w:p>
    <w:p w14:paraId="6292886E">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投诉人为自然人的，应当由本人签字；投诉人为法人或者其他组织的，应当由法定代表人、主要负责人，或者其授权代表签字或者盖章，并加盖公章。</w:t>
      </w:r>
    </w:p>
    <w:p w14:paraId="1BD6E64A">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37.3</w:t>
      </w:r>
      <w:r>
        <w:rPr>
          <w:rFonts w:hint="eastAsia" w:ascii="宋体" w:hAnsi="宋体" w:eastAsia="宋体" w:cs="宋体"/>
          <w:i w:val="0"/>
          <w:iCs w:val="0"/>
          <w:color w:val="auto"/>
          <w:sz w:val="24"/>
          <w:szCs w:val="24"/>
          <w:highlight w:val="none"/>
        </w:rPr>
        <w:t>供应商</w:t>
      </w:r>
      <w:r>
        <w:rPr>
          <w:rFonts w:hint="eastAsia" w:ascii="宋体" w:hAnsi="宋体" w:eastAsia="宋体" w:cs="宋体"/>
          <w:i w:val="0"/>
          <w:iCs w:val="0"/>
          <w:color w:val="auto"/>
          <w:sz w:val="24"/>
          <w:szCs w:val="24"/>
          <w:highlight w:val="none"/>
          <w:lang w:val="en-US" w:eastAsia="zh-CN"/>
        </w:rPr>
        <w:t>质疑、</w:t>
      </w:r>
      <w:r>
        <w:rPr>
          <w:rFonts w:hint="eastAsia" w:ascii="宋体" w:hAnsi="宋体" w:eastAsia="宋体" w:cs="宋体"/>
          <w:i w:val="0"/>
          <w:iCs w:val="0"/>
          <w:color w:val="auto"/>
          <w:sz w:val="24"/>
          <w:szCs w:val="24"/>
          <w:highlight w:val="none"/>
        </w:rPr>
        <w:t>投诉</w:t>
      </w:r>
      <w:r>
        <w:rPr>
          <w:rFonts w:hint="eastAsia" w:ascii="宋体" w:hAnsi="宋体" w:eastAsia="宋体" w:cs="宋体"/>
          <w:i w:val="0"/>
          <w:iCs w:val="0"/>
          <w:color w:val="auto"/>
          <w:sz w:val="24"/>
          <w:szCs w:val="24"/>
          <w:highlight w:val="none"/>
          <w:lang w:val="en-US" w:eastAsia="zh-CN"/>
        </w:rPr>
        <w:t>应当有明确的请求和必要的证明材料</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供应商投诉的事项不得超出</w:t>
      </w:r>
      <w:r>
        <w:rPr>
          <w:rFonts w:hint="eastAsia" w:ascii="宋体" w:hAnsi="宋体" w:eastAsia="宋体" w:cs="宋体"/>
          <w:i w:val="0"/>
          <w:iCs w:val="0"/>
          <w:color w:val="auto"/>
          <w:sz w:val="24"/>
          <w:szCs w:val="24"/>
          <w:highlight w:val="none"/>
          <w:lang w:val="en-US" w:eastAsia="zh-CN"/>
        </w:rPr>
        <w:t>已</w:t>
      </w:r>
      <w:r>
        <w:rPr>
          <w:rFonts w:hint="eastAsia" w:ascii="宋体" w:hAnsi="宋体" w:eastAsia="宋体" w:cs="宋体"/>
          <w:i w:val="0"/>
          <w:iCs w:val="0"/>
          <w:color w:val="auto"/>
          <w:sz w:val="24"/>
          <w:szCs w:val="24"/>
          <w:highlight w:val="none"/>
        </w:rPr>
        <w:t>质疑事项的范围，但基于质疑答复内容提出的投诉事项除外</w:t>
      </w:r>
      <w:r>
        <w:rPr>
          <w:rFonts w:hint="eastAsia" w:ascii="宋体" w:hAnsi="宋体" w:eastAsia="宋体" w:cs="宋体"/>
          <w:bCs/>
          <w:i w:val="0"/>
          <w:iCs w:val="0"/>
          <w:color w:val="auto"/>
          <w:sz w:val="24"/>
          <w:szCs w:val="24"/>
          <w:highlight w:val="none"/>
        </w:rPr>
        <w:t>。</w:t>
      </w:r>
    </w:p>
    <w:p w14:paraId="0417D2FC">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color w:val="auto"/>
          <w:sz w:val="24"/>
          <w:szCs w:val="24"/>
          <w:highlight w:val="none"/>
          <w:lang w:val="zh-CN" w:eastAsia="zh-CN"/>
        </w:rPr>
      </w:pPr>
      <w:r>
        <w:rPr>
          <w:rFonts w:hint="eastAsia" w:ascii="宋体" w:hAnsi="宋体" w:eastAsia="宋体" w:cs="宋体"/>
          <w:i w:val="0"/>
          <w:iCs w:val="0"/>
          <w:snapToGrid w:val="0"/>
          <w:color w:val="auto"/>
          <w:sz w:val="24"/>
          <w:szCs w:val="24"/>
          <w:highlight w:val="none"/>
          <w:lang w:val="en-US" w:eastAsia="zh-CN"/>
        </w:rPr>
        <w:t>37.4</w:t>
      </w:r>
      <w:r>
        <w:rPr>
          <w:rFonts w:hint="eastAsia" w:ascii="宋体" w:hAnsi="宋体" w:eastAsia="宋体" w:cs="宋体"/>
          <w:i w:val="0"/>
          <w:iCs w:val="0"/>
          <w:color w:val="auto"/>
          <w:sz w:val="24"/>
          <w:szCs w:val="24"/>
          <w:highlight w:val="none"/>
          <w:lang w:val="en-US" w:eastAsia="zh-CN"/>
        </w:rPr>
        <w:t>投诉书应当使用中文，并采用财政部门制定的范本</w:t>
      </w:r>
      <w:r>
        <w:rPr>
          <w:rFonts w:hint="eastAsia" w:ascii="宋体" w:hAnsi="宋体" w:eastAsia="宋体" w:cs="宋体"/>
          <w:i w:val="0"/>
          <w:iCs w:val="0"/>
          <w:color w:val="auto"/>
          <w:sz w:val="24"/>
          <w:szCs w:val="24"/>
          <w:highlight w:val="none"/>
          <w:lang w:val="zh-CN" w:eastAsia="zh-CN"/>
        </w:rPr>
        <w:t>。</w:t>
      </w:r>
    </w:p>
    <w:p w14:paraId="1AF1A492">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（十一）采购代理服务费</w:t>
      </w:r>
      <w:bookmarkEnd w:id="370"/>
    </w:p>
    <w:p w14:paraId="3E01C47B">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38.收取方式和标准</w:t>
      </w:r>
    </w:p>
    <w:p w14:paraId="0781BA62">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3</w:t>
      </w:r>
      <w:r>
        <w:rPr>
          <w:rFonts w:hint="eastAsia" w:ascii="宋体" w:hAnsi="宋体" w:eastAsia="宋体" w:cs="宋体"/>
          <w:bCs/>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.1采购代理机构按“供应商须知前附表”规定的方式和标准收取采购代理服务费。</w:t>
      </w:r>
    </w:p>
    <w:p w14:paraId="149D8C0E">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87" w:name="_Toc163493620"/>
      <w:r>
        <w:rPr>
          <w:rFonts w:hint="eastAsia" w:ascii="宋体" w:hAnsi="宋体" w:eastAsia="宋体" w:cs="宋体"/>
          <w:b/>
          <w:bCs/>
          <w:i w:val="0"/>
          <w:iCs w:val="0"/>
          <w:color w:val="auto"/>
          <w:kern w:val="2"/>
          <w:sz w:val="24"/>
          <w:szCs w:val="24"/>
          <w:highlight w:val="none"/>
          <w:lang w:val="en-US" w:eastAsia="zh-CN" w:bidi="ar-SA"/>
        </w:rPr>
        <w:t>（十二）无效响应和终止采购活动</w:t>
      </w:r>
      <w:bookmarkEnd w:id="387"/>
    </w:p>
    <w:p w14:paraId="5F1E549A">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88" w:name="_Toc161600338"/>
      <w:bookmarkStart w:id="389" w:name="_Toc140132806"/>
      <w:r>
        <w:rPr>
          <w:rFonts w:hint="eastAsia" w:ascii="宋体" w:hAnsi="宋体" w:eastAsia="宋体" w:cs="宋体"/>
          <w:b/>
          <w:bCs/>
          <w:i w:val="0"/>
          <w:iCs w:val="0"/>
          <w:color w:val="auto"/>
          <w:kern w:val="2"/>
          <w:sz w:val="24"/>
          <w:szCs w:val="24"/>
          <w:highlight w:val="none"/>
          <w:lang w:val="en-US" w:eastAsia="zh-CN" w:bidi="ar-SA"/>
        </w:rPr>
        <w:t>39.无效</w:t>
      </w:r>
      <w:bookmarkEnd w:id="388"/>
      <w:bookmarkEnd w:id="389"/>
      <w:r>
        <w:rPr>
          <w:rFonts w:hint="eastAsia" w:ascii="宋体" w:hAnsi="宋体" w:eastAsia="宋体" w:cs="宋体"/>
          <w:b/>
          <w:bCs/>
          <w:i w:val="0"/>
          <w:iCs w:val="0"/>
          <w:color w:val="auto"/>
          <w:kern w:val="2"/>
          <w:sz w:val="24"/>
          <w:szCs w:val="24"/>
          <w:highlight w:val="none"/>
          <w:lang w:val="en-US" w:eastAsia="zh-CN" w:bidi="ar-SA"/>
        </w:rPr>
        <w:t>响应</w:t>
      </w:r>
    </w:p>
    <w:p w14:paraId="12E962C5">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eastAsia="宋体" w:cs="宋体"/>
          <w:i w:val="0"/>
          <w:iCs w:val="0"/>
          <w:color w:val="auto"/>
          <w:sz w:val="24"/>
          <w:szCs w:val="24"/>
          <w:highlight w:val="none"/>
          <w:lang w:val="en-US" w:eastAsia="zh-CN"/>
        </w:rPr>
        <w:t>9</w:t>
      </w:r>
      <w:r>
        <w:rPr>
          <w:rFonts w:hint="eastAsia" w:ascii="宋体" w:hAnsi="宋体" w:eastAsia="宋体" w:cs="宋体"/>
          <w:i w:val="0"/>
          <w:iCs w:val="0"/>
          <w:color w:val="auto"/>
          <w:sz w:val="24"/>
          <w:szCs w:val="24"/>
          <w:highlight w:val="none"/>
        </w:rPr>
        <w:t>.1响应文件存在“第四章</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评审方法及标准”规定的</w:t>
      </w:r>
      <w:r>
        <w:rPr>
          <w:rFonts w:hint="eastAsia" w:ascii="宋体" w:hAnsi="宋体" w:eastAsia="宋体" w:cs="宋体"/>
          <w:b/>
          <w:bCs/>
          <w:i w:val="0"/>
          <w:iCs w:val="0"/>
          <w:color w:val="auto"/>
          <w:sz w:val="24"/>
          <w:szCs w:val="24"/>
          <w:highlight w:val="none"/>
        </w:rPr>
        <w:t>响应无效</w:t>
      </w:r>
      <w:r>
        <w:rPr>
          <w:rFonts w:hint="eastAsia" w:ascii="宋体" w:hAnsi="宋体" w:eastAsia="宋体" w:cs="宋体"/>
          <w:i w:val="0"/>
          <w:iCs w:val="0"/>
          <w:color w:val="auto"/>
          <w:sz w:val="24"/>
          <w:szCs w:val="24"/>
          <w:highlight w:val="none"/>
        </w:rPr>
        <w:t>情形的，做</w:t>
      </w:r>
      <w:r>
        <w:rPr>
          <w:rFonts w:hint="eastAsia" w:ascii="宋体" w:hAnsi="宋体" w:eastAsia="宋体" w:cs="宋体"/>
          <w:b/>
          <w:bCs/>
          <w:i w:val="0"/>
          <w:iCs w:val="0"/>
          <w:color w:val="auto"/>
          <w:sz w:val="24"/>
          <w:szCs w:val="24"/>
          <w:highlight w:val="none"/>
        </w:rPr>
        <w:t>无效响应</w:t>
      </w:r>
      <w:r>
        <w:rPr>
          <w:rFonts w:hint="eastAsia" w:ascii="宋体" w:hAnsi="宋体" w:eastAsia="宋体" w:cs="宋体"/>
          <w:i w:val="0"/>
          <w:iCs w:val="0"/>
          <w:color w:val="auto"/>
          <w:sz w:val="24"/>
          <w:szCs w:val="24"/>
          <w:highlight w:val="none"/>
        </w:rPr>
        <w:t>处理。</w:t>
      </w:r>
    </w:p>
    <w:p w14:paraId="0A525F1A">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40.终止采购活动</w:t>
      </w:r>
    </w:p>
    <w:p w14:paraId="2206715C">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40</w:t>
      </w:r>
      <w:r>
        <w:rPr>
          <w:rFonts w:hint="eastAsia" w:ascii="宋体" w:hAnsi="宋体" w:eastAsia="宋体" w:cs="宋体"/>
          <w:i w:val="0"/>
          <w:iCs w:val="0"/>
          <w:color w:val="auto"/>
          <w:sz w:val="24"/>
          <w:szCs w:val="24"/>
          <w:highlight w:val="none"/>
        </w:rPr>
        <w:t>.1出现下列情形之一的，应当终止竞争性磋商采购活动，发布项目终止公告并说明原因，重新开展采购活动：</w:t>
      </w:r>
    </w:p>
    <w:p w14:paraId="595023BF">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（1）因情况变化，不再符合规定的竞争性磋商采购方式适用情形的；</w:t>
      </w:r>
    </w:p>
    <w:p w14:paraId="7BF1FDAA">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（2）出现影响采购公正的违法、违规行为的；</w:t>
      </w:r>
    </w:p>
    <w:p w14:paraId="3B1C0340">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在采购过程中符合要求的供应商或者报价未超过采购预算的供应商不足3家的（市场竞争不充分的科研项目、需要扶持的科技成果转化项目以及政府购买服务项目&lt;含政府和社会资本合作项目&gt;）的提交最后报价的供应商可以为2家）。</w:t>
      </w:r>
    </w:p>
    <w:p w14:paraId="253E1517">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40.2在采购活动中因重大变故，采购任务取消的，采购人或者采购代理机构应当终止采购活动，通知所有参加采购活动的供应商，并将项目实施情况和采购任务取消原因报送本级财政部门。</w:t>
      </w:r>
    </w:p>
    <w:p w14:paraId="3251A07C">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color w:val="auto"/>
          <w:kern w:val="2"/>
          <w:sz w:val="24"/>
          <w:szCs w:val="24"/>
          <w:highlight w:val="none"/>
          <w:lang w:val="en-US" w:eastAsia="zh-CN" w:bidi="ar-SA"/>
        </w:rPr>
      </w:pPr>
      <w:bookmarkStart w:id="390" w:name="_Toc140132766"/>
      <w:bookmarkStart w:id="391" w:name="_Toc161600340"/>
      <w:bookmarkStart w:id="392" w:name="_Toc163493621"/>
      <w:r>
        <w:rPr>
          <w:rFonts w:hint="eastAsia" w:ascii="宋体" w:hAnsi="宋体" w:eastAsia="宋体" w:cs="宋体"/>
          <w:b/>
          <w:bCs/>
          <w:color w:val="auto"/>
          <w:kern w:val="2"/>
          <w:sz w:val="24"/>
          <w:szCs w:val="24"/>
          <w:highlight w:val="none"/>
          <w:lang w:val="en-US" w:eastAsia="zh-CN" w:bidi="ar-SA"/>
        </w:rPr>
        <w:t>（十三）落实政府采购政策</w:t>
      </w:r>
      <w:bookmarkEnd w:id="390"/>
      <w:bookmarkEnd w:id="391"/>
      <w:bookmarkEnd w:id="392"/>
      <w:r>
        <w:rPr>
          <w:rFonts w:hint="eastAsia" w:ascii="宋体" w:hAnsi="宋体" w:eastAsia="宋体" w:cs="宋体"/>
          <w:b/>
          <w:bCs/>
          <w:color w:val="auto"/>
          <w:kern w:val="2"/>
          <w:sz w:val="24"/>
          <w:szCs w:val="24"/>
          <w:highlight w:val="none"/>
          <w:lang w:val="en-US" w:eastAsia="zh-CN" w:bidi="ar-SA"/>
        </w:rPr>
        <w:t>（包括但不限于下列具体政策要求）</w:t>
      </w:r>
    </w:p>
    <w:p w14:paraId="092C3F3F">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93" w:name="_Toc161600342"/>
      <w:r>
        <w:rPr>
          <w:rFonts w:hint="eastAsia" w:ascii="宋体" w:hAnsi="宋体" w:eastAsia="宋体" w:cs="宋体"/>
          <w:b/>
          <w:bCs/>
          <w:i w:val="0"/>
          <w:iCs w:val="0"/>
          <w:color w:val="auto"/>
          <w:kern w:val="2"/>
          <w:sz w:val="24"/>
          <w:szCs w:val="24"/>
          <w:highlight w:val="none"/>
          <w:lang w:val="en-US" w:eastAsia="zh-CN" w:bidi="ar-SA"/>
        </w:rPr>
        <w:t>4</w:t>
      </w:r>
      <w:r>
        <w:rPr>
          <w:rFonts w:hint="eastAsia" w:ascii="宋体" w:hAnsi="宋体" w:cs="宋体"/>
          <w:b/>
          <w:bCs/>
          <w:i w:val="0"/>
          <w:iCs w:val="0"/>
          <w:color w:val="auto"/>
          <w:kern w:val="2"/>
          <w:sz w:val="24"/>
          <w:szCs w:val="24"/>
          <w:highlight w:val="none"/>
          <w:lang w:val="en-US" w:eastAsia="zh-CN" w:bidi="ar-SA"/>
        </w:rPr>
        <w:t>1</w:t>
      </w:r>
      <w:r>
        <w:rPr>
          <w:rFonts w:hint="eastAsia" w:ascii="宋体" w:hAnsi="宋体" w:eastAsia="宋体" w:cs="宋体"/>
          <w:b/>
          <w:bCs/>
          <w:i w:val="0"/>
          <w:iCs w:val="0"/>
          <w:color w:val="auto"/>
          <w:kern w:val="2"/>
          <w:sz w:val="24"/>
          <w:szCs w:val="24"/>
          <w:highlight w:val="none"/>
          <w:lang w:val="en-US" w:eastAsia="zh-CN" w:bidi="ar-SA"/>
        </w:rPr>
        <w:t>.中小企业、监狱企业及残疾人福利性单位</w:t>
      </w:r>
      <w:bookmarkEnd w:id="393"/>
    </w:p>
    <w:p w14:paraId="18A1BA9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rPr>
        <w:t>.</w:t>
      </w:r>
      <w:r>
        <w:rPr>
          <w:rFonts w:hint="eastAsia" w:ascii="宋体" w:hAnsi="宋体" w:eastAsia="宋体" w:cs="宋体"/>
          <w:i w:val="0"/>
          <w:iCs w:val="0"/>
          <w:snapToGrid w:val="0"/>
          <w:color w:val="auto"/>
          <w:sz w:val="24"/>
          <w:szCs w:val="24"/>
          <w:highlight w:val="none"/>
          <w:lang w:val="en-US" w:eastAsia="zh-CN"/>
        </w:rPr>
        <w:t xml:space="preserve">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 号）、《关于印发中小企业划型标准规定的通知》（工信部联企业〔2011〕300 号）、《金融业企业划型标准规定》（〔2015〕309 号）等国务院批准的中小企业划分标准执行。 </w:t>
      </w:r>
    </w:p>
    <w:p w14:paraId="0156E4B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eastAsia="zh-CN"/>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rPr>
        <w:t>.</w:t>
      </w:r>
      <w:r>
        <w:rPr>
          <w:rFonts w:hint="eastAsia" w:ascii="宋体" w:hAnsi="宋体" w:eastAsia="宋体" w:cs="宋体"/>
          <w:i w:val="0"/>
          <w:iCs w:val="0"/>
          <w:snapToGrid w:val="0"/>
          <w:color w:val="auto"/>
          <w:sz w:val="24"/>
          <w:szCs w:val="24"/>
          <w:highlight w:val="none"/>
          <w:lang w:val="en-US" w:eastAsia="zh-CN"/>
        </w:rPr>
        <w:t>2</w:t>
      </w:r>
      <w:r>
        <w:rPr>
          <w:rFonts w:hint="eastAsia" w:ascii="宋体" w:hAnsi="宋体" w:eastAsia="宋体" w:cs="宋体"/>
          <w:i w:val="0"/>
          <w:iCs w:val="0"/>
          <w:snapToGrid w:val="0"/>
          <w:color w:val="auto"/>
          <w:sz w:val="24"/>
          <w:szCs w:val="24"/>
          <w:highlight w:val="none"/>
        </w:rPr>
        <w:t>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司法部关于政府采购支持监狱企业发展有关问题的通知》（财库〔2014〕68号）、《关于促进残疾人就业政府采购政策的通知》（财库〔2017〕141号）的规定，本项目供应商如</w:t>
      </w:r>
      <w:r>
        <w:rPr>
          <w:rFonts w:hint="eastAsia" w:ascii="宋体" w:hAnsi="宋体" w:eastAsia="宋体" w:cs="宋体"/>
          <w:i w:val="0"/>
          <w:iCs w:val="0"/>
          <w:snapToGrid w:val="0"/>
          <w:color w:val="auto"/>
          <w:sz w:val="24"/>
          <w:szCs w:val="24"/>
          <w:highlight w:val="none"/>
          <w:lang w:eastAsia="zh-CN"/>
        </w:rPr>
        <w:t>需享受中小企业相关政策的，且</w:t>
      </w:r>
      <w:r>
        <w:rPr>
          <w:rFonts w:hint="eastAsia" w:ascii="宋体" w:hAnsi="宋体" w:eastAsia="宋体" w:cs="宋体"/>
          <w:i w:val="0"/>
          <w:iCs w:val="0"/>
          <w:snapToGrid w:val="0"/>
          <w:color w:val="auto"/>
          <w:sz w:val="24"/>
          <w:szCs w:val="24"/>
          <w:highlight w:val="none"/>
        </w:rPr>
        <w:t>符合上述文件规定的，</w:t>
      </w:r>
      <w:r>
        <w:rPr>
          <w:rFonts w:hint="eastAsia" w:ascii="宋体" w:hAnsi="宋体" w:eastAsia="宋体" w:cs="宋体"/>
          <w:i w:val="0"/>
          <w:iCs w:val="0"/>
          <w:snapToGrid w:val="0"/>
          <w:color w:val="auto"/>
          <w:sz w:val="24"/>
          <w:szCs w:val="24"/>
          <w:highlight w:val="none"/>
          <w:lang w:eastAsia="zh-CN"/>
        </w:rPr>
        <w:t>应按本磋商文件规定格式</w:t>
      </w:r>
      <w:r>
        <w:rPr>
          <w:rFonts w:hint="eastAsia" w:ascii="宋体" w:hAnsi="宋体" w:eastAsia="宋体" w:cs="宋体"/>
          <w:i w:val="0"/>
          <w:iCs w:val="0"/>
          <w:snapToGrid w:val="0"/>
          <w:color w:val="auto"/>
          <w:sz w:val="24"/>
          <w:szCs w:val="24"/>
          <w:highlight w:val="none"/>
        </w:rPr>
        <w:t>提供</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rPr>
        <w:t>中小企业声明函</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en-US" w:eastAsia="zh-CN"/>
        </w:rPr>
        <w:t>或“</w:t>
      </w:r>
      <w:r>
        <w:rPr>
          <w:rFonts w:hint="eastAsia" w:ascii="宋体" w:hAnsi="宋体" w:eastAsia="宋体" w:cs="宋体"/>
          <w:i w:val="0"/>
          <w:iCs w:val="0"/>
          <w:snapToGrid w:val="0"/>
          <w:color w:val="auto"/>
          <w:sz w:val="24"/>
          <w:szCs w:val="24"/>
          <w:highlight w:val="none"/>
        </w:rPr>
        <w:t>监狱企业证明文件</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en-US" w:eastAsia="zh-CN"/>
        </w:rPr>
        <w:t>或</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rPr>
        <w:t>残疾人福利性单位声明函</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rPr>
        <w:t>，评审时，磋商小组将依据</w:t>
      </w:r>
      <w:r>
        <w:rPr>
          <w:rFonts w:hint="eastAsia" w:ascii="宋体" w:hAnsi="宋体" w:eastAsia="宋体" w:cs="宋体"/>
          <w:i w:val="0"/>
          <w:iCs w:val="0"/>
          <w:snapToGrid w:val="0"/>
          <w:color w:val="auto"/>
          <w:sz w:val="24"/>
          <w:szCs w:val="24"/>
          <w:highlight w:val="none"/>
          <w:lang w:eastAsia="zh-CN"/>
        </w:rPr>
        <w:t>本磋商文件</w:t>
      </w:r>
      <w:r>
        <w:rPr>
          <w:rFonts w:hint="eastAsia" w:ascii="宋体" w:hAnsi="宋体" w:eastAsia="宋体" w:cs="宋体"/>
          <w:i w:val="0"/>
          <w:iCs w:val="0"/>
          <w:snapToGrid w:val="0"/>
          <w:color w:val="auto"/>
          <w:sz w:val="24"/>
          <w:szCs w:val="24"/>
          <w:highlight w:val="none"/>
        </w:rPr>
        <w:t>“供应商须知前附表”规定的报价扣除比例，对供应商报价进行价格扣除，用扣除后的价格参与评审</w:t>
      </w:r>
      <w:r>
        <w:rPr>
          <w:rFonts w:hint="eastAsia" w:ascii="宋体" w:hAnsi="宋体" w:eastAsia="宋体" w:cs="宋体"/>
          <w:i w:val="0"/>
          <w:iCs w:val="0"/>
          <w:snapToGrid w:val="0"/>
          <w:color w:val="auto"/>
          <w:sz w:val="24"/>
          <w:szCs w:val="24"/>
          <w:highlight w:val="none"/>
          <w:lang w:eastAsia="zh-CN"/>
        </w:rPr>
        <w:t>；磋商公告中明确项目专门面向中小企业采购的，“</w:t>
      </w:r>
      <w:r>
        <w:rPr>
          <w:rFonts w:hint="eastAsia" w:ascii="宋体" w:hAnsi="宋体" w:eastAsia="宋体" w:cs="宋体"/>
          <w:i w:val="0"/>
          <w:iCs w:val="0"/>
          <w:snapToGrid w:val="0"/>
          <w:color w:val="auto"/>
          <w:sz w:val="24"/>
          <w:szCs w:val="24"/>
          <w:highlight w:val="none"/>
        </w:rPr>
        <w:t>中小企业声明函</w:t>
      </w:r>
      <w:r>
        <w:rPr>
          <w:rFonts w:hint="eastAsia" w:ascii="宋体" w:hAnsi="宋体" w:eastAsia="宋体" w:cs="宋体"/>
          <w:i w:val="0"/>
          <w:iCs w:val="0"/>
          <w:snapToGrid w:val="0"/>
          <w:color w:val="auto"/>
          <w:sz w:val="24"/>
          <w:szCs w:val="24"/>
          <w:highlight w:val="none"/>
          <w:lang w:eastAsia="zh-CN"/>
        </w:rPr>
        <w:t>”为资格要求文件，</w:t>
      </w:r>
      <w:r>
        <w:rPr>
          <w:rFonts w:hint="eastAsia" w:ascii="宋体" w:hAnsi="宋体" w:eastAsia="宋体" w:cs="宋体"/>
          <w:i w:val="0"/>
          <w:iCs w:val="0"/>
          <w:snapToGrid w:val="0"/>
          <w:color w:val="auto"/>
          <w:sz w:val="24"/>
          <w:szCs w:val="24"/>
          <w:highlight w:val="none"/>
        </w:rPr>
        <w:t>供应商</w:t>
      </w:r>
      <w:r>
        <w:rPr>
          <w:rFonts w:hint="eastAsia" w:ascii="宋体" w:hAnsi="宋体" w:eastAsia="宋体" w:cs="宋体"/>
          <w:i w:val="0"/>
          <w:iCs w:val="0"/>
          <w:snapToGrid w:val="0"/>
          <w:color w:val="auto"/>
          <w:sz w:val="24"/>
          <w:szCs w:val="24"/>
          <w:highlight w:val="none"/>
          <w:lang w:eastAsia="zh-CN"/>
        </w:rPr>
        <w:t>参与磋商须按本磋商文件规定格式</w:t>
      </w:r>
      <w:r>
        <w:rPr>
          <w:rFonts w:hint="eastAsia" w:ascii="宋体" w:hAnsi="宋体" w:eastAsia="宋体" w:cs="宋体"/>
          <w:i w:val="0"/>
          <w:iCs w:val="0"/>
          <w:snapToGrid w:val="0"/>
          <w:color w:val="auto"/>
          <w:sz w:val="24"/>
          <w:szCs w:val="24"/>
          <w:highlight w:val="none"/>
        </w:rPr>
        <w:t>提供</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rPr>
        <w:t>中小企业声明函</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en-US" w:eastAsia="zh-CN"/>
        </w:rPr>
        <w:t>或“</w:t>
      </w:r>
      <w:r>
        <w:rPr>
          <w:rFonts w:hint="eastAsia" w:ascii="宋体" w:hAnsi="宋体" w:eastAsia="宋体" w:cs="宋体"/>
          <w:i w:val="0"/>
          <w:iCs w:val="0"/>
          <w:snapToGrid w:val="0"/>
          <w:color w:val="auto"/>
          <w:sz w:val="24"/>
          <w:szCs w:val="24"/>
          <w:highlight w:val="none"/>
        </w:rPr>
        <w:t>监狱企业证明文件</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en-US" w:eastAsia="zh-CN"/>
        </w:rPr>
        <w:t>或“</w:t>
      </w:r>
      <w:r>
        <w:rPr>
          <w:rFonts w:hint="eastAsia" w:ascii="宋体" w:hAnsi="宋体" w:eastAsia="宋体" w:cs="宋体"/>
          <w:i w:val="0"/>
          <w:iCs w:val="0"/>
          <w:snapToGrid w:val="0"/>
          <w:color w:val="auto"/>
          <w:sz w:val="24"/>
          <w:szCs w:val="24"/>
          <w:highlight w:val="none"/>
        </w:rPr>
        <w:t>残疾人福利性单位声明函</w:t>
      </w:r>
      <w:r>
        <w:rPr>
          <w:rFonts w:hint="eastAsia" w:ascii="宋体" w:hAnsi="宋体" w:eastAsia="宋体" w:cs="宋体"/>
          <w:i w:val="0"/>
          <w:iCs w:val="0"/>
          <w:snapToGrid w:val="0"/>
          <w:color w:val="auto"/>
          <w:sz w:val="24"/>
          <w:szCs w:val="24"/>
          <w:highlight w:val="none"/>
          <w:lang w:eastAsia="zh-CN"/>
        </w:rPr>
        <w:t>”等作为资格证明文件。</w:t>
      </w:r>
    </w:p>
    <w:p w14:paraId="669B51B9">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.3供应商提供的货物、工程或者服务符合下列情形的，享受中小企业扶持政策： </w:t>
      </w:r>
    </w:p>
    <w:p w14:paraId="0B7B4AA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.3.1在货物采购项目中，货物由中小企业制造，即货物由中小企业生产且使用该中小企业商号或者注册商标； </w:t>
      </w:r>
    </w:p>
    <w:p w14:paraId="30433D0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.3.2在工程采购项目中，工程由中小企业承建，即工程施工单位为中小企业； </w:t>
      </w:r>
    </w:p>
    <w:p w14:paraId="66E8BC9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.3.3在服务采购项目中，服务由中小企业承接，即提供服务的人员为中小企业依照《中华人民共和国劳动合同法》订立劳动合同的从业人员。</w:t>
      </w:r>
    </w:p>
    <w:p w14:paraId="1E5897DF">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.4 在货物采购项目中，供应商提供的货物既有中小企业制造货物，也有大型企业制造货物的，不享受中小企业扶持政策。 </w:t>
      </w:r>
    </w:p>
    <w:p w14:paraId="057BAF7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.5 以联合体形式参加政府采购活动，联合体各方均为中小企业的，联合体视同中小企业。其中，联合体各方均为小微企业的，联合体视同小微企业。      </w:t>
      </w: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.6 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14:paraId="3B92FD7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.7 在政府采购活动中，残疾人福利性单位视同小型、微型企业，享受预留份额、评审中价格扣除等促进中小企业发展的政府采购政策。残疾人福利性单位定义：享受政府采购支持政策的残疾人福利性单位应当同时满足以下条件： </w:t>
      </w:r>
    </w:p>
    <w:p w14:paraId="5E9E2EE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.7.1 安置的残疾人占本单位在职职工人数的比例不低于 25% （含 25%），并且安置的残疾人人数不少于 10 人（含 10人）； </w:t>
      </w:r>
    </w:p>
    <w:p w14:paraId="30080F4E">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.7.2 依法与安置的每位残疾人签订了1年以上（含1年）的劳动合同或服务协议； </w:t>
      </w:r>
    </w:p>
    <w:p w14:paraId="2FC8F5C9">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.7.3 为安置的每位残疾人按月足额缴纳了基本养老保险、基本医疗保险、失业保险、工伤保险和生育保险等社会保险费； </w:t>
      </w:r>
    </w:p>
    <w:p w14:paraId="0E9619E7">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.7.4 通过银行等金融机构向安置的每位残疾人，按月支付了不低于单位所在区县适用的经省级人民政府批准的月最低工资标准的工资； </w:t>
      </w:r>
    </w:p>
    <w:p w14:paraId="40D5D96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.7.5 提供本单位制造的货物、承担的工程或者服务（以下简称产品），或者提供其他残疾人福利性单位制造的货物（不包括使用非残疾人福利性单位注册商标的货物）； </w:t>
      </w:r>
    </w:p>
    <w:p w14:paraId="399D1C8F">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 xml:space="preserve">.7.6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级）》的自然人，包括具有劳动条件和劳动意愿的精神残疾人。在职职工人数是指与残疾人福利性单位建立劳动关系并依法签订劳动合同或服务协议的雇员人数。 </w:t>
      </w:r>
    </w:p>
    <w:p w14:paraId="26ECA483">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.8 本项目是否专门面向中小企业预留采购份额见“第一章 竞争性磋商邀请”。</w:t>
      </w:r>
    </w:p>
    <w:p w14:paraId="55D809D5">
      <w:pPr>
        <w:pStyle w:val="38"/>
        <w:keepNext w:val="0"/>
        <w:keepLines w:val="0"/>
        <w:pageBreakBefore w:val="0"/>
        <w:widowControl w:val="0"/>
        <w:kinsoku/>
        <w:overflowPunct/>
        <w:topLinePunct w:val="0"/>
        <w:bidi w:val="0"/>
        <w:ind w:firstLine="480"/>
        <w:jc w:val="both"/>
        <w:textAlignment w:val="auto"/>
        <w:rPr>
          <w:rFonts w:hint="eastAsia"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.9 采购标的对应的中小企业划分标准所属行业见“供应商须知前附表”</w:t>
      </w:r>
      <w:r>
        <w:rPr>
          <w:rFonts w:hint="eastAsia" w:cs="宋体"/>
          <w:i w:val="0"/>
          <w:iCs w:val="0"/>
          <w:snapToGrid w:val="0"/>
          <w:color w:val="auto"/>
          <w:sz w:val="24"/>
          <w:szCs w:val="24"/>
          <w:highlight w:val="none"/>
          <w:lang w:val="en-US" w:eastAsia="zh-CN"/>
        </w:rPr>
        <w:t>。</w:t>
      </w:r>
    </w:p>
    <w:p w14:paraId="2A1871C1">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41</w:t>
      </w:r>
      <w:r>
        <w:rPr>
          <w:rFonts w:hint="eastAsia" w:ascii="宋体" w:hAnsi="宋体" w:eastAsia="宋体" w:cs="宋体"/>
          <w:i w:val="0"/>
          <w:iCs w:val="0"/>
          <w:snapToGrid w:val="0"/>
          <w:color w:val="auto"/>
          <w:sz w:val="24"/>
          <w:szCs w:val="24"/>
          <w:highlight w:val="none"/>
          <w:lang w:val="en-US" w:eastAsia="zh-CN"/>
        </w:rPr>
        <w:t>.10小微企业价格评审优惠的政策调整：见“第四章 评审方法及标准”。</w:t>
      </w:r>
    </w:p>
    <w:p w14:paraId="66FF950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394" w:name="_Toc161600343"/>
      <w:r>
        <w:rPr>
          <w:rFonts w:hint="eastAsia" w:ascii="宋体" w:hAnsi="宋体" w:cs="宋体"/>
          <w:b/>
          <w:bCs/>
          <w:i w:val="0"/>
          <w:iCs w:val="0"/>
          <w:color w:val="auto"/>
          <w:kern w:val="2"/>
          <w:sz w:val="24"/>
          <w:szCs w:val="24"/>
          <w:highlight w:val="none"/>
          <w:lang w:val="en-US" w:eastAsia="zh-CN" w:bidi="ar-SA"/>
        </w:rPr>
        <w:t>42</w:t>
      </w:r>
      <w:r>
        <w:rPr>
          <w:rFonts w:hint="eastAsia" w:ascii="宋体" w:hAnsi="宋体" w:eastAsia="宋体" w:cs="宋体"/>
          <w:b/>
          <w:bCs/>
          <w:i w:val="0"/>
          <w:iCs w:val="0"/>
          <w:color w:val="auto"/>
          <w:kern w:val="2"/>
          <w:sz w:val="24"/>
          <w:szCs w:val="24"/>
          <w:highlight w:val="none"/>
          <w:lang w:val="en-US" w:eastAsia="zh-CN" w:bidi="ar-SA"/>
        </w:rPr>
        <w:t>.政府采购节能产品、环境标志产品</w:t>
      </w:r>
      <w:bookmarkEnd w:id="394"/>
    </w:p>
    <w:p w14:paraId="5CE2B6D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42</w:t>
      </w:r>
      <w:r>
        <w:rPr>
          <w:rFonts w:hint="eastAsia" w:ascii="宋体" w:hAnsi="宋体" w:eastAsia="宋体" w:cs="宋体"/>
          <w:i w:val="0"/>
          <w:iCs w:val="0"/>
          <w:snapToGrid w:val="0"/>
          <w:color w:val="auto"/>
          <w:sz w:val="24"/>
          <w:szCs w:val="24"/>
          <w:highlight w:val="none"/>
          <w:lang w:val="en-US" w:eastAsia="zh-CN"/>
        </w:rPr>
        <w:t>.1 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关于政府采购节能产品、环境标志产品的相关规定依据《关于调整优化节能产品、环境标志产品政府采购执行机制的通知》（财库〔2019〕9 号）、《关于印发环境标志产品政府采购品目清单的通知》（财库〔2019〕18号）、《关于印发节能产品政府采购品目清单的通知》（财库〔2019〕19号）的规定。</w:t>
      </w:r>
    </w:p>
    <w:p w14:paraId="62FA296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42</w:t>
      </w:r>
      <w:r>
        <w:rPr>
          <w:rFonts w:hint="eastAsia" w:ascii="宋体" w:hAnsi="宋体" w:eastAsia="宋体" w:cs="宋体"/>
          <w:i w:val="0"/>
          <w:iCs w:val="0"/>
          <w:snapToGrid w:val="0"/>
          <w:color w:val="auto"/>
          <w:sz w:val="24"/>
          <w:szCs w:val="24"/>
          <w:highlight w:val="none"/>
          <w:lang w:val="en-US" w:eastAsia="zh-CN"/>
        </w:rPr>
        <w:t xml:space="preserve">.2 采购人拟采购的产品属于品目清单范围的，采购人及其委托的采购代理机构依据国家确定的认证机构出具的、处于有效期之内的节能产品、环境标志产品认证证书，对获得证书的产品实施政府优先采购或强制采购。 </w:t>
      </w:r>
    </w:p>
    <w:p w14:paraId="5ACF794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42</w:t>
      </w:r>
      <w:r>
        <w:rPr>
          <w:rFonts w:hint="eastAsia" w:ascii="宋体" w:hAnsi="宋体" w:eastAsia="宋体" w:cs="宋体"/>
          <w:i w:val="0"/>
          <w:iCs w:val="0"/>
          <w:snapToGrid w:val="0"/>
          <w:color w:val="auto"/>
          <w:sz w:val="24"/>
          <w:szCs w:val="24"/>
          <w:highlight w:val="none"/>
          <w:lang w:val="en-US" w:eastAsia="zh-CN"/>
        </w:rPr>
        <w:t>.3 如本项目采购产品属于实施政府强制采购品目清单范围的节能产品，则供应商所报产品必须获得国家确定的认证机构出具的、处于有效期之内的节能产品认证证书，否则</w:t>
      </w:r>
      <w:r>
        <w:rPr>
          <w:rFonts w:hint="eastAsia" w:ascii="宋体" w:hAnsi="宋体" w:eastAsia="宋体" w:cs="宋体"/>
          <w:b/>
          <w:bCs/>
          <w:i w:val="0"/>
          <w:iCs w:val="0"/>
          <w:snapToGrid w:val="0"/>
          <w:color w:val="auto"/>
          <w:sz w:val="24"/>
          <w:szCs w:val="24"/>
          <w:highlight w:val="none"/>
          <w:lang w:val="en-US" w:eastAsia="zh-CN"/>
        </w:rPr>
        <w:t>响应无效</w:t>
      </w:r>
      <w:r>
        <w:rPr>
          <w:rFonts w:hint="eastAsia" w:ascii="宋体" w:hAnsi="宋体" w:eastAsia="宋体" w:cs="宋体"/>
          <w:i w:val="0"/>
          <w:iCs w:val="0"/>
          <w:snapToGrid w:val="0"/>
          <w:color w:val="auto"/>
          <w:sz w:val="24"/>
          <w:szCs w:val="24"/>
          <w:highlight w:val="none"/>
          <w:lang w:val="en-US" w:eastAsia="zh-CN"/>
        </w:rPr>
        <w:t xml:space="preserve">。 </w:t>
      </w:r>
    </w:p>
    <w:p w14:paraId="3D6C891F">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42</w:t>
      </w:r>
      <w:r>
        <w:rPr>
          <w:rFonts w:hint="eastAsia" w:ascii="宋体" w:hAnsi="宋体" w:eastAsia="宋体" w:cs="宋体"/>
          <w:i w:val="0"/>
          <w:iCs w:val="0"/>
          <w:snapToGrid w:val="0"/>
          <w:color w:val="auto"/>
          <w:sz w:val="24"/>
          <w:szCs w:val="24"/>
          <w:highlight w:val="none"/>
          <w:lang w:val="en-US" w:eastAsia="zh-CN"/>
        </w:rPr>
        <w:t>.4 非政府强制采购的节能产品或环境标志产品，依据品目清单和认证证书实施政府优先采购。优先采购的具体规定见“第四章 评审方法及标准”（如涉及）。</w:t>
      </w:r>
    </w:p>
    <w:p w14:paraId="64F84AAE">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cs="宋体"/>
          <w:i w:val="0"/>
          <w:iCs w:val="0"/>
          <w:snapToGrid w:val="0"/>
          <w:color w:val="auto"/>
          <w:sz w:val="24"/>
          <w:szCs w:val="24"/>
          <w:highlight w:val="none"/>
          <w:lang w:val="en-US" w:eastAsia="zh-CN"/>
        </w:rPr>
        <w:t>42</w:t>
      </w:r>
      <w:r>
        <w:rPr>
          <w:rFonts w:hint="eastAsia" w:ascii="宋体" w:hAnsi="宋体" w:eastAsia="宋体" w:cs="宋体"/>
          <w:i w:val="0"/>
          <w:iCs w:val="0"/>
          <w:snapToGrid w:val="0"/>
          <w:color w:val="auto"/>
          <w:sz w:val="24"/>
          <w:szCs w:val="24"/>
          <w:highlight w:val="none"/>
          <w:lang w:val="en-US" w:eastAsia="zh-CN"/>
        </w:rPr>
        <w:t>.5 供应商</w:t>
      </w:r>
      <w:r>
        <w:rPr>
          <w:rFonts w:hint="eastAsia" w:ascii="宋体" w:hAnsi="宋体" w:eastAsia="宋体" w:cs="宋体"/>
          <w:i w:val="0"/>
          <w:iCs w:val="0"/>
          <w:snapToGrid w:val="0"/>
          <w:color w:val="auto"/>
          <w:sz w:val="24"/>
          <w:szCs w:val="24"/>
          <w:highlight w:val="none"/>
        </w:rPr>
        <w:t>所</w:t>
      </w:r>
      <w:r>
        <w:rPr>
          <w:rFonts w:hint="eastAsia" w:ascii="宋体" w:hAnsi="宋体" w:eastAsia="宋体" w:cs="宋体"/>
          <w:i w:val="0"/>
          <w:iCs w:val="0"/>
          <w:snapToGrid w:val="0"/>
          <w:color w:val="auto"/>
          <w:sz w:val="24"/>
          <w:szCs w:val="24"/>
          <w:highlight w:val="none"/>
          <w:lang w:val="en-US" w:eastAsia="zh-CN"/>
        </w:rPr>
        <w:t>报</w:t>
      </w:r>
      <w:r>
        <w:rPr>
          <w:rFonts w:hint="eastAsia" w:ascii="宋体" w:hAnsi="宋体" w:eastAsia="宋体" w:cs="宋体"/>
          <w:i w:val="0"/>
          <w:iCs w:val="0"/>
          <w:snapToGrid w:val="0"/>
          <w:color w:val="auto"/>
          <w:sz w:val="24"/>
          <w:szCs w:val="24"/>
          <w:highlight w:val="none"/>
        </w:rPr>
        <w:t>产品如属于节能产品政府采购品目清单、环境标志产品政府采购品目清单范围的，须提供国家确定的认证机构出具的、处于有效期内的产品认证证书，认证证书的产品型号与所</w:t>
      </w:r>
      <w:r>
        <w:rPr>
          <w:rFonts w:hint="eastAsia" w:ascii="宋体" w:hAnsi="宋体" w:eastAsia="宋体" w:cs="宋体"/>
          <w:i w:val="0"/>
          <w:iCs w:val="0"/>
          <w:snapToGrid w:val="0"/>
          <w:color w:val="auto"/>
          <w:sz w:val="24"/>
          <w:szCs w:val="24"/>
          <w:highlight w:val="none"/>
          <w:lang w:val="en-US" w:eastAsia="zh-CN"/>
        </w:rPr>
        <w:t>报</w:t>
      </w:r>
      <w:r>
        <w:rPr>
          <w:rFonts w:hint="eastAsia" w:ascii="宋体" w:hAnsi="宋体" w:eastAsia="宋体" w:cs="宋体"/>
          <w:i w:val="0"/>
          <w:iCs w:val="0"/>
          <w:snapToGrid w:val="0"/>
          <w:color w:val="auto"/>
          <w:sz w:val="24"/>
          <w:szCs w:val="24"/>
          <w:highlight w:val="none"/>
        </w:rPr>
        <w:t>产品不一致的，视为未提供。属于政府强制采购产品的，已作为</w:t>
      </w:r>
      <w:r>
        <w:rPr>
          <w:rFonts w:hint="eastAsia" w:ascii="宋体" w:hAnsi="宋体" w:eastAsia="宋体" w:cs="宋体"/>
          <w:i w:val="0"/>
          <w:iCs w:val="0"/>
          <w:snapToGrid w:val="0"/>
          <w:color w:val="auto"/>
          <w:sz w:val="24"/>
          <w:szCs w:val="24"/>
          <w:highlight w:val="none"/>
          <w:lang w:val="en-US" w:eastAsia="zh-CN"/>
        </w:rPr>
        <w:t>响应</w:t>
      </w:r>
      <w:r>
        <w:rPr>
          <w:rFonts w:hint="eastAsia" w:ascii="宋体" w:hAnsi="宋体" w:eastAsia="宋体" w:cs="宋体"/>
          <w:i w:val="0"/>
          <w:iCs w:val="0"/>
          <w:snapToGrid w:val="0"/>
          <w:color w:val="auto"/>
          <w:sz w:val="24"/>
          <w:szCs w:val="24"/>
          <w:highlight w:val="none"/>
        </w:rPr>
        <w:t>时强制性要求不再给予</w:t>
      </w:r>
      <w:r>
        <w:rPr>
          <w:rFonts w:hint="eastAsia" w:ascii="宋体" w:hAnsi="宋体" w:eastAsia="宋体" w:cs="宋体"/>
          <w:i w:val="0"/>
          <w:iCs w:val="0"/>
          <w:snapToGrid w:val="0"/>
          <w:color w:val="auto"/>
          <w:sz w:val="24"/>
          <w:szCs w:val="24"/>
          <w:highlight w:val="none"/>
          <w:lang w:val="en-US" w:eastAsia="zh-CN"/>
        </w:rPr>
        <w:t>评审优惠</w:t>
      </w:r>
      <w:r>
        <w:rPr>
          <w:rFonts w:hint="eastAsia" w:ascii="宋体" w:hAnsi="宋体" w:eastAsia="宋体" w:cs="宋体"/>
          <w:i w:val="0"/>
          <w:iCs w:val="0"/>
          <w:snapToGrid w:val="0"/>
          <w:color w:val="auto"/>
          <w:sz w:val="24"/>
          <w:szCs w:val="24"/>
          <w:highlight w:val="none"/>
        </w:rPr>
        <w:t>，未提供认证证书的视为</w:t>
      </w:r>
      <w:r>
        <w:rPr>
          <w:rFonts w:hint="eastAsia" w:ascii="宋体" w:hAnsi="宋体" w:eastAsia="宋体" w:cs="宋体"/>
          <w:b/>
          <w:bCs/>
          <w:i w:val="0"/>
          <w:iCs w:val="0"/>
          <w:snapToGrid w:val="0"/>
          <w:color w:val="auto"/>
          <w:sz w:val="24"/>
          <w:szCs w:val="24"/>
          <w:highlight w:val="none"/>
        </w:rPr>
        <w:t>无效响应</w:t>
      </w:r>
      <w:r>
        <w:rPr>
          <w:rFonts w:hint="eastAsia" w:ascii="宋体" w:hAnsi="宋体" w:eastAsia="宋体" w:cs="宋体"/>
          <w:i w:val="0"/>
          <w:iCs w:val="0"/>
          <w:snapToGrid w:val="0"/>
          <w:color w:val="auto"/>
          <w:sz w:val="24"/>
          <w:szCs w:val="24"/>
          <w:highlight w:val="none"/>
        </w:rPr>
        <w:t>。属于</w:t>
      </w:r>
      <w:r>
        <w:rPr>
          <w:rFonts w:hint="eastAsia" w:ascii="宋体" w:hAnsi="宋体" w:eastAsia="宋体" w:cs="宋体"/>
          <w:i w:val="0"/>
          <w:iCs w:val="0"/>
          <w:snapToGrid w:val="0"/>
          <w:color w:val="auto"/>
          <w:sz w:val="24"/>
          <w:szCs w:val="24"/>
          <w:highlight w:val="none"/>
          <w:lang w:val="en-US" w:eastAsia="zh-CN"/>
        </w:rPr>
        <w:t>优先采购</w:t>
      </w:r>
      <w:r>
        <w:rPr>
          <w:rFonts w:hint="eastAsia" w:ascii="宋体" w:hAnsi="宋体" w:eastAsia="宋体" w:cs="宋体"/>
          <w:i w:val="0"/>
          <w:iCs w:val="0"/>
          <w:snapToGrid w:val="0"/>
          <w:color w:val="auto"/>
          <w:sz w:val="24"/>
          <w:szCs w:val="24"/>
          <w:highlight w:val="none"/>
        </w:rPr>
        <w:t>节能产品政府采购品目清单、环境标志产品政府采购品目清单</w:t>
      </w:r>
      <w:r>
        <w:rPr>
          <w:rFonts w:hint="eastAsia" w:ascii="宋体" w:hAnsi="宋体" w:eastAsia="宋体" w:cs="宋体"/>
          <w:i w:val="0"/>
          <w:iCs w:val="0"/>
          <w:snapToGrid w:val="0"/>
          <w:color w:val="auto"/>
          <w:sz w:val="24"/>
          <w:szCs w:val="24"/>
          <w:highlight w:val="none"/>
          <w:lang w:eastAsia="zh-CN"/>
        </w:rPr>
        <w:t>、</w:t>
      </w:r>
      <w:r>
        <w:rPr>
          <w:rFonts w:hint="eastAsia" w:ascii="宋体" w:hAnsi="宋体" w:eastAsia="宋体" w:cs="宋体"/>
          <w:i w:val="0"/>
          <w:iCs w:val="0"/>
          <w:snapToGrid w:val="0"/>
          <w:color w:val="auto"/>
          <w:sz w:val="24"/>
          <w:szCs w:val="24"/>
          <w:highlight w:val="none"/>
          <w:lang w:val="en-US" w:eastAsia="zh-CN"/>
        </w:rPr>
        <w:t>创新产品</w:t>
      </w:r>
      <w:r>
        <w:rPr>
          <w:rFonts w:hint="eastAsia" w:ascii="宋体" w:hAnsi="宋体" w:eastAsia="宋体" w:cs="宋体"/>
          <w:i w:val="0"/>
          <w:iCs w:val="0"/>
          <w:snapToGrid w:val="0"/>
          <w:color w:val="auto"/>
          <w:sz w:val="24"/>
          <w:szCs w:val="24"/>
          <w:highlight w:val="none"/>
        </w:rPr>
        <w:t>范围的，按照“</w:t>
      </w:r>
      <w:r>
        <w:rPr>
          <w:rFonts w:hint="eastAsia" w:ascii="宋体" w:hAnsi="宋体" w:eastAsia="宋体" w:cs="宋体"/>
          <w:i w:val="0"/>
          <w:iCs w:val="0"/>
          <w:snapToGrid w:val="0"/>
          <w:color w:val="auto"/>
          <w:sz w:val="24"/>
          <w:szCs w:val="24"/>
          <w:highlight w:val="none"/>
          <w:lang w:val="en-US" w:eastAsia="zh-CN"/>
        </w:rPr>
        <w:t>第四章 评审方法及标准</w:t>
      </w:r>
      <w:r>
        <w:rPr>
          <w:rFonts w:hint="eastAsia" w:ascii="宋体" w:hAnsi="宋体" w:eastAsia="宋体" w:cs="宋体"/>
          <w:i w:val="0"/>
          <w:iCs w:val="0"/>
          <w:snapToGrid w:val="0"/>
          <w:color w:val="auto"/>
          <w:sz w:val="24"/>
          <w:szCs w:val="24"/>
          <w:highlight w:val="none"/>
        </w:rPr>
        <w:t>”中相关规定</w:t>
      </w:r>
      <w:r>
        <w:rPr>
          <w:rFonts w:hint="eastAsia" w:ascii="宋体" w:hAnsi="宋体" w:eastAsia="宋体" w:cs="宋体"/>
          <w:i w:val="0"/>
          <w:iCs w:val="0"/>
          <w:color w:val="auto"/>
          <w:sz w:val="24"/>
          <w:szCs w:val="24"/>
          <w:highlight w:val="none"/>
          <w:lang w:val="en-US" w:eastAsia="zh-CN"/>
        </w:rPr>
        <w:t>在评审时给予优惠，具体详见</w:t>
      </w:r>
      <w:r>
        <w:rPr>
          <w:rFonts w:hint="eastAsia" w:ascii="宋体" w:hAnsi="宋体" w:eastAsia="宋体" w:cs="宋体"/>
          <w:i w:val="0"/>
          <w:iCs w:val="0"/>
          <w:snapToGrid w:val="0"/>
          <w:color w:val="auto"/>
          <w:sz w:val="24"/>
          <w:szCs w:val="24"/>
          <w:highlight w:val="none"/>
          <w:lang w:val="en-US" w:eastAsia="zh-CN"/>
        </w:rPr>
        <w:t>“供应商须知前附表”及</w:t>
      </w:r>
      <w:r>
        <w:rPr>
          <w:rFonts w:hint="eastAsia" w:ascii="宋体" w:hAnsi="宋体" w:eastAsia="宋体" w:cs="宋体"/>
          <w:i w:val="0"/>
          <w:iCs w:val="0"/>
          <w:color w:val="auto"/>
          <w:sz w:val="24"/>
          <w:szCs w:val="24"/>
          <w:highlight w:val="none"/>
          <w:lang w:val="en-US" w:eastAsia="zh-CN"/>
        </w:rPr>
        <w:t>“第四章 评审方法及标准”</w:t>
      </w:r>
      <w:r>
        <w:rPr>
          <w:rFonts w:hint="eastAsia" w:ascii="宋体" w:hAnsi="宋体" w:eastAsia="宋体" w:cs="宋体"/>
          <w:i w:val="0"/>
          <w:iCs w:val="0"/>
          <w:color w:val="auto"/>
          <w:sz w:val="24"/>
          <w:szCs w:val="24"/>
          <w:highlight w:val="none"/>
        </w:rPr>
        <w:t>。</w:t>
      </w:r>
    </w:p>
    <w:p w14:paraId="115ACB07">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cs="宋体"/>
          <w:b/>
          <w:bCs/>
          <w:i w:val="0"/>
          <w:iCs w:val="0"/>
          <w:color w:val="auto"/>
          <w:kern w:val="2"/>
          <w:sz w:val="24"/>
          <w:szCs w:val="24"/>
          <w:highlight w:val="none"/>
          <w:lang w:val="en-US" w:eastAsia="zh-CN" w:bidi="ar-SA"/>
        </w:rPr>
        <w:t>43</w:t>
      </w:r>
      <w:r>
        <w:rPr>
          <w:rFonts w:hint="eastAsia" w:ascii="宋体" w:hAnsi="宋体" w:eastAsia="宋体" w:cs="宋体"/>
          <w:b/>
          <w:bCs/>
          <w:i w:val="0"/>
          <w:iCs w:val="0"/>
          <w:color w:val="auto"/>
          <w:kern w:val="2"/>
          <w:sz w:val="24"/>
          <w:szCs w:val="24"/>
          <w:highlight w:val="none"/>
          <w:lang w:val="en-US" w:eastAsia="zh-CN" w:bidi="ar-SA"/>
        </w:rPr>
        <w:t>.正版软件</w:t>
      </w:r>
    </w:p>
    <w:p w14:paraId="17A8873E">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43</w:t>
      </w:r>
      <w:r>
        <w:rPr>
          <w:rFonts w:hint="eastAsia" w:ascii="宋体" w:hAnsi="宋体" w:eastAsia="宋体" w:cs="宋体"/>
          <w:i w:val="0"/>
          <w:iCs w:val="0"/>
          <w:snapToGrid w:val="0"/>
          <w:color w:val="auto"/>
          <w:sz w:val="24"/>
          <w:szCs w:val="24"/>
          <w:highlight w:val="none"/>
          <w:lang w:val="en-US" w:eastAsia="zh-CN"/>
        </w:rPr>
        <w:t xml:space="preserve">.1 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 </w:t>
      </w:r>
    </w:p>
    <w:p w14:paraId="55861382">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cs="宋体"/>
          <w:b/>
          <w:bCs/>
          <w:i w:val="0"/>
          <w:iCs w:val="0"/>
          <w:color w:val="auto"/>
          <w:kern w:val="2"/>
          <w:sz w:val="24"/>
          <w:szCs w:val="24"/>
          <w:highlight w:val="none"/>
          <w:lang w:val="en-US" w:eastAsia="zh-CN" w:bidi="ar-SA"/>
        </w:rPr>
        <w:t>44</w:t>
      </w:r>
      <w:r>
        <w:rPr>
          <w:rFonts w:hint="eastAsia" w:ascii="宋体" w:hAnsi="宋体" w:eastAsia="宋体" w:cs="宋体"/>
          <w:b/>
          <w:bCs/>
          <w:i w:val="0"/>
          <w:iCs w:val="0"/>
          <w:color w:val="auto"/>
          <w:kern w:val="2"/>
          <w:sz w:val="24"/>
          <w:szCs w:val="24"/>
          <w:highlight w:val="none"/>
          <w:lang w:val="en-US" w:eastAsia="zh-CN" w:bidi="ar-SA"/>
        </w:rPr>
        <w:t xml:space="preserve">.网络安全专用产品 </w:t>
      </w:r>
    </w:p>
    <w:p w14:paraId="069B9A7C">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44</w:t>
      </w:r>
      <w:r>
        <w:rPr>
          <w:rFonts w:hint="eastAsia" w:ascii="宋体" w:hAnsi="宋体" w:eastAsia="宋体" w:cs="宋体"/>
          <w:i w:val="0"/>
          <w:iCs w:val="0"/>
          <w:snapToGrid w:val="0"/>
          <w:color w:val="auto"/>
          <w:sz w:val="24"/>
          <w:szCs w:val="24"/>
          <w:highlight w:val="none"/>
          <w:lang w:val="en-US" w:eastAsia="zh-CN"/>
        </w:rPr>
        <w:t>.1本项目中如涉及网络关键设备或网络安全专用产品的，应严格执行国家互联网信息办公室、工业和信息化部、公安部、财政部和国家认证认可监督管理委员会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采购人、中标(成交)人双方签订合同及验收环节，应包含上述网络安全要求的条款。</w:t>
      </w:r>
    </w:p>
    <w:p w14:paraId="63584A7C">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44</w:t>
      </w:r>
      <w:r>
        <w:rPr>
          <w:rFonts w:hint="eastAsia" w:ascii="宋体" w:hAnsi="宋体" w:eastAsia="宋体" w:cs="宋体"/>
          <w:i w:val="0"/>
          <w:iCs w:val="0"/>
          <w:snapToGrid w:val="0"/>
          <w:color w:val="auto"/>
          <w:sz w:val="24"/>
          <w:szCs w:val="24"/>
          <w:highlight w:val="none"/>
          <w:lang w:val="en-US" w:eastAsia="zh-CN"/>
        </w:rPr>
        <w:t>.2本项目中如涉及国家强制性产品认证证书（CCC 认证证书）、电信设备进网许可证、无线电发射设备核准证等市场准入类资质的，应严格执行国家相关法律法规的要求。采购人、中标(成交)人双方签订合同及验收环节，应包含上述市场准入类资质要求的条款。</w:t>
      </w:r>
    </w:p>
    <w:p w14:paraId="74520939">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cs="宋体"/>
          <w:b/>
          <w:bCs/>
          <w:i w:val="0"/>
          <w:iCs w:val="0"/>
          <w:color w:val="auto"/>
          <w:kern w:val="2"/>
          <w:sz w:val="24"/>
          <w:szCs w:val="24"/>
          <w:highlight w:val="none"/>
          <w:lang w:val="en-US" w:eastAsia="zh-CN" w:bidi="ar-SA"/>
        </w:rPr>
        <w:t>45</w:t>
      </w:r>
      <w:r>
        <w:rPr>
          <w:rFonts w:hint="eastAsia" w:ascii="宋体" w:hAnsi="宋体" w:eastAsia="宋体" w:cs="宋体"/>
          <w:b/>
          <w:bCs/>
          <w:i w:val="0"/>
          <w:iCs w:val="0"/>
          <w:color w:val="auto"/>
          <w:kern w:val="2"/>
          <w:sz w:val="24"/>
          <w:szCs w:val="24"/>
          <w:highlight w:val="none"/>
          <w:lang w:val="en-US" w:eastAsia="zh-CN" w:bidi="ar-SA"/>
        </w:rPr>
        <w:t xml:space="preserve">.采购需求标准 </w:t>
      </w:r>
    </w:p>
    <w:bookmarkEnd w:id="371"/>
    <w:bookmarkEnd w:id="372"/>
    <w:bookmarkEnd w:id="373"/>
    <w:bookmarkEnd w:id="374"/>
    <w:bookmarkEnd w:id="375"/>
    <w:p w14:paraId="14900E54">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bookmarkStart w:id="395" w:name="_Toc109899993"/>
      <w:bookmarkStart w:id="396" w:name="_Toc109899574"/>
      <w:bookmarkStart w:id="397" w:name="_Toc109897475"/>
      <w:bookmarkStart w:id="398" w:name="_Toc163493622"/>
      <w:bookmarkStart w:id="399" w:name="_Toc109900412"/>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 xml:space="preserve">.1 商品包装、快递包装政府采购需求标准（试行） </w:t>
      </w:r>
    </w:p>
    <w:p w14:paraId="20C6DEA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为助力打好污染防治攻坚战，推广使用绿色包装，根据财政部关于印发《商品包装政府采购需求标准（试行）》、《快递包装政府采购需求标准（试行）》的通知（财办库〔2020〕123 号），本项目如涉及商品包装和快递包装的，则其具体要求见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 xml:space="preserve">。 </w:t>
      </w:r>
    </w:p>
    <w:p w14:paraId="434CC9F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 xml:space="preserve">.2 绿色数据中心政府采购需求标准（试行） </w:t>
      </w:r>
    </w:p>
    <w:p w14:paraId="6A8268E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为加快数据中心绿色转型，根据财政部 生态环境部 工业和信息化部关于印发《绿色数据中心政府采购需求标准（试行）》的通知（财库〔2023〕7 号），本项目如涉及绿色数据中心，则具体要求见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 xml:space="preserve">。 </w:t>
      </w:r>
    </w:p>
    <w:p w14:paraId="542D71F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.3台式计算机政府采购需求标准</w:t>
      </w:r>
    </w:p>
    <w:p w14:paraId="6F79611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为提高台式计算机政府采购需求管理的科学化、规范化水平，进一步落实政府采购公平竞争原则，优化营商环境，营造良好的产业生态，财政部 工业和信息化部关于印发《台式计算机政府采购需求标准（2023年版）》的通知（财库〔2023〕29号），本项目如涉及台式计算机采购，则具体要求见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6655DAE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.4便携式计算机政府采购需求标准</w:t>
      </w:r>
    </w:p>
    <w:p w14:paraId="62FE4CB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为提高便携式计算机政府采购需求管理的科学化、规范化水平，进一步落实政府采购公平竞争原则，优化营商环境，营造良好的产业生态，财政部 工业和信息化部关于印发《便携式计算机政府采购需求标准（2023年版）》的通知（财库〔2023〕30号），本项目如涉及便携式计算机采购，则具体要求见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14521C46">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.5一体式计算机政府采购需求标准</w:t>
      </w:r>
    </w:p>
    <w:p w14:paraId="2CF9D77E">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为提高一体式计算机政府采购需求管理的科学化、规范化水平，进一步落实政府采购公平竞争原则，优化营商环境，营造良好的产业生态，财政部 工业和信息化部关于印发《一体式计算机政府采购需求标准（2023年版）》的通知（财库〔2023〕31号），本项目如涉及一体式计算机采购，则具体要求见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0E095A3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.6工作站政府采购需求标准</w:t>
      </w:r>
    </w:p>
    <w:p w14:paraId="10B29BE2">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为提高工作站政府采购需求管理的科学化、规范化水平，进一步落实政府采购公平竞争原则，优化营商环境，营造良好的产业生态，财政部 工业和信息化部关于印发《工作站政府采购需求标准（2023年版）》的通知（财库〔2023〕32号），本项目如涉及工作站采购，则具体要求见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799B5CDB">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.7通用服务器政府采购需求标准</w:t>
      </w:r>
    </w:p>
    <w:p w14:paraId="7CA1785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为提高通用服务器政府采购需求管理的科学化、规范化水平，进一步落实政府采购公平竞争原则，优化营商环境，营造良好的产业生态，财政部 工业和信息化部关于印发《通用服务器政府采购需求标准（2023年版）》的通知（财库〔2023〕33号），本项目如涉及通用服务器采购，则具体要求见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6809AE01">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.8操作系统政府采购需求标准</w:t>
      </w:r>
    </w:p>
    <w:p w14:paraId="769E15B5">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为提高操作系统政府采购需求管理的科学化、规范化水平，进一步落实政府采购公平竞争原则，优化营商环境，营造良好的产业生态，财政部 工业和信息化部关于印发《操作系统政府采购需求标准（2023年版）》的通知（财库〔2023〕34号），本项目如涉及操作系统采购，则具体要求见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2ABAD85C">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.9数据库政府采购需求标准</w:t>
      </w:r>
    </w:p>
    <w:p w14:paraId="7A7FD070">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为提高数据库政府采购需求管理的科学化、规范化水平，进一步落实政府采购公平竞争原则，优化营商环境，营造良好的产业生态，财政部 工业和信息化部关于印发《数据库政府采购需求标准（2023年版）》的通知（财库〔2023〕35号），本项目如涉及数据库采购，则具体要求见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7277C7C8">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cs="宋体"/>
          <w:i w:val="0"/>
          <w:iCs w:val="0"/>
          <w:snapToGrid w:val="0"/>
          <w:color w:val="auto"/>
          <w:sz w:val="24"/>
          <w:szCs w:val="24"/>
          <w:highlight w:val="none"/>
          <w:lang w:val="en-US" w:eastAsia="zh-CN"/>
        </w:rPr>
        <w:t>45</w:t>
      </w:r>
      <w:r>
        <w:rPr>
          <w:rFonts w:hint="eastAsia" w:ascii="宋体" w:hAnsi="宋体" w:eastAsia="宋体" w:cs="宋体"/>
          <w:i w:val="0"/>
          <w:iCs w:val="0"/>
          <w:snapToGrid w:val="0"/>
          <w:color w:val="auto"/>
          <w:sz w:val="24"/>
          <w:szCs w:val="24"/>
          <w:highlight w:val="none"/>
          <w:lang w:val="en-US" w:eastAsia="zh-CN"/>
        </w:rPr>
        <w:t>.10物业管理服务政府采购需求标准（办公场所类）（试行）</w:t>
      </w:r>
    </w:p>
    <w:p w14:paraId="3D983533">
      <w:pPr>
        <w:pStyle w:val="38"/>
        <w:keepNext w:val="0"/>
        <w:keepLines w:val="0"/>
        <w:pageBreakBefore w:val="0"/>
        <w:widowControl w:val="0"/>
        <w:kinsoku/>
        <w:overflowPunct/>
        <w:topLinePunct w:val="0"/>
        <w:autoSpaceDE/>
        <w:autoSpaceDN/>
        <w:bidi w:val="0"/>
        <w:adjustRightInd/>
        <w:jc w:val="both"/>
        <w:textAlignment w:val="auto"/>
        <w:rPr>
          <w:rFonts w:hint="eastAsia" w:ascii="宋体" w:hAnsi="宋体" w:eastAsia="宋体" w:cs="宋体"/>
          <w:i w:val="0"/>
          <w:iCs w:val="0"/>
          <w:snapToGrid w:val="0"/>
          <w:color w:val="auto"/>
          <w:sz w:val="24"/>
          <w:szCs w:val="24"/>
          <w:highlight w:val="none"/>
          <w:lang w:val="en-US" w:eastAsia="zh-CN"/>
        </w:rPr>
      </w:pPr>
      <w:r>
        <w:rPr>
          <w:rFonts w:hint="eastAsia" w:ascii="宋体" w:hAnsi="宋体" w:eastAsia="宋体" w:cs="宋体"/>
          <w:i w:val="0"/>
          <w:iCs w:val="0"/>
          <w:snapToGrid w:val="0"/>
          <w:color w:val="auto"/>
          <w:sz w:val="24"/>
          <w:szCs w:val="24"/>
          <w:highlight w:val="none"/>
          <w:lang w:val="en-US" w:eastAsia="zh-CN"/>
        </w:rPr>
        <w:t>为贯彻落实中央全面深化改革委员会审议通过的《深化政府采购制度改革方案》有关要求，推动政府采购需求标准建设，财政部办公厅关于印发《物业管理服务政府采购需求标准（办公场所类）（试行）》的通知（财办库〔2024〕113号），本项目如涉及物业管理服务采购，则具体要求见</w:t>
      </w:r>
      <w:r>
        <w:rPr>
          <w:rFonts w:hint="eastAsia" w:ascii="宋体" w:hAnsi="宋体" w:eastAsia="宋体" w:cs="宋体"/>
          <w:i w:val="0"/>
          <w:iCs w:val="0"/>
          <w:color w:val="auto"/>
          <w:sz w:val="24"/>
          <w:szCs w:val="24"/>
          <w:highlight w:val="none"/>
        </w:rPr>
        <w:t xml:space="preserve">“第三章 </w:t>
      </w:r>
      <w:r>
        <w:rPr>
          <w:rFonts w:hint="eastAsia" w:ascii="宋体" w:hAnsi="宋体" w:eastAsia="宋体" w:cs="宋体"/>
          <w:i w:val="0"/>
          <w:iCs w:val="0"/>
          <w:color w:val="auto"/>
          <w:sz w:val="24"/>
          <w:szCs w:val="24"/>
          <w:highlight w:val="none"/>
          <w:lang w:val="en-US" w:eastAsia="zh-CN"/>
        </w:rPr>
        <w:t>项目</w:t>
      </w:r>
      <w:r>
        <w:rPr>
          <w:rFonts w:hint="eastAsia" w:ascii="宋体" w:hAnsi="宋体" w:eastAsia="宋体" w:cs="宋体"/>
          <w:i w:val="0"/>
          <w:iCs w:val="0"/>
          <w:color w:val="auto"/>
          <w:sz w:val="24"/>
          <w:szCs w:val="24"/>
          <w:highlight w:val="none"/>
        </w:rPr>
        <w:t>采购需求”</w:t>
      </w:r>
      <w:r>
        <w:rPr>
          <w:rFonts w:hint="eastAsia" w:ascii="宋体" w:hAnsi="宋体" w:eastAsia="宋体" w:cs="宋体"/>
          <w:i w:val="0"/>
          <w:iCs w:val="0"/>
          <w:snapToGrid w:val="0"/>
          <w:color w:val="auto"/>
          <w:sz w:val="24"/>
          <w:szCs w:val="24"/>
          <w:highlight w:val="none"/>
          <w:lang w:val="en-US" w:eastAsia="zh-CN"/>
        </w:rPr>
        <w:t>。</w:t>
      </w:r>
    </w:p>
    <w:p w14:paraId="1EE65E2B">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（十四）政府采购合同融资政策</w:t>
      </w:r>
      <w:bookmarkEnd w:id="395"/>
      <w:bookmarkEnd w:id="396"/>
      <w:bookmarkEnd w:id="397"/>
      <w:bookmarkEnd w:id="398"/>
      <w:bookmarkEnd w:id="399"/>
    </w:p>
    <w:p w14:paraId="7BF1DCD3">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00" w:name="_Toc161600345"/>
      <w:bookmarkStart w:id="401" w:name="_Toc109897476"/>
      <w:r>
        <w:rPr>
          <w:rFonts w:hint="eastAsia" w:ascii="宋体" w:hAnsi="宋体" w:cs="宋体"/>
          <w:b/>
          <w:bCs/>
          <w:i w:val="0"/>
          <w:iCs w:val="0"/>
          <w:color w:val="auto"/>
          <w:kern w:val="2"/>
          <w:sz w:val="24"/>
          <w:szCs w:val="24"/>
          <w:highlight w:val="none"/>
          <w:lang w:val="en-US" w:eastAsia="zh-CN" w:bidi="ar-SA"/>
        </w:rPr>
        <w:t>46</w:t>
      </w:r>
      <w:r>
        <w:rPr>
          <w:rFonts w:hint="eastAsia" w:ascii="宋体" w:hAnsi="宋体" w:eastAsia="宋体" w:cs="宋体"/>
          <w:b/>
          <w:bCs/>
          <w:i w:val="0"/>
          <w:iCs w:val="0"/>
          <w:color w:val="auto"/>
          <w:kern w:val="2"/>
          <w:sz w:val="24"/>
          <w:szCs w:val="24"/>
          <w:highlight w:val="none"/>
          <w:lang w:val="en-US" w:eastAsia="zh-CN" w:bidi="ar-SA"/>
        </w:rPr>
        <w:t>.政府采购合同融资政策</w:t>
      </w:r>
      <w:bookmarkEnd w:id="400"/>
    </w:p>
    <w:p w14:paraId="5B7037DD">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cs="宋体"/>
          <w:i w:val="0"/>
          <w:iCs w:val="0"/>
          <w:color w:val="auto"/>
          <w:sz w:val="24"/>
          <w:szCs w:val="24"/>
          <w:highlight w:val="none"/>
          <w:lang w:eastAsia="zh-CN"/>
        </w:rPr>
        <w:t>46</w:t>
      </w:r>
      <w:r>
        <w:rPr>
          <w:rFonts w:hint="eastAsia" w:ascii="宋体" w:hAnsi="宋体" w:eastAsia="宋体" w:cs="宋体"/>
          <w:i w:val="0"/>
          <w:iCs w:val="0"/>
          <w:color w:val="auto"/>
          <w:sz w:val="24"/>
          <w:szCs w:val="24"/>
          <w:highlight w:val="none"/>
        </w:rPr>
        <w:t>.1政府采购合同融资政策：见供应商须知前附表。</w:t>
      </w:r>
    </w:p>
    <w:p w14:paraId="6E276621">
      <w:pPr>
        <w:pStyle w:val="6"/>
        <w:keepNext w:val="0"/>
        <w:keepLines w:val="0"/>
        <w:pageBreakBefore w:val="0"/>
        <w:widowControl w:val="0"/>
        <w:numPr>
          <w:ilvl w:val="0"/>
          <w:numId w:val="0"/>
        </w:numPr>
        <w:kinsoku/>
        <w:wordWrap/>
        <w:overflowPunct/>
        <w:topLinePunct w:val="0"/>
        <w:autoSpaceDE/>
        <w:autoSpaceDN/>
        <w:bidi w:val="0"/>
        <w:adjustRightInd/>
        <w:snapToGrid/>
        <w:spacing w:before="140" w:after="14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02" w:name="_Toc109899994"/>
      <w:bookmarkStart w:id="403" w:name="_Toc163493623"/>
      <w:bookmarkStart w:id="404" w:name="_Toc109899575"/>
      <w:bookmarkStart w:id="405" w:name="_Toc109900413"/>
      <w:r>
        <w:rPr>
          <w:rFonts w:hint="eastAsia" w:ascii="宋体" w:hAnsi="宋体" w:eastAsia="宋体" w:cs="宋体"/>
          <w:b/>
          <w:bCs/>
          <w:i w:val="0"/>
          <w:iCs w:val="0"/>
          <w:color w:val="auto"/>
          <w:kern w:val="2"/>
          <w:sz w:val="24"/>
          <w:szCs w:val="24"/>
          <w:highlight w:val="none"/>
          <w:lang w:val="en-US" w:eastAsia="zh-CN" w:bidi="ar-SA"/>
        </w:rPr>
        <w:t>（十五）其他</w:t>
      </w:r>
      <w:bookmarkEnd w:id="401"/>
      <w:bookmarkEnd w:id="402"/>
      <w:bookmarkEnd w:id="403"/>
      <w:bookmarkEnd w:id="404"/>
      <w:bookmarkEnd w:id="405"/>
    </w:p>
    <w:p w14:paraId="4552EC84">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06" w:name="_Toc161600347"/>
      <w:r>
        <w:rPr>
          <w:rFonts w:hint="eastAsia" w:ascii="宋体" w:hAnsi="宋体" w:eastAsia="宋体" w:cs="宋体"/>
          <w:b/>
          <w:bCs/>
          <w:i w:val="0"/>
          <w:iCs w:val="0"/>
          <w:color w:val="auto"/>
          <w:kern w:val="2"/>
          <w:sz w:val="24"/>
          <w:szCs w:val="24"/>
          <w:highlight w:val="none"/>
          <w:lang w:val="en-US" w:eastAsia="zh-CN" w:bidi="ar-SA"/>
        </w:rPr>
        <w:t>4</w:t>
      </w:r>
      <w:r>
        <w:rPr>
          <w:rFonts w:hint="eastAsia" w:ascii="宋体" w:hAnsi="宋体" w:cs="宋体"/>
          <w:b/>
          <w:bCs/>
          <w:i w:val="0"/>
          <w:iCs w:val="0"/>
          <w:color w:val="auto"/>
          <w:kern w:val="2"/>
          <w:sz w:val="24"/>
          <w:szCs w:val="24"/>
          <w:highlight w:val="none"/>
          <w:lang w:val="en-US" w:eastAsia="zh-CN" w:bidi="ar-SA"/>
        </w:rPr>
        <w:t>7</w:t>
      </w:r>
      <w:r>
        <w:rPr>
          <w:rFonts w:hint="eastAsia" w:ascii="宋体" w:hAnsi="宋体" w:eastAsia="宋体" w:cs="宋体"/>
          <w:b/>
          <w:bCs/>
          <w:i w:val="0"/>
          <w:iCs w:val="0"/>
          <w:color w:val="auto"/>
          <w:kern w:val="2"/>
          <w:sz w:val="24"/>
          <w:szCs w:val="24"/>
          <w:highlight w:val="none"/>
          <w:lang w:val="en-US" w:eastAsia="zh-CN" w:bidi="ar-SA"/>
        </w:rPr>
        <w:t>.需要补充的其他内容</w:t>
      </w:r>
      <w:bookmarkEnd w:id="406"/>
    </w:p>
    <w:p w14:paraId="3F279666">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w:t>
      </w:r>
      <w:r>
        <w:rPr>
          <w:rFonts w:hint="eastAsia" w:cs="宋体"/>
          <w:i w:val="0"/>
          <w:iCs w:val="0"/>
          <w:color w:val="auto"/>
          <w:sz w:val="24"/>
          <w:szCs w:val="24"/>
          <w:highlight w:val="none"/>
          <w:lang w:val="en-US" w:eastAsia="zh-CN"/>
        </w:rPr>
        <w:t>7</w:t>
      </w:r>
      <w:r>
        <w:rPr>
          <w:rFonts w:hint="eastAsia" w:ascii="宋体" w:hAnsi="宋体" w:eastAsia="宋体" w:cs="宋体"/>
          <w:i w:val="0"/>
          <w:iCs w:val="0"/>
          <w:color w:val="auto"/>
          <w:sz w:val="24"/>
          <w:szCs w:val="24"/>
          <w:highlight w:val="none"/>
        </w:rPr>
        <w:t>.1需要补充的其他内容：见供应商须知前附表。</w:t>
      </w:r>
    </w:p>
    <w:p w14:paraId="38328EA7">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07" w:name="_Toc109900414"/>
      <w:bookmarkStart w:id="408" w:name="_Toc109897477"/>
      <w:bookmarkStart w:id="409" w:name="_Toc109899576"/>
      <w:bookmarkStart w:id="410" w:name="_Toc109899995"/>
      <w:r>
        <w:rPr>
          <w:rFonts w:hint="eastAsia" w:ascii="宋体" w:hAnsi="宋体" w:eastAsia="宋体" w:cs="宋体"/>
          <w:b/>
          <w:bCs/>
          <w:i w:val="0"/>
          <w:iCs w:val="0"/>
          <w:color w:val="auto"/>
          <w:kern w:val="2"/>
          <w:sz w:val="24"/>
          <w:szCs w:val="24"/>
          <w:highlight w:val="none"/>
          <w:lang w:val="en-US" w:eastAsia="zh-CN" w:bidi="ar-SA"/>
        </w:rPr>
        <w:t>4</w:t>
      </w:r>
      <w:r>
        <w:rPr>
          <w:rFonts w:hint="eastAsia" w:ascii="宋体" w:hAnsi="宋体" w:cs="宋体"/>
          <w:b/>
          <w:bCs/>
          <w:i w:val="0"/>
          <w:iCs w:val="0"/>
          <w:color w:val="auto"/>
          <w:kern w:val="2"/>
          <w:sz w:val="24"/>
          <w:szCs w:val="24"/>
          <w:highlight w:val="none"/>
          <w:lang w:val="en-US" w:eastAsia="zh-CN" w:bidi="ar-SA"/>
        </w:rPr>
        <w:t>8</w:t>
      </w:r>
      <w:r>
        <w:rPr>
          <w:rFonts w:hint="eastAsia" w:ascii="宋体" w:hAnsi="宋体" w:eastAsia="宋体" w:cs="宋体"/>
          <w:b/>
          <w:bCs/>
          <w:i w:val="0"/>
          <w:iCs w:val="0"/>
          <w:color w:val="auto"/>
          <w:kern w:val="2"/>
          <w:sz w:val="24"/>
          <w:szCs w:val="24"/>
          <w:highlight w:val="none"/>
          <w:lang w:val="en-US" w:eastAsia="zh-CN" w:bidi="ar-SA"/>
        </w:rPr>
        <w:t>.适用法律</w:t>
      </w:r>
      <w:bookmarkEnd w:id="407"/>
      <w:bookmarkEnd w:id="408"/>
      <w:bookmarkEnd w:id="409"/>
      <w:bookmarkEnd w:id="410"/>
    </w:p>
    <w:p w14:paraId="73C8CC58">
      <w:pPr>
        <w:keepNext w:val="0"/>
        <w:keepLines w:val="0"/>
        <w:pageBreakBefore w:val="0"/>
        <w:widowControl w:val="0"/>
        <w:tabs>
          <w:tab w:val="left" w:pos="426"/>
        </w:tabs>
        <w:kinsoku/>
        <w:overflowPunct/>
        <w:topLinePunct w:val="0"/>
        <w:autoSpaceDE w:val="0"/>
        <w:autoSpaceDN w:val="0"/>
        <w:bidi w:val="0"/>
        <w:adjustRightInd w:val="0"/>
        <w:snapToGrid w:val="0"/>
        <w:ind w:firstLine="480" w:firstLineChars="20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4</w:t>
      </w:r>
      <w:r>
        <w:rPr>
          <w:rFonts w:hint="eastAsia" w:cs="宋体"/>
          <w:i w:val="0"/>
          <w:iCs w:val="0"/>
          <w:snapToGrid w:val="0"/>
          <w:color w:val="auto"/>
          <w:sz w:val="24"/>
          <w:szCs w:val="24"/>
          <w:highlight w:val="none"/>
          <w:lang w:val="en-US" w:eastAsia="zh-CN"/>
        </w:rPr>
        <w:t>8</w:t>
      </w:r>
      <w:r>
        <w:rPr>
          <w:rFonts w:hint="eastAsia" w:ascii="宋体" w:hAnsi="宋体" w:eastAsia="宋体" w:cs="宋体"/>
          <w:i w:val="0"/>
          <w:iCs w:val="0"/>
          <w:snapToGrid w:val="0"/>
          <w:color w:val="auto"/>
          <w:sz w:val="24"/>
          <w:szCs w:val="24"/>
          <w:highlight w:val="none"/>
          <w:lang w:val="zh-CN"/>
        </w:rPr>
        <w:t>.1采购人、采购代理机构及供应商的一切采购活动均适用《</w:t>
      </w:r>
      <w:r>
        <w:rPr>
          <w:rFonts w:hint="eastAsia" w:ascii="宋体" w:hAnsi="宋体" w:eastAsia="宋体" w:cs="宋体"/>
          <w:i w:val="0"/>
          <w:iCs w:val="0"/>
          <w:snapToGrid w:val="0"/>
          <w:color w:val="auto"/>
          <w:sz w:val="24"/>
          <w:szCs w:val="24"/>
          <w:highlight w:val="none"/>
        </w:rPr>
        <w:t>中华人民共和国</w:t>
      </w:r>
      <w:r>
        <w:rPr>
          <w:rFonts w:hint="eastAsia" w:ascii="宋体" w:hAnsi="宋体" w:eastAsia="宋体" w:cs="宋体"/>
          <w:i w:val="0"/>
          <w:iCs w:val="0"/>
          <w:snapToGrid w:val="0"/>
          <w:color w:val="auto"/>
          <w:sz w:val="24"/>
          <w:szCs w:val="24"/>
          <w:highlight w:val="none"/>
          <w:lang w:val="zh-CN"/>
        </w:rPr>
        <w:t>政府采购法》、《</w:t>
      </w:r>
      <w:r>
        <w:rPr>
          <w:rFonts w:hint="eastAsia" w:ascii="宋体" w:hAnsi="宋体" w:eastAsia="宋体" w:cs="宋体"/>
          <w:i w:val="0"/>
          <w:iCs w:val="0"/>
          <w:snapToGrid w:val="0"/>
          <w:color w:val="auto"/>
          <w:sz w:val="24"/>
          <w:szCs w:val="24"/>
          <w:highlight w:val="none"/>
        </w:rPr>
        <w:t>中华人民共和国</w:t>
      </w:r>
      <w:r>
        <w:rPr>
          <w:rFonts w:hint="eastAsia" w:ascii="宋体" w:hAnsi="宋体" w:eastAsia="宋体" w:cs="宋体"/>
          <w:i w:val="0"/>
          <w:iCs w:val="0"/>
          <w:snapToGrid w:val="0"/>
          <w:color w:val="auto"/>
          <w:sz w:val="24"/>
          <w:szCs w:val="24"/>
          <w:highlight w:val="none"/>
          <w:lang w:val="zh-CN"/>
        </w:rPr>
        <w:t>政府采购法实施条例》、</w:t>
      </w:r>
      <w:r>
        <w:rPr>
          <w:rFonts w:hint="eastAsia" w:ascii="宋体" w:hAnsi="宋体" w:eastAsia="宋体" w:cs="宋体"/>
          <w:i w:val="0"/>
          <w:iCs w:val="0"/>
          <w:color w:val="auto"/>
          <w:sz w:val="24"/>
          <w:szCs w:val="24"/>
          <w:highlight w:val="none"/>
        </w:rPr>
        <w:t>《政府采购竞争性磋商采购方式管理暂行办法》（财库〔2014〕214号）</w:t>
      </w:r>
      <w:r>
        <w:rPr>
          <w:rFonts w:hint="eastAsia" w:ascii="宋体" w:hAnsi="宋体" w:eastAsia="宋体" w:cs="宋体"/>
          <w:i w:val="0"/>
          <w:iCs w:val="0"/>
          <w:snapToGrid w:val="0"/>
          <w:color w:val="auto"/>
          <w:sz w:val="24"/>
          <w:szCs w:val="24"/>
          <w:highlight w:val="none"/>
          <w:lang w:val="zh-CN"/>
        </w:rPr>
        <w:t>及相关法律法规。</w:t>
      </w:r>
    </w:p>
    <w:p w14:paraId="37D4DC11">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lang w:val="zh-CN"/>
        </w:rPr>
      </w:pPr>
      <w:r>
        <w:rPr>
          <w:rFonts w:hint="eastAsia" w:ascii="宋体" w:hAnsi="宋体" w:eastAsia="宋体" w:cs="宋体"/>
          <w:i w:val="0"/>
          <w:iCs w:val="0"/>
          <w:snapToGrid w:val="0"/>
          <w:color w:val="auto"/>
          <w:sz w:val="24"/>
          <w:szCs w:val="24"/>
          <w:highlight w:val="none"/>
          <w:lang w:val="zh-CN"/>
        </w:rPr>
        <w:t>4</w:t>
      </w:r>
      <w:r>
        <w:rPr>
          <w:rFonts w:hint="eastAsia" w:cs="宋体"/>
          <w:i w:val="0"/>
          <w:iCs w:val="0"/>
          <w:snapToGrid w:val="0"/>
          <w:color w:val="auto"/>
          <w:sz w:val="24"/>
          <w:szCs w:val="24"/>
          <w:highlight w:val="none"/>
          <w:lang w:val="en-US" w:eastAsia="zh-CN"/>
        </w:rPr>
        <w:t>8</w:t>
      </w:r>
      <w:r>
        <w:rPr>
          <w:rFonts w:hint="eastAsia" w:ascii="宋体" w:hAnsi="宋体" w:eastAsia="宋体" w:cs="宋体"/>
          <w:i w:val="0"/>
          <w:iCs w:val="0"/>
          <w:snapToGrid w:val="0"/>
          <w:color w:val="auto"/>
          <w:sz w:val="24"/>
          <w:szCs w:val="24"/>
          <w:highlight w:val="none"/>
          <w:lang w:val="zh-CN"/>
        </w:rPr>
        <w:t>.2政府采购合同的履行、违约责任和解决争议的方法等适用《</w:t>
      </w:r>
      <w:r>
        <w:rPr>
          <w:rFonts w:hint="eastAsia" w:ascii="宋体" w:hAnsi="宋体" w:eastAsia="宋体" w:cs="宋体"/>
          <w:i w:val="0"/>
          <w:iCs w:val="0"/>
          <w:snapToGrid w:val="0"/>
          <w:color w:val="auto"/>
          <w:sz w:val="24"/>
          <w:szCs w:val="24"/>
          <w:highlight w:val="none"/>
        </w:rPr>
        <w:t>中华人民共和国</w:t>
      </w:r>
      <w:r>
        <w:rPr>
          <w:rFonts w:hint="eastAsia" w:ascii="宋体" w:hAnsi="宋体" w:eastAsia="宋体" w:cs="宋体"/>
          <w:i w:val="0"/>
          <w:iCs w:val="0"/>
          <w:snapToGrid w:val="0"/>
          <w:color w:val="auto"/>
          <w:sz w:val="24"/>
          <w:szCs w:val="24"/>
          <w:highlight w:val="none"/>
          <w:lang w:val="zh-CN"/>
        </w:rPr>
        <w:t>民法典》。</w:t>
      </w:r>
    </w:p>
    <w:p w14:paraId="2F095BC4">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11" w:name="_Toc161600349"/>
      <w:bookmarkStart w:id="412" w:name="_Toc155185887"/>
      <w:r>
        <w:rPr>
          <w:rFonts w:hint="eastAsia" w:ascii="宋体" w:hAnsi="宋体" w:cs="宋体"/>
          <w:b/>
          <w:bCs/>
          <w:i w:val="0"/>
          <w:iCs w:val="0"/>
          <w:color w:val="auto"/>
          <w:kern w:val="2"/>
          <w:sz w:val="24"/>
          <w:szCs w:val="24"/>
          <w:highlight w:val="none"/>
          <w:lang w:val="en-US" w:eastAsia="zh-CN" w:bidi="ar-SA"/>
        </w:rPr>
        <w:t>49</w:t>
      </w:r>
      <w:r>
        <w:rPr>
          <w:rFonts w:hint="eastAsia" w:ascii="宋体" w:hAnsi="宋体" w:eastAsia="宋体" w:cs="宋体"/>
          <w:b/>
          <w:bCs/>
          <w:i w:val="0"/>
          <w:iCs w:val="0"/>
          <w:color w:val="auto"/>
          <w:kern w:val="2"/>
          <w:sz w:val="24"/>
          <w:szCs w:val="24"/>
          <w:highlight w:val="none"/>
          <w:lang w:val="en-US" w:eastAsia="zh-CN" w:bidi="ar-SA"/>
        </w:rPr>
        <w:t>.解释权</w:t>
      </w:r>
      <w:bookmarkEnd w:id="411"/>
      <w:bookmarkEnd w:id="412"/>
    </w:p>
    <w:p w14:paraId="2B934695">
      <w:pPr>
        <w:pStyle w:val="38"/>
        <w:keepNext w:val="0"/>
        <w:keepLines w:val="0"/>
        <w:pageBreakBefore w:val="0"/>
        <w:widowControl w:val="0"/>
        <w:kinsoku/>
        <w:overflowPunct/>
        <w:topLinePunct w:val="0"/>
        <w:bidi w:val="0"/>
        <w:ind w:firstLine="480"/>
        <w:jc w:val="both"/>
        <w:textAlignment w:val="auto"/>
        <w:rPr>
          <w:rFonts w:hint="eastAsia" w:ascii="宋体" w:hAnsi="宋体" w:eastAsia="宋体" w:cs="宋体"/>
          <w:i w:val="0"/>
          <w:iCs w:val="0"/>
          <w:snapToGrid w:val="0"/>
          <w:color w:val="auto"/>
          <w:sz w:val="24"/>
          <w:szCs w:val="24"/>
          <w:highlight w:val="none"/>
        </w:rPr>
      </w:pPr>
      <w:r>
        <w:rPr>
          <w:rFonts w:hint="eastAsia" w:cs="宋体"/>
          <w:i w:val="0"/>
          <w:iCs w:val="0"/>
          <w:snapToGrid w:val="0"/>
          <w:color w:val="auto"/>
          <w:sz w:val="24"/>
          <w:szCs w:val="24"/>
          <w:highlight w:val="none"/>
          <w:lang w:val="en-US" w:eastAsia="zh-CN"/>
        </w:rPr>
        <w:t>49</w:t>
      </w:r>
      <w:r>
        <w:rPr>
          <w:rFonts w:hint="eastAsia" w:ascii="宋体" w:hAnsi="宋体" w:eastAsia="宋体" w:cs="宋体"/>
          <w:i w:val="0"/>
          <w:iCs w:val="0"/>
          <w:snapToGrid w:val="0"/>
          <w:color w:val="auto"/>
          <w:sz w:val="24"/>
          <w:szCs w:val="24"/>
          <w:highlight w:val="none"/>
        </w:rPr>
        <w:t>.1本竞争性磋商文件最终解释权归采购人或采购代理机构所有。</w:t>
      </w:r>
    </w:p>
    <w:p w14:paraId="0C91AD2C">
      <w:pPr>
        <w:pStyle w:val="38"/>
        <w:ind w:firstLine="480"/>
        <w:jc w:val="both"/>
        <w:rPr>
          <w:rFonts w:hint="eastAsia" w:ascii="宋体" w:hAnsi="宋体" w:eastAsia="宋体" w:cs="宋体"/>
          <w:i w:val="0"/>
          <w:iCs w:val="0"/>
          <w:color w:val="auto"/>
          <w:sz w:val="24"/>
          <w:szCs w:val="24"/>
          <w:highlight w:val="none"/>
        </w:rPr>
      </w:pPr>
    </w:p>
    <w:p w14:paraId="11873EF4">
      <w:pPr>
        <w:pStyle w:val="38"/>
        <w:ind w:firstLine="480"/>
        <w:jc w:val="both"/>
        <w:rPr>
          <w:i w:val="0"/>
          <w:iCs w:val="0"/>
          <w:color w:val="auto"/>
          <w:highlight w:val="none"/>
        </w:rPr>
      </w:pPr>
    </w:p>
    <w:p w14:paraId="74F2BEA2">
      <w:pPr>
        <w:pStyle w:val="38"/>
        <w:ind w:firstLine="480"/>
        <w:jc w:val="both"/>
        <w:rPr>
          <w:i w:val="0"/>
          <w:iCs w:val="0"/>
          <w:color w:val="auto"/>
          <w:highlight w:val="none"/>
        </w:rPr>
        <w:sectPr>
          <w:pgSz w:w="11906" w:h="16838"/>
          <w:pgMar w:top="1440" w:right="1800" w:bottom="1440" w:left="1800" w:header="851" w:footer="652" w:gutter="0"/>
          <w:pgNumType w:fmt="numberInDash"/>
          <w:cols w:space="0" w:num="1"/>
          <w:rtlGutter w:val="0"/>
          <w:docGrid w:type="lines" w:linePitch="312" w:charSpace="0"/>
        </w:sectPr>
      </w:pPr>
    </w:p>
    <w:p w14:paraId="2A08DAFB">
      <w:pPr>
        <w:pStyle w:val="4"/>
        <w:numPr>
          <w:ilvl w:val="0"/>
          <w:numId w:val="0"/>
        </w:numPr>
        <w:tabs>
          <w:tab w:val="left" w:pos="0"/>
        </w:tabs>
        <w:spacing w:before="0" w:after="0" w:line="360" w:lineRule="auto"/>
        <w:jc w:val="center"/>
        <w:rPr>
          <w:rFonts w:hint="eastAsia"/>
          <w:highlight w:val="none"/>
          <w:lang w:val="en-US" w:eastAsia="zh-CN"/>
        </w:rPr>
      </w:pPr>
      <w:bookmarkStart w:id="413" w:name="_Toc15068"/>
      <w:bookmarkStart w:id="414" w:name="_Toc163493624"/>
      <w:r>
        <w:rPr>
          <w:rFonts w:hint="eastAsia" w:ascii="宋体" w:hAnsi="宋体" w:eastAsia="宋体" w:cs="宋体"/>
          <w:b/>
          <w:bCs/>
          <w:i w:val="0"/>
          <w:iCs w:val="0"/>
          <w:color w:val="auto"/>
          <w:kern w:val="44"/>
          <w:sz w:val="36"/>
          <w:szCs w:val="36"/>
          <w:highlight w:val="none"/>
          <w:lang w:val="en-US" w:eastAsia="zh-CN" w:bidi="ar-SA"/>
        </w:rPr>
        <w:t xml:space="preserve">第三章 </w:t>
      </w:r>
      <w:bookmarkEnd w:id="413"/>
      <w:bookmarkEnd w:id="414"/>
      <w:bookmarkStart w:id="415" w:name="_Toc1935"/>
      <w:bookmarkStart w:id="416" w:name="_Toc163493631"/>
      <w:r>
        <w:rPr>
          <w:rFonts w:hint="eastAsia" w:ascii="宋体" w:hAnsi="宋体" w:eastAsia="宋体" w:cs="宋体"/>
          <w:sz w:val="36"/>
          <w:szCs w:val="36"/>
          <w:highlight w:val="none"/>
          <w:lang w:val="en-US" w:eastAsia="zh-CN"/>
        </w:rPr>
        <w:t>采购</w:t>
      </w:r>
      <w:r>
        <w:rPr>
          <w:rFonts w:hint="eastAsia" w:ascii="宋体" w:hAnsi="宋体" w:eastAsia="宋体" w:cs="宋体"/>
          <w:sz w:val="36"/>
          <w:szCs w:val="36"/>
          <w:highlight w:val="none"/>
        </w:rPr>
        <w:t>需求</w:t>
      </w:r>
    </w:p>
    <w:p w14:paraId="304EFED5">
      <w:pPr>
        <w:widowControl/>
        <w:spacing w:line="360" w:lineRule="auto"/>
        <w:ind w:firstLine="480" w:firstLineChars="200"/>
        <w:jc w:val="left"/>
        <w:rPr>
          <w:rFonts w:hint="default" w:ascii="黑体" w:hAnsi="黑体" w:eastAsia="黑体" w:cs="黑体"/>
          <w:b w:val="0"/>
          <w:kern w:val="0"/>
          <w:sz w:val="24"/>
          <w:szCs w:val="24"/>
          <w:highlight w:val="none"/>
          <w:lang w:val="en-US" w:eastAsia="zh-CN" w:bidi="ar-SA"/>
        </w:rPr>
      </w:pPr>
      <w:r>
        <w:rPr>
          <w:rFonts w:hint="eastAsia" w:ascii="黑体" w:hAnsi="黑体" w:eastAsia="黑体" w:cs="黑体"/>
          <w:b w:val="0"/>
          <w:kern w:val="0"/>
          <w:sz w:val="24"/>
          <w:szCs w:val="24"/>
          <w:highlight w:val="none"/>
          <w:lang w:val="en-US" w:eastAsia="zh-CN" w:bidi="ar-SA"/>
        </w:rPr>
        <w:t>一、项目基本情况</w:t>
      </w:r>
    </w:p>
    <w:p w14:paraId="2966A188">
      <w:pPr>
        <w:spacing w:line="360" w:lineRule="auto"/>
        <w:ind w:firstLine="480" w:firstLineChars="200"/>
        <w:rPr>
          <w:rFonts w:hint="default" w:ascii="仿宋" w:hAnsi="仿宋" w:eastAsia="仿宋"/>
          <w:b w:val="0"/>
          <w:bCs w:val="0"/>
          <w:sz w:val="24"/>
          <w:szCs w:val="24"/>
          <w:highlight w:val="none"/>
          <w:lang w:val="en-US" w:eastAsia="zh-CN"/>
        </w:rPr>
      </w:pPr>
      <w:r>
        <w:rPr>
          <w:rFonts w:hint="default" w:ascii="仿宋" w:hAnsi="仿宋" w:eastAsia="仿宋"/>
          <w:b w:val="0"/>
          <w:bCs w:val="0"/>
          <w:sz w:val="24"/>
          <w:szCs w:val="24"/>
          <w:highlight w:val="none"/>
          <w:lang w:val="en-US" w:eastAsia="zh-CN"/>
        </w:rPr>
        <w:t>为深入贯彻落实党中央、国务院关于高质量充分就业的决策部署，全面落实自治区党委、政府关于促进就业的工作要求，健全就业公共服务体系，加强基层公共就业服务网点建设</w:t>
      </w:r>
      <w:r>
        <w:rPr>
          <w:rFonts w:hint="default" w:ascii="仿宋" w:hAnsi="仿宋" w:eastAsia="仿宋"/>
          <w:b w:val="0"/>
          <w:bCs w:val="0"/>
          <w:color w:val="auto"/>
          <w:sz w:val="24"/>
          <w:szCs w:val="24"/>
          <w:highlight w:val="none"/>
          <w:lang w:val="en-US" w:eastAsia="zh-CN"/>
        </w:rPr>
        <w:t>与运营</w:t>
      </w:r>
      <w:r>
        <w:rPr>
          <w:rFonts w:hint="eastAsia" w:ascii="仿宋" w:hAnsi="仿宋" w:eastAsia="仿宋"/>
          <w:b w:val="0"/>
          <w:bCs w:val="0"/>
          <w:color w:val="0000FF"/>
          <w:sz w:val="24"/>
          <w:szCs w:val="24"/>
          <w:highlight w:val="none"/>
          <w:lang w:val="en-US" w:eastAsia="zh-CN"/>
        </w:rPr>
        <w:t>。</w:t>
      </w:r>
    </w:p>
    <w:p w14:paraId="1D621147">
      <w:pPr>
        <w:spacing w:line="360" w:lineRule="auto"/>
        <w:ind w:firstLine="480" w:firstLineChars="200"/>
        <w:rPr>
          <w:rFonts w:hint="eastAsia" w:ascii="仿宋" w:hAnsi="仿宋" w:eastAsia="仿宋"/>
          <w:b w:val="0"/>
          <w:bCs w:val="0"/>
          <w:sz w:val="24"/>
          <w:szCs w:val="24"/>
          <w:highlight w:val="none"/>
          <w:lang w:val="en-US" w:eastAsia="zh-CN"/>
        </w:rPr>
      </w:pPr>
      <w:r>
        <w:rPr>
          <w:rFonts w:hint="eastAsia" w:ascii="仿宋" w:hAnsi="仿宋" w:eastAsia="仿宋"/>
          <w:b w:val="0"/>
          <w:bCs w:val="0"/>
          <w:sz w:val="24"/>
          <w:szCs w:val="24"/>
          <w:highlight w:val="none"/>
          <w:lang w:val="en-US" w:eastAsia="zh-CN"/>
        </w:rPr>
        <w:t>1、服务范围：墨玉县辖16个乡镇、3个街道，360个行政村、36个社区；约443个基层公共就业服务网点（一级1个+二级10个+三级17个+四级415个），覆盖全部乡镇、街道、村及社区，实现就业服务网点正常试运营。</w:t>
      </w:r>
    </w:p>
    <w:p w14:paraId="4493B870">
      <w:pPr>
        <w:spacing w:line="360" w:lineRule="auto"/>
        <w:ind w:firstLine="480" w:firstLineChars="200"/>
        <w:rPr>
          <w:rFonts w:hint="eastAsia" w:ascii="仿宋" w:hAnsi="仿宋" w:eastAsia="仿宋"/>
          <w:b w:val="0"/>
          <w:bCs w:val="0"/>
          <w:sz w:val="24"/>
          <w:szCs w:val="24"/>
          <w:highlight w:val="none"/>
          <w:lang w:val="en-US" w:eastAsia="zh-CN"/>
        </w:rPr>
      </w:pPr>
      <w:r>
        <w:rPr>
          <w:rFonts w:hint="eastAsia" w:ascii="仿宋" w:hAnsi="仿宋" w:eastAsia="仿宋"/>
          <w:b w:val="0"/>
          <w:bCs w:val="0"/>
          <w:sz w:val="24"/>
          <w:szCs w:val="24"/>
          <w:highlight w:val="none"/>
          <w:lang w:val="en-US" w:eastAsia="zh-CN"/>
        </w:rPr>
        <w:t>2、场地建设与改造：不新建、不租赁，全部依托现有村（社区）党群服务中心、便民服务大厅等场所，通过“提升、置换、联营”方式灵活设置。</w:t>
      </w:r>
    </w:p>
    <w:tbl>
      <w:tblPr>
        <w:tblStyle w:val="31"/>
        <w:tblW w:w="95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7"/>
        <w:gridCol w:w="3243"/>
        <w:gridCol w:w="5423"/>
      </w:tblGrid>
      <w:tr w14:paraId="0C876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4DDA">
            <w:pPr>
              <w:spacing w:line="240" w:lineRule="auto"/>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等级</w:t>
            </w:r>
          </w:p>
        </w:tc>
        <w:tc>
          <w:tcPr>
            <w:tcW w:w="3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79B5">
            <w:pPr>
              <w:spacing w:line="240" w:lineRule="auto"/>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场地要求</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156D">
            <w:pPr>
              <w:spacing w:line="240" w:lineRule="auto"/>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改造内容</w:t>
            </w:r>
          </w:p>
        </w:tc>
      </w:tr>
      <w:tr w14:paraId="4F82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BF78">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一级</w:t>
            </w:r>
          </w:p>
        </w:tc>
        <w:tc>
          <w:tcPr>
            <w:tcW w:w="3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EAA4">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面积≥30㎡，有独立职业指导室/咨询室</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49CE">
            <w:pPr>
              <w:spacing w:line="240" w:lineRule="auto"/>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功能分区明确（业务受理区、自助服务区、洽谈咨询区），设置直播带岗间</w:t>
            </w:r>
          </w:p>
        </w:tc>
      </w:tr>
      <w:tr w14:paraId="3C0A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1DC9">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二级</w:t>
            </w:r>
          </w:p>
        </w:tc>
        <w:tc>
          <w:tcPr>
            <w:tcW w:w="3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A012">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面积≥15㎡，有独立或半独立洽谈区</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FBE3">
            <w:pPr>
              <w:spacing w:line="240" w:lineRule="auto"/>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划分业务受理区、等候区、信息发布区，配置洽谈桌椅</w:t>
            </w:r>
          </w:p>
        </w:tc>
      </w:tr>
      <w:tr w14:paraId="627A0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8611">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三级</w:t>
            </w:r>
          </w:p>
        </w:tc>
        <w:tc>
          <w:tcPr>
            <w:tcW w:w="3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3AE6">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面积≥10㎡，可设在便民大厅内</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D9E7">
            <w:pPr>
              <w:spacing w:line="240" w:lineRule="auto"/>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设置专门服务窗口或工位，标识清晰</w:t>
            </w:r>
          </w:p>
        </w:tc>
      </w:tr>
      <w:tr w14:paraId="375EC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49B2">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四级</w:t>
            </w:r>
          </w:p>
        </w:tc>
        <w:tc>
          <w:tcPr>
            <w:tcW w:w="3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0271">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有固定服务窗口或工位即可</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E92A">
            <w:pPr>
              <w:spacing w:line="240" w:lineRule="auto"/>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在村委会/社区服务中心明确一个服务点位</w:t>
            </w:r>
          </w:p>
        </w:tc>
      </w:tr>
    </w:tbl>
    <w:p w14:paraId="64AC06E9">
      <w:pPr>
        <w:widowControl/>
        <w:spacing w:line="360" w:lineRule="auto"/>
        <w:ind w:firstLine="480" w:firstLineChars="200"/>
        <w:jc w:val="left"/>
        <w:rPr>
          <w:rFonts w:hint="default" w:ascii="黑体" w:hAnsi="黑体" w:eastAsia="黑体" w:cs="黑体"/>
          <w:b w:val="0"/>
          <w:kern w:val="0"/>
          <w:sz w:val="24"/>
          <w:szCs w:val="24"/>
          <w:highlight w:val="none"/>
          <w:lang w:val="en-US" w:eastAsia="zh-CN" w:bidi="ar-SA"/>
        </w:rPr>
      </w:pPr>
      <w:r>
        <w:rPr>
          <w:rFonts w:hint="eastAsia" w:ascii="黑体" w:hAnsi="黑体" w:eastAsia="黑体" w:cs="黑体"/>
          <w:b w:val="0"/>
          <w:kern w:val="0"/>
          <w:sz w:val="24"/>
          <w:szCs w:val="24"/>
          <w:highlight w:val="none"/>
          <w:lang w:val="en-US" w:eastAsia="zh-CN" w:bidi="ar-SA"/>
        </w:rPr>
        <w:t>二、采购需求及服务内容</w:t>
      </w:r>
    </w:p>
    <w:p w14:paraId="56019147">
      <w:pPr>
        <w:spacing w:line="360" w:lineRule="auto"/>
        <w:ind w:firstLine="482" w:firstLineChars="200"/>
        <w:rPr>
          <w:rFonts w:hint="eastAsia" w:ascii="仿宋" w:hAnsi="仿宋" w:eastAsia="仿宋"/>
          <w:b/>
          <w:bCs/>
          <w:sz w:val="24"/>
          <w:szCs w:val="24"/>
          <w:highlight w:val="none"/>
        </w:rPr>
      </w:pPr>
      <w:r>
        <w:rPr>
          <w:rFonts w:hint="eastAsia" w:ascii="仿宋" w:hAnsi="仿宋" w:eastAsia="仿宋"/>
          <w:b/>
          <w:bCs/>
          <w:sz w:val="24"/>
          <w:szCs w:val="24"/>
          <w:highlight w:val="none"/>
        </w:rPr>
        <w:t>（一）采购项目需实现的功能和目标：</w:t>
      </w:r>
    </w:p>
    <w:p w14:paraId="183A5A75">
      <w:pPr>
        <w:spacing w:line="360" w:lineRule="auto"/>
        <w:ind w:firstLine="480" w:firstLineChars="200"/>
        <w:rPr>
          <w:rFonts w:hint="eastAsia" w:ascii="仿宋" w:hAnsi="仿宋" w:eastAsia="仿宋" w:cs="仿宋"/>
          <w:b w:val="0"/>
          <w:bCs w:val="0"/>
          <w:sz w:val="24"/>
          <w:szCs w:val="20"/>
          <w:highlight w:val="none"/>
          <w:u w:val="none"/>
          <w:lang w:val="en-US" w:eastAsia="zh-CN"/>
        </w:rPr>
      </w:pPr>
      <w:r>
        <w:rPr>
          <w:rFonts w:hint="eastAsia" w:ascii="仿宋" w:hAnsi="仿宋" w:eastAsia="仿宋" w:cs="仿宋"/>
          <w:b w:val="0"/>
          <w:bCs w:val="0"/>
          <w:sz w:val="24"/>
          <w:szCs w:val="20"/>
          <w:highlight w:val="none"/>
          <w:u w:val="none"/>
          <w:lang w:val="en-US" w:eastAsia="zh-CN"/>
        </w:rPr>
        <w:t xml:space="preserve">四级网点全覆盖（能宣传）：约完成415个行政村、社区四级网点建设，实现社区政策宣传、信息发布、需求收集、岗位发布等服务全覆盖并且有基础就业服务能力。 </w:t>
      </w:r>
    </w:p>
    <w:p w14:paraId="0FAD1A96">
      <w:pPr>
        <w:spacing w:line="360" w:lineRule="auto"/>
        <w:ind w:firstLine="480" w:firstLineChars="200"/>
        <w:rPr>
          <w:rFonts w:hint="eastAsia" w:ascii="仿宋" w:hAnsi="仿宋" w:eastAsia="仿宋" w:cs="仿宋"/>
          <w:b w:val="0"/>
          <w:bCs w:val="0"/>
          <w:sz w:val="24"/>
          <w:szCs w:val="20"/>
          <w:highlight w:val="none"/>
          <w:u w:val="none"/>
          <w:lang w:val="en-US" w:eastAsia="zh-CN"/>
        </w:rPr>
      </w:pPr>
      <w:r>
        <w:rPr>
          <w:rFonts w:hint="eastAsia" w:ascii="仿宋" w:hAnsi="仿宋" w:eastAsia="仿宋" w:cs="仿宋"/>
          <w:b w:val="0"/>
          <w:bCs w:val="0"/>
          <w:sz w:val="24"/>
          <w:szCs w:val="20"/>
          <w:highlight w:val="none"/>
          <w:u w:val="none"/>
          <w:lang w:val="en-US" w:eastAsia="zh-CN"/>
        </w:rPr>
        <w:t>三级网点全覆盖（能经办）：约完成17个三级网点建设，实现乡镇/街道就失业登记、补贴申请、信息摸排、培训报名等核心业务全覆盖，确保网点具备就失业登记、补贴申请等核心业务经办能力。</w:t>
      </w:r>
    </w:p>
    <w:p w14:paraId="6CE0B95F">
      <w:pPr>
        <w:spacing w:line="360" w:lineRule="auto"/>
        <w:ind w:firstLine="480" w:firstLineChars="200"/>
        <w:rPr>
          <w:rFonts w:hint="eastAsia" w:ascii="仿宋" w:hAnsi="仿宋" w:eastAsia="仿宋" w:cs="仿宋"/>
          <w:b w:val="0"/>
          <w:bCs w:val="0"/>
          <w:sz w:val="24"/>
          <w:szCs w:val="20"/>
          <w:highlight w:val="none"/>
          <w:u w:val="none"/>
          <w:lang w:val="en-US" w:eastAsia="zh-CN"/>
        </w:rPr>
      </w:pPr>
      <w:r>
        <w:rPr>
          <w:rFonts w:hint="eastAsia" w:ascii="仿宋" w:hAnsi="仿宋" w:eastAsia="仿宋" w:cs="仿宋"/>
          <w:b w:val="0"/>
          <w:bCs w:val="0"/>
          <w:sz w:val="24"/>
          <w:szCs w:val="20"/>
          <w:highlight w:val="none"/>
          <w:u w:val="none"/>
          <w:lang w:val="en-US" w:eastAsia="zh-CN"/>
        </w:rPr>
        <w:t>二级网点选点建设（能服务）：择优选择10个基础条件好、服务需求大、人口集中、交通便利的乡镇/街道，按二级标准建设，具备职业指导、岗位推荐、招聘活动组织、职业指导、岗位推荐、组织招聘会、就业援助等服务能力。</w:t>
      </w:r>
    </w:p>
    <w:p w14:paraId="1848F72A">
      <w:pPr>
        <w:spacing w:line="360" w:lineRule="auto"/>
        <w:ind w:firstLine="480" w:firstLineChars="200"/>
        <w:rPr>
          <w:rFonts w:hint="eastAsia" w:ascii="仿宋" w:hAnsi="仿宋" w:eastAsia="仿宋" w:cs="仿宋"/>
          <w:b w:val="0"/>
          <w:bCs w:val="0"/>
          <w:sz w:val="24"/>
          <w:szCs w:val="20"/>
          <w:highlight w:val="none"/>
          <w:u w:val="none"/>
          <w:lang w:val="en-US" w:eastAsia="zh-CN"/>
        </w:rPr>
      </w:pPr>
      <w:r>
        <w:rPr>
          <w:rFonts w:hint="eastAsia" w:ascii="仿宋" w:hAnsi="仿宋" w:eastAsia="仿宋" w:cs="仿宋"/>
          <w:b w:val="0"/>
          <w:bCs w:val="0"/>
          <w:sz w:val="24"/>
          <w:szCs w:val="20"/>
          <w:highlight w:val="none"/>
          <w:u w:val="none"/>
          <w:lang w:val="en-US" w:eastAsia="zh-CN"/>
        </w:rPr>
        <w:t>一级网点建设（服务好）：打造至少1个县级示范性就业服务网点，特色定位为“零工市场+就业服务”融合发展，为周边乡镇零工人员及各类求职者提供专业化、精准化就业服务。</w:t>
      </w:r>
    </w:p>
    <w:p w14:paraId="7B407C2B">
      <w:pPr>
        <w:spacing w:line="360" w:lineRule="auto"/>
        <w:ind w:firstLine="480" w:firstLineChars="200"/>
        <w:rPr>
          <w:rFonts w:hint="eastAsia" w:ascii="仿宋" w:hAnsi="仿宋" w:eastAsia="仿宋" w:cs="仿宋"/>
          <w:b w:val="0"/>
          <w:bCs w:val="0"/>
          <w:sz w:val="24"/>
          <w:szCs w:val="20"/>
          <w:highlight w:val="none"/>
          <w:u w:val="none"/>
          <w:lang w:val="en-US" w:eastAsia="zh-CN"/>
        </w:rPr>
      </w:pPr>
      <w:r>
        <w:rPr>
          <w:rFonts w:hint="eastAsia" w:ascii="仿宋" w:hAnsi="仿宋" w:eastAsia="仿宋" w:cs="仿宋"/>
          <w:b w:val="0"/>
          <w:bCs w:val="0"/>
          <w:sz w:val="24"/>
          <w:szCs w:val="20"/>
          <w:highlight w:val="none"/>
          <w:u w:val="none"/>
          <w:lang w:val="en-US" w:eastAsia="zh-CN"/>
        </w:rPr>
        <w:t>服务规范：统一服务标识、统一服务清单、统一业务流程、统一信息平台。</w:t>
      </w:r>
    </w:p>
    <w:p w14:paraId="558E1DE5">
      <w:pPr>
        <w:spacing w:line="360" w:lineRule="auto"/>
        <w:ind w:firstLine="480" w:firstLineChars="200"/>
        <w:rPr>
          <w:rFonts w:hint="eastAsia" w:ascii="仿宋" w:hAnsi="仿宋" w:eastAsia="仿宋" w:cs="仿宋"/>
          <w:b w:val="0"/>
          <w:bCs w:val="0"/>
          <w:sz w:val="24"/>
          <w:szCs w:val="20"/>
          <w:highlight w:val="none"/>
          <w:u w:val="none"/>
          <w:lang w:val="en-US" w:eastAsia="zh-CN"/>
        </w:rPr>
      </w:pPr>
      <w:r>
        <w:rPr>
          <w:rFonts w:hint="eastAsia" w:ascii="仿宋" w:hAnsi="仿宋" w:eastAsia="仿宋" w:cs="仿宋"/>
          <w:b w:val="0"/>
          <w:bCs w:val="0"/>
          <w:sz w:val="24"/>
          <w:szCs w:val="20"/>
          <w:highlight w:val="none"/>
          <w:u w:val="none"/>
          <w:lang w:val="en-US" w:eastAsia="zh-CN"/>
        </w:rPr>
        <w:t>试运营有效：完成人员培训、首轮摸排、帮带运营，确保所有建成网点具备独立开展对应等级服务的能力。</w:t>
      </w:r>
    </w:p>
    <w:p w14:paraId="01DA23E3">
      <w:pPr>
        <w:spacing w:line="360" w:lineRule="auto"/>
        <w:ind w:firstLine="482" w:firstLineChars="200"/>
        <w:rPr>
          <w:rFonts w:hint="eastAsia" w:ascii="仿宋" w:hAnsi="仿宋" w:eastAsia="仿宋"/>
          <w:b w:val="0"/>
          <w:bCs w:val="0"/>
          <w:sz w:val="24"/>
          <w:szCs w:val="24"/>
          <w:highlight w:val="none"/>
          <w:lang w:eastAsia="zh-CN"/>
        </w:rPr>
      </w:pPr>
      <w:r>
        <w:rPr>
          <w:rFonts w:hint="eastAsia" w:ascii="仿宋" w:hAnsi="仿宋" w:eastAsia="仿宋" w:cs="仿宋"/>
          <w:b/>
          <w:bCs/>
          <w:sz w:val="24"/>
          <w:szCs w:val="20"/>
          <w:highlight w:val="none"/>
          <w:u w:val="none"/>
          <w:lang w:val="en-US" w:eastAsia="zh-CN"/>
        </w:rPr>
        <w:t>（二）</w:t>
      </w:r>
      <w:r>
        <w:rPr>
          <w:rFonts w:hint="eastAsia" w:ascii="仿宋" w:hAnsi="仿宋" w:eastAsia="仿宋" w:cs="仿宋"/>
          <w:b/>
          <w:bCs/>
          <w:color w:val="auto"/>
          <w:sz w:val="24"/>
          <w:szCs w:val="20"/>
          <w:highlight w:val="none"/>
          <w:u w:val="none"/>
          <w:lang w:val="en-US" w:eastAsia="zh-CN"/>
        </w:rPr>
        <w:t>采购服务标准及配套货物清单</w:t>
      </w:r>
    </w:p>
    <w:tbl>
      <w:tblPr>
        <w:tblStyle w:val="31"/>
        <w:tblW w:w="9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1504"/>
        <w:gridCol w:w="800"/>
        <w:gridCol w:w="700"/>
        <w:gridCol w:w="6220"/>
      </w:tblGrid>
      <w:tr w14:paraId="4ABF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58" w:type="dxa"/>
            <w:noWrap w:val="0"/>
            <w:vAlign w:val="center"/>
          </w:tcPr>
          <w:p w14:paraId="4EC4C707">
            <w:pPr>
              <w:widowControl/>
              <w:spacing w:line="240" w:lineRule="auto"/>
              <w:jc w:val="center"/>
              <w:rPr>
                <w:rFonts w:ascii="仿宋" w:hAnsi="仿宋" w:eastAsia="仿宋" w:cs="宋体"/>
                <w:b/>
                <w:kern w:val="0"/>
                <w:sz w:val="22"/>
                <w:szCs w:val="22"/>
                <w:highlight w:val="none"/>
              </w:rPr>
            </w:pPr>
            <w:r>
              <w:rPr>
                <w:rFonts w:hint="eastAsia" w:ascii="仿宋" w:hAnsi="仿宋" w:eastAsia="仿宋" w:cs="宋体"/>
                <w:b/>
                <w:kern w:val="0"/>
                <w:sz w:val="22"/>
                <w:szCs w:val="22"/>
                <w:highlight w:val="none"/>
              </w:rPr>
              <w:t>序号</w:t>
            </w:r>
          </w:p>
        </w:tc>
        <w:tc>
          <w:tcPr>
            <w:tcW w:w="1504" w:type="dxa"/>
            <w:noWrap w:val="0"/>
            <w:vAlign w:val="center"/>
          </w:tcPr>
          <w:p w14:paraId="40B6CCAC">
            <w:pPr>
              <w:widowControl/>
              <w:spacing w:line="240" w:lineRule="auto"/>
              <w:jc w:val="center"/>
              <w:rPr>
                <w:rFonts w:hint="eastAsia" w:ascii="仿宋" w:hAnsi="仿宋" w:eastAsia="仿宋" w:cs="宋体"/>
                <w:b/>
                <w:kern w:val="0"/>
                <w:sz w:val="22"/>
                <w:szCs w:val="22"/>
                <w:highlight w:val="none"/>
                <w:lang w:val="en-US" w:eastAsia="zh-CN"/>
              </w:rPr>
            </w:pPr>
            <w:r>
              <w:rPr>
                <w:rFonts w:hint="eastAsia" w:ascii="仿宋" w:hAnsi="仿宋" w:eastAsia="仿宋" w:cs="宋体"/>
                <w:b/>
                <w:kern w:val="0"/>
                <w:sz w:val="22"/>
                <w:szCs w:val="22"/>
                <w:highlight w:val="none"/>
                <w:lang w:val="en-US" w:eastAsia="zh-CN"/>
              </w:rPr>
              <w:t>网点</w:t>
            </w:r>
          </w:p>
          <w:p w14:paraId="5DF45732">
            <w:pPr>
              <w:widowControl/>
              <w:spacing w:line="240" w:lineRule="auto"/>
              <w:jc w:val="center"/>
              <w:rPr>
                <w:rFonts w:hint="eastAsia" w:ascii="仿宋" w:hAnsi="仿宋" w:eastAsia="仿宋" w:cs="宋体"/>
                <w:b/>
                <w:kern w:val="0"/>
                <w:sz w:val="22"/>
                <w:szCs w:val="22"/>
                <w:highlight w:val="none"/>
              </w:rPr>
            </w:pPr>
            <w:r>
              <w:rPr>
                <w:rFonts w:hint="eastAsia" w:ascii="仿宋" w:hAnsi="仿宋" w:eastAsia="仿宋" w:cs="宋体"/>
                <w:b/>
                <w:kern w:val="0"/>
                <w:sz w:val="22"/>
                <w:szCs w:val="22"/>
                <w:highlight w:val="none"/>
                <w:lang w:val="en-US" w:eastAsia="zh-CN"/>
              </w:rPr>
              <w:t>级别</w:t>
            </w:r>
          </w:p>
        </w:tc>
        <w:tc>
          <w:tcPr>
            <w:tcW w:w="800" w:type="dxa"/>
            <w:noWrap w:val="0"/>
            <w:vAlign w:val="center"/>
          </w:tcPr>
          <w:p w14:paraId="41044615">
            <w:pPr>
              <w:widowControl/>
              <w:spacing w:line="240" w:lineRule="auto"/>
              <w:jc w:val="center"/>
              <w:rPr>
                <w:rFonts w:hint="eastAsia" w:ascii="仿宋" w:hAnsi="仿宋" w:eastAsia="仿宋" w:cs="宋体"/>
                <w:b/>
                <w:kern w:val="0"/>
                <w:sz w:val="22"/>
                <w:szCs w:val="22"/>
                <w:highlight w:val="none"/>
              </w:rPr>
            </w:pPr>
            <w:r>
              <w:rPr>
                <w:rFonts w:hint="eastAsia" w:ascii="仿宋" w:hAnsi="仿宋" w:eastAsia="仿宋" w:cs="宋体"/>
                <w:b/>
                <w:kern w:val="0"/>
                <w:sz w:val="22"/>
                <w:szCs w:val="22"/>
                <w:highlight w:val="none"/>
                <w:lang w:val="en-US" w:eastAsia="zh-CN"/>
              </w:rPr>
              <w:t>计量单位</w:t>
            </w:r>
          </w:p>
        </w:tc>
        <w:tc>
          <w:tcPr>
            <w:tcW w:w="700" w:type="dxa"/>
            <w:noWrap w:val="0"/>
            <w:vAlign w:val="center"/>
          </w:tcPr>
          <w:p w14:paraId="4A372342">
            <w:pPr>
              <w:widowControl/>
              <w:spacing w:line="240" w:lineRule="auto"/>
              <w:jc w:val="center"/>
              <w:rPr>
                <w:rFonts w:hint="eastAsia" w:ascii="仿宋" w:hAnsi="仿宋" w:eastAsia="仿宋" w:cs="宋体"/>
                <w:b/>
                <w:kern w:val="0"/>
                <w:sz w:val="22"/>
                <w:szCs w:val="22"/>
                <w:highlight w:val="none"/>
              </w:rPr>
            </w:pPr>
            <w:r>
              <w:rPr>
                <w:rFonts w:hint="eastAsia" w:ascii="仿宋" w:hAnsi="仿宋" w:eastAsia="仿宋" w:cs="宋体"/>
                <w:b/>
                <w:kern w:val="0"/>
                <w:sz w:val="22"/>
                <w:szCs w:val="22"/>
                <w:highlight w:val="none"/>
              </w:rPr>
              <w:t>数量</w:t>
            </w:r>
          </w:p>
        </w:tc>
        <w:tc>
          <w:tcPr>
            <w:tcW w:w="6220" w:type="dxa"/>
            <w:noWrap w:val="0"/>
            <w:vAlign w:val="center"/>
          </w:tcPr>
          <w:p w14:paraId="616F3472">
            <w:pPr>
              <w:widowControl/>
              <w:spacing w:line="240" w:lineRule="auto"/>
              <w:jc w:val="center"/>
              <w:rPr>
                <w:rFonts w:hint="eastAsia" w:ascii="仿宋" w:hAnsi="仿宋" w:eastAsia="仿宋" w:cs="宋体"/>
                <w:b/>
                <w:kern w:val="0"/>
                <w:sz w:val="22"/>
                <w:szCs w:val="22"/>
                <w:highlight w:val="none"/>
                <w:lang w:eastAsia="zh-CN"/>
              </w:rPr>
            </w:pPr>
            <w:r>
              <w:rPr>
                <w:rFonts w:hint="eastAsia" w:ascii="仿宋" w:hAnsi="仿宋" w:eastAsia="仿宋" w:cs="宋体"/>
                <w:b/>
                <w:kern w:val="0"/>
                <w:sz w:val="22"/>
                <w:szCs w:val="22"/>
                <w:highlight w:val="none"/>
                <w:lang w:val="en-US" w:eastAsia="zh-CN"/>
              </w:rPr>
              <w:t>技术要求</w:t>
            </w:r>
          </w:p>
        </w:tc>
      </w:tr>
      <w:tr w14:paraId="4E25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458" w:type="dxa"/>
            <w:noWrap w:val="0"/>
            <w:vAlign w:val="center"/>
          </w:tcPr>
          <w:p w14:paraId="6AB3B58D">
            <w:pPr>
              <w:widowControl/>
              <w:spacing w:line="240" w:lineRule="auto"/>
              <w:jc w:val="center"/>
              <w:rPr>
                <w:rFonts w:hint="eastAsia" w:ascii="仿宋" w:hAnsi="仿宋" w:eastAsia="仿宋" w:cs="宋体"/>
                <w:kern w:val="0"/>
                <w:sz w:val="21"/>
                <w:szCs w:val="21"/>
                <w:highlight w:val="none"/>
              </w:rPr>
            </w:pPr>
            <w:r>
              <w:rPr>
                <w:rFonts w:hint="eastAsia" w:ascii="仿宋" w:hAnsi="仿宋" w:eastAsia="仿宋" w:cs="宋体"/>
                <w:kern w:val="0"/>
                <w:sz w:val="21"/>
                <w:szCs w:val="21"/>
                <w:highlight w:val="none"/>
              </w:rPr>
              <w:t>1</w:t>
            </w:r>
          </w:p>
        </w:tc>
        <w:tc>
          <w:tcPr>
            <w:tcW w:w="1504" w:type="dxa"/>
            <w:noWrap w:val="0"/>
            <w:vAlign w:val="center"/>
          </w:tcPr>
          <w:p w14:paraId="1A84EAC3">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就业服务网点</w:t>
            </w:r>
          </w:p>
          <w:p w14:paraId="65FE2449">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一级</w:t>
            </w:r>
          </w:p>
          <w:p w14:paraId="28946136">
            <w:pPr>
              <w:widowControl/>
              <w:spacing w:line="240" w:lineRule="auto"/>
              <w:jc w:val="center"/>
              <w:rPr>
                <w:rFonts w:hint="eastAsia" w:ascii="仿宋" w:hAnsi="仿宋" w:eastAsia="仿宋" w:cs="宋体"/>
                <w:kern w:val="0"/>
                <w:sz w:val="21"/>
                <w:szCs w:val="21"/>
                <w:highlight w:val="none"/>
              </w:rPr>
            </w:pPr>
            <w:r>
              <w:rPr>
                <w:rFonts w:hint="eastAsia" w:ascii="仿宋" w:hAnsi="仿宋" w:eastAsia="仿宋" w:cs="宋体"/>
                <w:kern w:val="0"/>
                <w:sz w:val="21"/>
                <w:szCs w:val="21"/>
                <w:highlight w:val="none"/>
                <w:lang w:val="en-US" w:eastAsia="zh-CN"/>
              </w:rPr>
              <w:t>（服务好）</w:t>
            </w:r>
          </w:p>
        </w:tc>
        <w:tc>
          <w:tcPr>
            <w:tcW w:w="800" w:type="dxa"/>
            <w:noWrap w:val="0"/>
            <w:vAlign w:val="center"/>
          </w:tcPr>
          <w:p w14:paraId="3126851C">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个</w:t>
            </w:r>
          </w:p>
        </w:tc>
        <w:tc>
          <w:tcPr>
            <w:tcW w:w="700" w:type="dxa"/>
            <w:noWrap w:val="0"/>
            <w:vAlign w:val="center"/>
          </w:tcPr>
          <w:p w14:paraId="1A23F2E1">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w:t>
            </w:r>
          </w:p>
        </w:tc>
        <w:tc>
          <w:tcPr>
            <w:tcW w:w="6220" w:type="dxa"/>
            <w:noWrap w:val="0"/>
            <w:vAlign w:val="center"/>
          </w:tcPr>
          <w:p w14:paraId="4E1A798C">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w:t>
            </w:r>
            <w:r>
              <w:rPr>
                <w:rFonts w:hint="default" w:ascii="仿宋" w:hAnsi="仿宋" w:eastAsia="仿宋" w:cs="宋体"/>
                <w:kern w:val="0"/>
                <w:sz w:val="21"/>
                <w:szCs w:val="21"/>
                <w:highlight w:val="none"/>
                <w:lang w:val="en-US" w:eastAsia="zh-CN"/>
              </w:rPr>
              <w:t>设置公共就业服务平台或窗口，打造基本的办公场地和设施设备，功能分区明确（业务受理区、自助服务区、洽谈咨询区、直播带岗间），便民服务设施（等候休息排椅、饮水机等）、宣传展示设施齐全；</w:t>
            </w:r>
          </w:p>
          <w:p w14:paraId="7BC208E6">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2.</w:t>
            </w:r>
            <w:r>
              <w:rPr>
                <w:rFonts w:hint="default" w:ascii="仿宋" w:hAnsi="仿宋" w:eastAsia="仿宋" w:cs="宋体"/>
                <w:kern w:val="0"/>
                <w:sz w:val="21"/>
                <w:szCs w:val="21"/>
                <w:highlight w:val="none"/>
                <w:lang w:val="en-US" w:eastAsia="zh-CN"/>
              </w:rPr>
              <w:t>公开服务事项清单，涵盖政策法规咨询、求职招聘岗位信息登记与发布、就失业登记管理、职业指导、职业技能培训、创业服务、就业援助、高校毕业生就业服务、劳动力资源调查与管理等内容；</w:t>
            </w:r>
          </w:p>
          <w:p w14:paraId="1CCEACF6">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3.</w:t>
            </w:r>
            <w:r>
              <w:rPr>
                <w:rFonts w:hint="default" w:ascii="仿宋" w:hAnsi="仿宋" w:eastAsia="仿宋" w:cs="宋体"/>
                <w:kern w:val="0"/>
                <w:sz w:val="21"/>
                <w:szCs w:val="21"/>
                <w:highlight w:val="none"/>
                <w:lang w:val="en-US" w:eastAsia="zh-CN"/>
              </w:rPr>
              <w:t>公示服务事项流程，接受群众监督；</w:t>
            </w:r>
          </w:p>
          <w:p w14:paraId="62D6831D">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4.</w:t>
            </w:r>
            <w:r>
              <w:rPr>
                <w:rFonts w:hint="default" w:ascii="仿宋" w:hAnsi="仿宋" w:eastAsia="仿宋" w:cs="宋体"/>
                <w:kern w:val="0"/>
                <w:sz w:val="21"/>
                <w:szCs w:val="21"/>
                <w:highlight w:val="none"/>
                <w:lang w:val="en-US" w:eastAsia="zh-CN"/>
              </w:rPr>
              <w:t>制定并落实公共就业服务首问负责制、一次性告知制、限时办结制等服务制度和工作人员管理制度、培训制度；</w:t>
            </w:r>
          </w:p>
          <w:p w14:paraId="2AB77940">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5.</w:t>
            </w:r>
            <w:r>
              <w:rPr>
                <w:rFonts w:hint="default" w:ascii="仿宋" w:hAnsi="仿宋" w:eastAsia="仿宋" w:cs="宋体"/>
                <w:kern w:val="0"/>
                <w:sz w:val="21"/>
                <w:szCs w:val="21"/>
                <w:highlight w:val="none"/>
                <w:lang w:val="en-US" w:eastAsia="zh-CN"/>
              </w:rPr>
              <w:t>应用自治区人社一体化信息系统办理各项公共就业服务业务；</w:t>
            </w:r>
          </w:p>
          <w:p w14:paraId="1E4FA93F">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6.</w:t>
            </w:r>
            <w:r>
              <w:rPr>
                <w:rFonts w:hint="default" w:ascii="仿宋" w:hAnsi="仿宋" w:eastAsia="仿宋" w:cs="宋体"/>
                <w:kern w:val="0"/>
                <w:sz w:val="21"/>
                <w:szCs w:val="21"/>
                <w:highlight w:val="none"/>
                <w:lang w:val="en-US" w:eastAsia="zh-CN"/>
              </w:rPr>
              <w:t>为就业者提供个性化职业规划与“一对一”职业指导服务，运用专业工具开展职业素质测评，精准匹配就业岗位；</w:t>
            </w:r>
          </w:p>
          <w:p w14:paraId="11B59045">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7.</w:t>
            </w:r>
            <w:r>
              <w:rPr>
                <w:rFonts w:hint="default" w:ascii="仿宋" w:hAnsi="仿宋" w:eastAsia="仿宋" w:cs="宋体"/>
                <w:kern w:val="0"/>
                <w:sz w:val="21"/>
                <w:szCs w:val="21"/>
                <w:highlight w:val="none"/>
                <w:lang w:val="en-US" w:eastAsia="zh-CN"/>
              </w:rPr>
              <w:t>提供“一站式”创业指导服务，链接创业孵化基地、创业导师等优质资源；</w:t>
            </w:r>
          </w:p>
          <w:p w14:paraId="2DE1130D">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8.</w:t>
            </w:r>
            <w:r>
              <w:rPr>
                <w:rFonts w:hint="default" w:ascii="仿宋" w:hAnsi="仿宋" w:eastAsia="仿宋" w:cs="宋体"/>
                <w:kern w:val="0"/>
                <w:sz w:val="21"/>
                <w:szCs w:val="21"/>
                <w:highlight w:val="none"/>
                <w:lang w:val="en-US" w:eastAsia="zh-CN"/>
              </w:rPr>
              <w:t>组织开展针对性职业技能提升培训（含短平快紧缺工种培训），直接对接优质培训资源；</w:t>
            </w:r>
          </w:p>
          <w:p w14:paraId="409B72E2">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9.</w:t>
            </w:r>
            <w:r>
              <w:rPr>
                <w:rFonts w:hint="default" w:ascii="仿宋" w:hAnsi="仿宋" w:eastAsia="仿宋" w:cs="宋体"/>
                <w:kern w:val="0"/>
                <w:sz w:val="21"/>
                <w:szCs w:val="21"/>
                <w:highlight w:val="none"/>
                <w:lang w:val="en-US" w:eastAsia="zh-CN"/>
              </w:rPr>
              <w:t>提供劳动权益维护普法教育及劳动纠纷调解指引；</w:t>
            </w:r>
          </w:p>
          <w:p w14:paraId="04628E72">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10.</w:t>
            </w:r>
            <w:r>
              <w:rPr>
                <w:rFonts w:hint="default" w:ascii="仿宋" w:hAnsi="仿宋" w:eastAsia="仿宋" w:cs="宋体"/>
                <w:kern w:val="0"/>
                <w:sz w:val="21"/>
                <w:szCs w:val="21"/>
                <w:highlight w:val="none"/>
                <w:lang w:val="en-US" w:eastAsia="zh-CN"/>
              </w:rPr>
              <w:t>创新用工对接模式，组织开展直播带岗、云端招聘、专场招聘等新型招聘活动；</w:t>
            </w:r>
          </w:p>
          <w:p w14:paraId="3CBEAF44">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11.</w:t>
            </w:r>
            <w:r>
              <w:rPr>
                <w:rFonts w:hint="default" w:ascii="仿宋" w:hAnsi="仿宋" w:eastAsia="仿宋" w:cs="宋体"/>
                <w:kern w:val="0"/>
                <w:sz w:val="21"/>
                <w:szCs w:val="21"/>
                <w:highlight w:val="none"/>
                <w:lang w:val="en-US" w:eastAsia="zh-CN"/>
              </w:rPr>
              <w:t>为企业提供定制化人员招聘、人才推荐服务；</w:t>
            </w:r>
          </w:p>
          <w:p w14:paraId="17ED3EB9">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12.</w:t>
            </w:r>
            <w:r>
              <w:rPr>
                <w:rFonts w:hint="default" w:ascii="仿宋" w:hAnsi="仿宋" w:eastAsia="仿宋" w:cs="宋体"/>
                <w:kern w:val="0"/>
                <w:sz w:val="21"/>
                <w:szCs w:val="21"/>
                <w:highlight w:val="none"/>
                <w:lang w:val="en-US" w:eastAsia="zh-CN"/>
              </w:rPr>
              <w:t>打造特色就业服务品牌，总结可复制、可推广的经验案例，发挥示范引领作用。</w:t>
            </w:r>
          </w:p>
        </w:tc>
      </w:tr>
      <w:tr w14:paraId="500D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458" w:type="dxa"/>
            <w:noWrap w:val="0"/>
            <w:vAlign w:val="center"/>
          </w:tcPr>
          <w:p w14:paraId="37EE9BEA">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2</w:t>
            </w:r>
          </w:p>
        </w:tc>
        <w:tc>
          <w:tcPr>
            <w:tcW w:w="1504" w:type="dxa"/>
            <w:noWrap w:val="0"/>
            <w:vAlign w:val="center"/>
          </w:tcPr>
          <w:p w14:paraId="6363611E">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就业服务网点</w:t>
            </w:r>
          </w:p>
          <w:p w14:paraId="296511D7">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二级</w:t>
            </w:r>
          </w:p>
          <w:p w14:paraId="48D65DD6">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（能服务）</w:t>
            </w:r>
          </w:p>
        </w:tc>
        <w:tc>
          <w:tcPr>
            <w:tcW w:w="800" w:type="dxa"/>
            <w:noWrap w:val="0"/>
            <w:vAlign w:val="center"/>
          </w:tcPr>
          <w:p w14:paraId="1264F769">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个</w:t>
            </w:r>
          </w:p>
        </w:tc>
        <w:tc>
          <w:tcPr>
            <w:tcW w:w="700" w:type="dxa"/>
            <w:noWrap w:val="0"/>
            <w:vAlign w:val="center"/>
          </w:tcPr>
          <w:p w14:paraId="5DC21D85">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约10</w:t>
            </w:r>
          </w:p>
        </w:tc>
        <w:tc>
          <w:tcPr>
            <w:tcW w:w="6220" w:type="dxa"/>
            <w:noWrap w:val="0"/>
            <w:vAlign w:val="center"/>
          </w:tcPr>
          <w:p w14:paraId="5BF03A81">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w:t>
            </w:r>
            <w:r>
              <w:rPr>
                <w:rFonts w:hint="default" w:ascii="仿宋" w:hAnsi="仿宋" w:eastAsia="仿宋" w:cs="宋体"/>
                <w:kern w:val="0"/>
                <w:sz w:val="21"/>
                <w:szCs w:val="21"/>
                <w:highlight w:val="none"/>
                <w:lang w:val="en-US" w:eastAsia="zh-CN"/>
              </w:rPr>
              <w:t>设置公共就业服务窗口或工位，划分业务受理区、等候区、信息发布区，配置洽谈桌椅，便民服务设施齐全；</w:t>
            </w:r>
          </w:p>
          <w:p w14:paraId="0037A8CB">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2.</w:t>
            </w:r>
            <w:r>
              <w:rPr>
                <w:rFonts w:hint="default" w:ascii="仿宋" w:hAnsi="仿宋" w:eastAsia="仿宋" w:cs="宋体"/>
                <w:kern w:val="0"/>
                <w:sz w:val="21"/>
                <w:szCs w:val="21"/>
                <w:highlight w:val="none"/>
                <w:lang w:val="en-US" w:eastAsia="zh-CN"/>
              </w:rPr>
              <w:t>公开服务事项清单，涵盖政策法规咨询、求职招聘岗位信息登记与发布、就失业登记管理、职业指导、职业技能培训、创业服务、就业援助、劳动力资源调查与管理等内容；</w:t>
            </w:r>
          </w:p>
          <w:p w14:paraId="6AD1765D">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3.</w:t>
            </w:r>
            <w:r>
              <w:rPr>
                <w:rFonts w:hint="default" w:ascii="仿宋" w:hAnsi="仿宋" w:eastAsia="仿宋" w:cs="宋体"/>
                <w:kern w:val="0"/>
                <w:sz w:val="21"/>
                <w:szCs w:val="21"/>
                <w:highlight w:val="none"/>
                <w:lang w:val="en-US" w:eastAsia="zh-CN"/>
              </w:rPr>
              <w:t>公示服务事项流程，接受群众监督；</w:t>
            </w:r>
          </w:p>
          <w:p w14:paraId="14FFD5B3">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4.</w:t>
            </w:r>
            <w:r>
              <w:rPr>
                <w:rFonts w:hint="default" w:ascii="仿宋" w:hAnsi="仿宋" w:eastAsia="仿宋" w:cs="宋体"/>
                <w:kern w:val="0"/>
                <w:sz w:val="21"/>
                <w:szCs w:val="21"/>
                <w:highlight w:val="none"/>
                <w:lang w:val="en-US" w:eastAsia="zh-CN"/>
              </w:rPr>
              <w:t>制定并落实公共就业服务首问负责制、一次性告知制等服务制度和工作人员管理制度；</w:t>
            </w:r>
          </w:p>
          <w:p w14:paraId="186743F6">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5.</w:t>
            </w:r>
            <w:r>
              <w:rPr>
                <w:rFonts w:hint="default" w:ascii="仿宋" w:hAnsi="仿宋" w:eastAsia="仿宋" w:cs="宋体"/>
                <w:kern w:val="0"/>
                <w:sz w:val="21"/>
                <w:szCs w:val="21"/>
                <w:highlight w:val="none"/>
                <w:lang w:val="en-US" w:eastAsia="zh-CN"/>
              </w:rPr>
              <w:t>应用自治区人社一体化信息系统办理各项公共就业服务业务；</w:t>
            </w:r>
          </w:p>
          <w:p w14:paraId="17BA5E1B">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6.</w:t>
            </w:r>
            <w:r>
              <w:rPr>
                <w:rFonts w:hint="default" w:ascii="仿宋" w:hAnsi="仿宋" w:eastAsia="仿宋" w:cs="宋体"/>
                <w:kern w:val="0"/>
                <w:sz w:val="21"/>
                <w:szCs w:val="21"/>
                <w:highlight w:val="none"/>
                <w:lang w:val="en-US" w:eastAsia="zh-CN"/>
              </w:rPr>
              <w:t>根据就业者技能和求职意愿，提供精准岗位推荐、人岗匹配及面试技巧指导；</w:t>
            </w:r>
          </w:p>
          <w:p w14:paraId="63D57E79">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7.</w:t>
            </w:r>
            <w:r>
              <w:rPr>
                <w:rFonts w:hint="default" w:ascii="仿宋" w:hAnsi="仿宋" w:eastAsia="仿宋" w:cs="宋体"/>
                <w:kern w:val="0"/>
                <w:sz w:val="21"/>
                <w:szCs w:val="21"/>
                <w:highlight w:val="none"/>
                <w:lang w:val="en-US" w:eastAsia="zh-CN"/>
              </w:rPr>
              <w:t>组织辖区内小型专场招聘会、就业政策宣讲会、职业指导座谈会等就业服务活动；</w:t>
            </w:r>
          </w:p>
          <w:p w14:paraId="2BEEBD3F">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8.</w:t>
            </w:r>
            <w:r>
              <w:rPr>
                <w:rFonts w:hint="default" w:ascii="仿宋" w:hAnsi="仿宋" w:eastAsia="仿宋" w:cs="宋体"/>
                <w:kern w:val="0"/>
                <w:sz w:val="21"/>
                <w:szCs w:val="21"/>
                <w:highlight w:val="none"/>
                <w:lang w:val="en-US" w:eastAsia="zh-CN"/>
              </w:rPr>
              <w:t>开展职业指导，引导就业者树立正确就业观念；</w:t>
            </w:r>
          </w:p>
          <w:p w14:paraId="73C21548">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9.</w:t>
            </w:r>
            <w:r>
              <w:rPr>
                <w:rFonts w:hint="default" w:ascii="仿宋" w:hAnsi="仿宋" w:eastAsia="仿宋" w:cs="宋体"/>
                <w:kern w:val="0"/>
                <w:sz w:val="21"/>
                <w:szCs w:val="21"/>
                <w:highlight w:val="none"/>
                <w:lang w:val="en-US" w:eastAsia="zh-CN"/>
              </w:rPr>
              <w:t>为零工、灵活就业人员提供岗位信息对接、就业权益基础咨询等服务；</w:t>
            </w:r>
          </w:p>
          <w:p w14:paraId="11D5471F">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10.</w:t>
            </w:r>
            <w:r>
              <w:rPr>
                <w:rFonts w:hint="default" w:ascii="仿宋" w:hAnsi="仿宋" w:eastAsia="仿宋" w:cs="宋体"/>
                <w:kern w:val="0"/>
                <w:sz w:val="21"/>
                <w:szCs w:val="21"/>
                <w:highlight w:val="none"/>
                <w:lang w:val="en-US" w:eastAsia="zh-CN"/>
              </w:rPr>
              <w:t>开展就业困难人员、高校毕业生、退役军人、农村劳动力等重点群体识别、摸排，提供基础帮扶服务；</w:t>
            </w:r>
          </w:p>
          <w:p w14:paraId="7A5684BC">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11.</w:t>
            </w:r>
            <w:r>
              <w:rPr>
                <w:rFonts w:hint="default" w:ascii="仿宋" w:hAnsi="仿宋" w:eastAsia="仿宋" w:cs="宋体"/>
                <w:kern w:val="0"/>
                <w:sz w:val="21"/>
                <w:szCs w:val="21"/>
                <w:highlight w:val="none"/>
                <w:lang w:val="en-US" w:eastAsia="zh-CN"/>
              </w:rPr>
              <w:t>提供职业技能培训项目信息、报名指引，协助对接培训资源；</w:t>
            </w:r>
          </w:p>
          <w:p w14:paraId="44AD08C9">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12.</w:t>
            </w:r>
            <w:r>
              <w:rPr>
                <w:rFonts w:hint="default" w:ascii="仿宋" w:hAnsi="仿宋" w:eastAsia="仿宋" w:cs="宋体"/>
                <w:kern w:val="0"/>
                <w:sz w:val="21"/>
                <w:szCs w:val="21"/>
                <w:highlight w:val="none"/>
                <w:lang w:val="en-US" w:eastAsia="zh-CN"/>
              </w:rPr>
              <w:t>提供创业担保贷款、创业补贴等基础创业政策咨询与申请指引；</w:t>
            </w:r>
          </w:p>
          <w:p w14:paraId="28B875A7">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13.</w:t>
            </w:r>
            <w:r>
              <w:rPr>
                <w:rFonts w:hint="default" w:ascii="仿宋" w:hAnsi="仿宋" w:eastAsia="仿宋" w:cs="宋体"/>
                <w:kern w:val="0"/>
                <w:sz w:val="21"/>
                <w:szCs w:val="21"/>
                <w:highlight w:val="none"/>
                <w:lang w:val="en-US" w:eastAsia="zh-CN"/>
              </w:rPr>
              <w:t>组织辖区内企业、个体工商户参加各类招聘活动，搭建用工对接平台；</w:t>
            </w:r>
          </w:p>
          <w:p w14:paraId="445988E0">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14.</w:t>
            </w:r>
            <w:r>
              <w:rPr>
                <w:rFonts w:hint="default" w:ascii="仿宋" w:hAnsi="仿宋" w:eastAsia="仿宋" w:cs="宋体"/>
                <w:kern w:val="0"/>
                <w:sz w:val="21"/>
                <w:szCs w:val="21"/>
                <w:highlight w:val="none"/>
                <w:lang w:val="en-US" w:eastAsia="zh-CN"/>
              </w:rPr>
              <w:t>常态化开展辖区内劳动力资源、用人单位用工需求摸排，建立基础信息库；</w:t>
            </w:r>
          </w:p>
          <w:p w14:paraId="6C8C2DC2">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15.</w:t>
            </w:r>
            <w:r>
              <w:rPr>
                <w:rFonts w:hint="default" w:ascii="仿宋" w:hAnsi="仿宋" w:eastAsia="仿宋" w:cs="宋体"/>
                <w:kern w:val="0"/>
                <w:sz w:val="21"/>
                <w:szCs w:val="21"/>
                <w:highlight w:val="none"/>
                <w:lang w:val="en-US" w:eastAsia="zh-CN"/>
              </w:rPr>
              <w:t>培育或联络本地劳务经纪人、创业带头人，整合基层就业服务资源，提升服务能力。</w:t>
            </w:r>
          </w:p>
        </w:tc>
      </w:tr>
      <w:tr w14:paraId="3731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458" w:type="dxa"/>
            <w:noWrap w:val="0"/>
            <w:vAlign w:val="center"/>
          </w:tcPr>
          <w:p w14:paraId="7E0CCD8D">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3</w:t>
            </w:r>
          </w:p>
        </w:tc>
        <w:tc>
          <w:tcPr>
            <w:tcW w:w="1504" w:type="dxa"/>
            <w:noWrap w:val="0"/>
            <w:vAlign w:val="center"/>
          </w:tcPr>
          <w:p w14:paraId="5406C2DD">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就业服务网点</w:t>
            </w:r>
          </w:p>
          <w:p w14:paraId="5A1CBB22">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三级</w:t>
            </w:r>
          </w:p>
          <w:p w14:paraId="44A4FE95">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（能经办）</w:t>
            </w:r>
          </w:p>
        </w:tc>
        <w:tc>
          <w:tcPr>
            <w:tcW w:w="800" w:type="dxa"/>
            <w:noWrap w:val="0"/>
            <w:vAlign w:val="center"/>
          </w:tcPr>
          <w:p w14:paraId="1DA9A901">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个</w:t>
            </w:r>
          </w:p>
        </w:tc>
        <w:tc>
          <w:tcPr>
            <w:tcW w:w="700" w:type="dxa"/>
            <w:noWrap w:val="0"/>
            <w:vAlign w:val="center"/>
          </w:tcPr>
          <w:p w14:paraId="4CBBE720">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约17</w:t>
            </w:r>
          </w:p>
        </w:tc>
        <w:tc>
          <w:tcPr>
            <w:tcW w:w="6220" w:type="dxa"/>
            <w:noWrap w:val="0"/>
            <w:vAlign w:val="center"/>
          </w:tcPr>
          <w:p w14:paraId="52266C9F">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w:t>
            </w:r>
            <w:r>
              <w:rPr>
                <w:rFonts w:hint="default" w:ascii="仿宋" w:hAnsi="仿宋" w:eastAsia="仿宋" w:cs="宋体"/>
                <w:kern w:val="0"/>
                <w:sz w:val="21"/>
                <w:szCs w:val="21"/>
                <w:highlight w:val="none"/>
                <w:lang w:val="en-US" w:eastAsia="zh-CN"/>
              </w:rPr>
              <w:t>设置专门服务窗口或工位，标识清晰，配备必要的办公设备和业务办理设施；</w:t>
            </w:r>
          </w:p>
          <w:p w14:paraId="433A1828">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2.</w:t>
            </w:r>
            <w:r>
              <w:rPr>
                <w:rFonts w:hint="default" w:ascii="仿宋" w:hAnsi="仿宋" w:eastAsia="仿宋" w:cs="宋体"/>
                <w:kern w:val="0"/>
                <w:sz w:val="21"/>
                <w:szCs w:val="21"/>
                <w:highlight w:val="none"/>
                <w:lang w:val="en-US" w:eastAsia="zh-CN"/>
              </w:rPr>
              <w:t>公开服务事项清单，涵盖政策法规咨询、求职招聘岗位信息登记与发布、就失业登记管理、职业技能培训、创业服务、就业援助、劳动力资源调查与管理等内容；</w:t>
            </w:r>
          </w:p>
          <w:p w14:paraId="589467F4">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3.</w:t>
            </w:r>
            <w:r>
              <w:rPr>
                <w:rFonts w:hint="default" w:ascii="仿宋" w:hAnsi="仿宋" w:eastAsia="仿宋" w:cs="宋体"/>
                <w:kern w:val="0"/>
                <w:sz w:val="21"/>
                <w:szCs w:val="21"/>
                <w:highlight w:val="none"/>
                <w:lang w:val="en-US" w:eastAsia="zh-CN"/>
              </w:rPr>
              <w:t>公示服务事项流程，接受群众监督；</w:t>
            </w:r>
          </w:p>
          <w:p w14:paraId="31C55779">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4.</w:t>
            </w:r>
            <w:r>
              <w:rPr>
                <w:rFonts w:hint="default" w:ascii="仿宋" w:hAnsi="仿宋" w:eastAsia="仿宋" w:cs="宋体"/>
                <w:kern w:val="0"/>
                <w:sz w:val="21"/>
                <w:szCs w:val="21"/>
                <w:highlight w:val="none"/>
                <w:lang w:val="en-US" w:eastAsia="zh-CN"/>
              </w:rPr>
              <w:t>制定并落实公共就业服务首问负责制、一次性告知制、限时办结制等服务制度；</w:t>
            </w:r>
          </w:p>
          <w:p w14:paraId="602C9C14">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5.</w:t>
            </w:r>
            <w:r>
              <w:rPr>
                <w:rFonts w:hint="default" w:ascii="仿宋" w:hAnsi="仿宋" w:eastAsia="仿宋" w:cs="宋体"/>
                <w:kern w:val="0"/>
                <w:sz w:val="21"/>
                <w:szCs w:val="21"/>
                <w:highlight w:val="none"/>
                <w:lang w:val="en-US" w:eastAsia="zh-CN"/>
              </w:rPr>
              <w:t>应用自治区人社一体化信息系统办理各项公共就业服务业务；</w:t>
            </w:r>
          </w:p>
          <w:p w14:paraId="59EE9ED2">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6.</w:t>
            </w:r>
            <w:r>
              <w:rPr>
                <w:rFonts w:hint="default" w:ascii="仿宋" w:hAnsi="仿宋" w:eastAsia="仿宋" w:cs="宋体"/>
                <w:kern w:val="0"/>
                <w:sz w:val="21"/>
                <w:szCs w:val="21"/>
                <w:highlight w:val="none"/>
                <w:lang w:val="en-US" w:eastAsia="zh-CN"/>
              </w:rPr>
              <w:t>受理就业者就业登记、失业登记申请，核对申请材料完整性并初步审核；</w:t>
            </w:r>
          </w:p>
          <w:p w14:paraId="1F231027">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7.</w:t>
            </w:r>
            <w:r>
              <w:rPr>
                <w:rFonts w:hint="default" w:ascii="仿宋" w:hAnsi="仿宋" w:eastAsia="仿宋" w:cs="宋体"/>
                <w:kern w:val="0"/>
                <w:sz w:val="21"/>
                <w:szCs w:val="21"/>
                <w:highlight w:val="none"/>
                <w:lang w:val="en-US" w:eastAsia="zh-CN"/>
              </w:rPr>
              <w:t>受理社保补贴等相关就业创业政策补贴的初步申请，开展材料初审与规范转报；</w:t>
            </w:r>
          </w:p>
          <w:p w14:paraId="32854FFB">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8.</w:t>
            </w:r>
            <w:r>
              <w:rPr>
                <w:rFonts w:hint="default" w:ascii="仿宋" w:hAnsi="仿宋" w:eastAsia="仿宋" w:cs="宋体"/>
                <w:kern w:val="0"/>
                <w:sz w:val="21"/>
                <w:szCs w:val="21"/>
                <w:highlight w:val="none"/>
                <w:lang w:val="en-US" w:eastAsia="zh-CN"/>
              </w:rPr>
              <w:t>指导或协助服务对象通过自治区统一公共就业服务线上平台、自助终端办理相关业务；</w:t>
            </w:r>
          </w:p>
          <w:p w14:paraId="55AE9F86">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9.</w:t>
            </w:r>
            <w:r>
              <w:rPr>
                <w:rFonts w:hint="default" w:ascii="仿宋" w:hAnsi="仿宋" w:eastAsia="仿宋" w:cs="宋体"/>
                <w:kern w:val="0"/>
                <w:sz w:val="21"/>
                <w:szCs w:val="21"/>
                <w:highlight w:val="none"/>
                <w:lang w:val="en-US" w:eastAsia="zh-CN"/>
              </w:rPr>
              <w:t>为就业困难人员制定并实施“一人一策”精准援助计划；</w:t>
            </w:r>
          </w:p>
          <w:p w14:paraId="1170BA5B">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10.</w:t>
            </w:r>
            <w:r>
              <w:rPr>
                <w:rFonts w:hint="default" w:ascii="仿宋" w:hAnsi="仿宋" w:eastAsia="仿宋" w:cs="宋体"/>
                <w:kern w:val="0"/>
                <w:sz w:val="21"/>
                <w:szCs w:val="21"/>
                <w:highlight w:val="none"/>
                <w:lang w:val="en-US" w:eastAsia="zh-CN"/>
              </w:rPr>
              <w:t>企业吸纳重点群体就业等相关政策咨询与补贴申请流程指引；</w:t>
            </w:r>
          </w:p>
          <w:p w14:paraId="3DC8BF06">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11.</w:t>
            </w:r>
            <w:r>
              <w:rPr>
                <w:rFonts w:hint="default" w:ascii="仿宋" w:hAnsi="仿宋" w:eastAsia="仿宋" w:cs="宋体"/>
                <w:kern w:val="0"/>
                <w:sz w:val="21"/>
                <w:szCs w:val="21"/>
                <w:highlight w:val="none"/>
                <w:lang w:val="en-US" w:eastAsia="zh-CN"/>
              </w:rPr>
              <w:t>摸排并初审企业招聘信息等基础业务材料，规范整理后报上级机构；</w:t>
            </w:r>
          </w:p>
          <w:p w14:paraId="210A4766">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12.</w:t>
            </w:r>
            <w:r>
              <w:rPr>
                <w:rFonts w:hint="default" w:ascii="仿宋" w:hAnsi="仿宋" w:eastAsia="仿宋" w:cs="宋体"/>
                <w:kern w:val="0"/>
                <w:sz w:val="21"/>
                <w:szCs w:val="21"/>
                <w:highlight w:val="none"/>
                <w:lang w:val="en-US" w:eastAsia="zh-CN"/>
              </w:rPr>
              <w:t>规范建立业务受理、材料流转、审核转报、办结反馈等全流程台账；</w:t>
            </w:r>
          </w:p>
          <w:p w14:paraId="254F9494">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13.</w:t>
            </w:r>
            <w:r>
              <w:rPr>
                <w:rFonts w:hint="default" w:ascii="仿宋" w:hAnsi="仿宋" w:eastAsia="仿宋" w:cs="宋体"/>
                <w:kern w:val="0"/>
                <w:sz w:val="21"/>
                <w:szCs w:val="21"/>
                <w:highlight w:val="none"/>
                <w:lang w:val="en-US" w:eastAsia="zh-CN"/>
              </w:rPr>
              <w:t>定期向上级公共就业服务部门报送业务办理数据、服务需求信息及运营情况；</w:t>
            </w:r>
          </w:p>
          <w:p w14:paraId="4F825AC0">
            <w:pPr>
              <w:widowControl/>
              <w:spacing w:line="240" w:lineRule="auto"/>
              <w:jc w:val="both"/>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14.</w:t>
            </w:r>
            <w:r>
              <w:rPr>
                <w:rFonts w:hint="default" w:ascii="仿宋" w:hAnsi="仿宋" w:eastAsia="仿宋" w:cs="宋体"/>
                <w:kern w:val="0"/>
                <w:sz w:val="21"/>
                <w:szCs w:val="21"/>
                <w:highlight w:val="none"/>
                <w:lang w:val="en-US" w:eastAsia="zh-CN"/>
              </w:rPr>
              <w:t>负责基层网点服务场所、设施设备、标识标牌、台账资料及业务系统的日常维护与管理。</w:t>
            </w:r>
          </w:p>
        </w:tc>
      </w:tr>
      <w:tr w14:paraId="40E0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458" w:type="dxa"/>
            <w:noWrap w:val="0"/>
            <w:vAlign w:val="center"/>
          </w:tcPr>
          <w:p w14:paraId="0E51C8C1">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4</w:t>
            </w:r>
          </w:p>
        </w:tc>
        <w:tc>
          <w:tcPr>
            <w:tcW w:w="1504" w:type="dxa"/>
            <w:noWrap w:val="0"/>
            <w:vAlign w:val="center"/>
          </w:tcPr>
          <w:p w14:paraId="3506874D">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就业服务网点</w:t>
            </w:r>
          </w:p>
          <w:p w14:paraId="182494DF">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四级</w:t>
            </w:r>
          </w:p>
          <w:p w14:paraId="5281B564">
            <w:pPr>
              <w:widowControl/>
              <w:spacing w:line="240" w:lineRule="auto"/>
              <w:jc w:val="center"/>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（能宣传）</w:t>
            </w:r>
          </w:p>
        </w:tc>
        <w:tc>
          <w:tcPr>
            <w:tcW w:w="800" w:type="dxa"/>
            <w:noWrap w:val="0"/>
            <w:vAlign w:val="center"/>
          </w:tcPr>
          <w:p w14:paraId="03BAE28F">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个</w:t>
            </w:r>
          </w:p>
        </w:tc>
        <w:tc>
          <w:tcPr>
            <w:tcW w:w="700" w:type="dxa"/>
            <w:noWrap w:val="0"/>
            <w:vAlign w:val="center"/>
          </w:tcPr>
          <w:p w14:paraId="4502F035">
            <w:pPr>
              <w:widowControl/>
              <w:spacing w:line="240" w:lineRule="auto"/>
              <w:jc w:val="center"/>
              <w:rPr>
                <w:rFonts w:hint="default"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约415</w:t>
            </w:r>
          </w:p>
        </w:tc>
        <w:tc>
          <w:tcPr>
            <w:tcW w:w="6220" w:type="dxa"/>
            <w:noWrap w:val="0"/>
            <w:vAlign w:val="center"/>
          </w:tcPr>
          <w:p w14:paraId="1C74990F">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1.在村委会/社区服务中心明确一个服务点位，设置固定服务窗口或工位，配置信息发布栏、资料架等基础宣传设施；</w:t>
            </w:r>
          </w:p>
          <w:p w14:paraId="139C4B39">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2.悬挂统一的服务标识，公示服务咨询电话；</w:t>
            </w:r>
          </w:p>
          <w:p w14:paraId="5187AA9E">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3.公开服务事项清单及基础办事指引；</w:t>
            </w:r>
          </w:p>
          <w:p w14:paraId="7B9B8E2F">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4.开展就业创业（含就业、创业、培训、补贴申领等）政策宣传；</w:t>
            </w:r>
          </w:p>
          <w:p w14:paraId="3956D22A">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5.发布招聘岗位信息，提供岗位信息查询、推送服务；</w:t>
            </w:r>
          </w:p>
          <w:p w14:paraId="6443B5E6">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6.提供基本公共就业服务事项办理指引；</w:t>
            </w:r>
          </w:p>
          <w:p w14:paraId="1B164033">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7.受理劳动者就业、创业、培训等服务需求，通过服务系统及时推送上级公共就业服务机构；</w:t>
            </w:r>
          </w:p>
          <w:p w14:paraId="6693D265">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8.为企业、个体工商户等用人单位提供基本用工政策咨询；</w:t>
            </w:r>
          </w:p>
          <w:p w14:paraId="2A559C87">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9.开展用人单位用工需求摸排，代为张贴、发布用工信息，协助搭建基础用工对接渠道；</w:t>
            </w:r>
          </w:p>
          <w:p w14:paraId="11284077">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10.配合开展辖区劳动力资源和就业需求摸排登记；</w:t>
            </w:r>
          </w:p>
          <w:p w14:paraId="5180806A">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11.对就业困难人员等重点群体进行初步识别，将服务需求推送至上级机构；</w:t>
            </w:r>
          </w:p>
          <w:p w14:paraId="174408A2">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12.日常维护政策宣传栏、信息发布屏、资料架等设施，确保正常使用；</w:t>
            </w:r>
          </w:p>
          <w:p w14:paraId="3DD19F1F">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13.规范管理使用政策宣传资料，及时做好政策宣传、基础咨询应答及岗位信息发布；</w:t>
            </w:r>
          </w:p>
          <w:p w14:paraId="4C30F47F">
            <w:pPr>
              <w:widowControl/>
              <w:spacing w:line="240" w:lineRule="auto"/>
              <w:jc w:val="both"/>
              <w:rPr>
                <w:rFonts w:hint="eastAsia" w:ascii="仿宋" w:hAnsi="仿宋" w:eastAsia="仿宋" w:cs="宋体"/>
                <w:kern w:val="0"/>
                <w:sz w:val="21"/>
                <w:szCs w:val="21"/>
                <w:highlight w:val="none"/>
                <w:lang w:val="en-US" w:eastAsia="zh-CN"/>
              </w:rPr>
            </w:pPr>
            <w:r>
              <w:rPr>
                <w:rFonts w:hint="eastAsia" w:ascii="仿宋" w:hAnsi="仿宋" w:eastAsia="仿宋" w:cs="宋体"/>
                <w:kern w:val="0"/>
                <w:sz w:val="21"/>
                <w:szCs w:val="21"/>
                <w:highlight w:val="none"/>
                <w:lang w:val="en-US" w:eastAsia="zh-CN"/>
              </w:rPr>
              <w:t>14.保持服务场所及服务标识整洁有序。</w:t>
            </w:r>
          </w:p>
        </w:tc>
      </w:tr>
      <w:tr w14:paraId="0DA3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58" w:type="dxa"/>
            <w:noWrap w:val="0"/>
            <w:vAlign w:val="center"/>
          </w:tcPr>
          <w:p w14:paraId="71732CDA">
            <w:pPr>
              <w:widowControl/>
              <w:spacing w:line="240" w:lineRule="auto"/>
              <w:jc w:val="center"/>
              <w:rPr>
                <w:rFonts w:hint="default" w:ascii="仿宋" w:hAnsi="仿宋" w:eastAsia="仿宋" w:cs="宋体"/>
                <w:b/>
                <w:bCs/>
                <w:kern w:val="0"/>
                <w:sz w:val="21"/>
                <w:szCs w:val="21"/>
                <w:highlight w:val="none"/>
                <w:lang w:val="en-US" w:eastAsia="zh-CN"/>
              </w:rPr>
            </w:pPr>
            <w:r>
              <w:rPr>
                <w:rFonts w:hint="eastAsia" w:ascii="仿宋" w:hAnsi="仿宋" w:eastAsia="仿宋" w:cs="宋体"/>
                <w:b/>
                <w:bCs/>
                <w:kern w:val="0"/>
                <w:sz w:val="21"/>
                <w:szCs w:val="21"/>
                <w:highlight w:val="none"/>
                <w:lang w:val="en-US" w:eastAsia="zh-CN"/>
              </w:rPr>
              <w:t>5</w:t>
            </w:r>
          </w:p>
        </w:tc>
        <w:tc>
          <w:tcPr>
            <w:tcW w:w="1504" w:type="dxa"/>
            <w:noWrap w:val="0"/>
            <w:vAlign w:val="center"/>
          </w:tcPr>
          <w:p w14:paraId="6DBFEE8E">
            <w:pPr>
              <w:widowControl/>
              <w:spacing w:line="240" w:lineRule="auto"/>
              <w:jc w:val="center"/>
              <w:rPr>
                <w:rFonts w:hint="default" w:ascii="仿宋" w:hAnsi="仿宋" w:eastAsia="仿宋" w:cs="宋体"/>
                <w:b/>
                <w:bCs/>
                <w:kern w:val="0"/>
                <w:sz w:val="21"/>
                <w:szCs w:val="21"/>
                <w:highlight w:val="none"/>
                <w:lang w:val="en-US" w:eastAsia="zh-CN"/>
              </w:rPr>
            </w:pPr>
            <w:r>
              <w:rPr>
                <w:rFonts w:hint="eastAsia" w:ascii="仿宋" w:hAnsi="仿宋" w:eastAsia="仿宋" w:cs="宋体"/>
                <w:b/>
                <w:bCs/>
                <w:kern w:val="0"/>
                <w:sz w:val="21"/>
                <w:szCs w:val="21"/>
                <w:highlight w:val="none"/>
                <w:lang w:val="en-US" w:eastAsia="zh-CN"/>
              </w:rPr>
              <w:t>合计</w:t>
            </w:r>
          </w:p>
        </w:tc>
        <w:tc>
          <w:tcPr>
            <w:tcW w:w="800" w:type="dxa"/>
            <w:noWrap w:val="0"/>
            <w:vAlign w:val="center"/>
          </w:tcPr>
          <w:p w14:paraId="0BFF6D05">
            <w:pPr>
              <w:widowControl/>
              <w:spacing w:line="240" w:lineRule="auto"/>
              <w:jc w:val="center"/>
              <w:rPr>
                <w:rFonts w:hint="default" w:ascii="仿宋" w:hAnsi="仿宋" w:eastAsia="仿宋" w:cs="宋体"/>
                <w:b/>
                <w:bCs/>
                <w:kern w:val="0"/>
                <w:sz w:val="21"/>
                <w:szCs w:val="21"/>
                <w:highlight w:val="none"/>
                <w:lang w:val="en-US" w:eastAsia="zh-CN"/>
              </w:rPr>
            </w:pPr>
            <w:r>
              <w:rPr>
                <w:rFonts w:hint="eastAsia" w:ascii="仿宋" w:hAnsi="仿宋" w:eastAsia="仿宋" w:cs="宋体"/>
                <w:b/>
                <w:bCs/>
                <w:kern w:val="0"/>
                <w:sz w:val="21"/>
                <w:szCs w:val="21"/>
                <w:highlight w:val="none"/>
                <w:lang w:val="en-US" w:eastAsia="zh-CN"/>
              </w:rPr>
              <w:t>个</w:t>
            </w:r>
          </w:p>
        </w:tc>
        <w:tc>
          <w:tcPr>
            <w:tcW w:w="700" w:type="dxa"/>
            <w:noWrap w:val="0"/>
            <w:vAlign w:val="center"/>
          </w:tcPr>
          <w:p w14:paraId="794281D4">
            <w:pPr>
              <w:widowControl/>
              <w:spacing w:line="240" w:lineRule="auto"/>
              <w:jc w:val="center"/>
              <w:rPr>
                <w:rFonts w:hint="default" w:ascii="仿宋" w:hAnsi="仿宋" w:eastAsia="方正仿宋_GB2312" w:cs="宋体"/>
                <w:kern w:val="0"/>
                <w:sz w:val="21"/>
                <w:szCs w:val="21"/>
                <w:highlight w:val="none"/>
                <w:lang w:val="en-US" w:eastAsia="zh-CN"/>
              </w:rPr>
            </w:pPr>
            <w:r>
              <w:rPr>
                <w:rFonts w:hint="eastAsia" w:ascii="仿宋" w:hAnsi="仿宋" w:eastAsia="方正仿宋_GB2312" w:cs="宋体"/>
                <w:b/>
                <w:bCs/>
                <w:kern w:val="0"/>
                <w:sz w:val="21"/>
                <w:szCs w:val="21"/>
                <w:highlight w:val="none"/>
                <w:lang w:val="en-US" w:eastAsia="zh-CN"/>
              </w:rPr>
              <w:t>约443</w:t>
            </w:r>
          </w:p>
        </w:tc>
        <w:tc>
          <w:tcPr>
            <w:tcW w:w="6220" w:type="dxa"/>
            <w:noWrap w:val="0"/>
            <w:vAlign w:val="center"/>
          </w:tcPr>
          <w:p w14:paraId="4F8B1A6C">
            <w:pPr>
              <w:widowControl/>
              <w:spacing w:line="240" w:lineRule="auto"/>
              <w:jc w:val="left"/>
              <w:rPr>
                <w:rFonts w:hint="eastAsia" w:ascii="仿宋" w:hAnsi="仿宋" w:eastAsia="仿宋" w:cs="宋体"/>
                <w:b/>
                <w:bCs/>
                <w:kern w:val="0"/>
                <w:sz w:val="21"/>
                <w:szCs w:val="21"/>
                <w:highlight w:val="none"/>
                <w:lang w:val="en-US" w:eastAsia="zh-CN"/>
              </w:rPr>
            </w:pPr>
          </w:p>
        </w:tc>
      </w:tr>
    </w:tbl>
    <w:p w14:paraId="04B566AB">
      <w:pPr>
        <w:spacing w:line="360" w:lineRule="auto"/>
        <w:jc w:val="center"/>
        <w:rPr>
          <w:rFonts w:hint="eastAsia" w:ascii="仿宋" w:hAnsi="仿宋" w:eastAsia="仿宋" w:cs="Times New Roman"/>
          <w:b/>
          <w:bCs/>
          <w:sz w:val="28"/>
          <w:szCs w:val="28"/>
          <w:highlight w:val="none"/>
          <w:lang w:val="en-US" w:eastAsia="zh-CN"/>
        </w:rPr>
      </w:pPr>
    </w:p>
    <w:p w14:paraId="57378779">
      <w:pPr>
        <w:spacing w:line="360" w:lineRule="auto"/>
        <w:jc w:val="center"/>
        <w:rPr>
          <w:rFonts w:hint="default" w:ascii="仿宋" w:hAnsi="仿宋" w:eastAsia="仿宋" w:cs="Times New Roman"/>
          <w:b/>
          <w:bCs/>
          <w:sz w:val="28"/>
          <w:szCs w:val="28"/>
          <w:highlight w:val="none"/>
          <w:lang w:val="en-US" w:eastAsia="zh-CN"/>
        </w:rPr>
      </w:pPr>
      <w:r>
        <w:rPr>
          <w:rFonts w:hint="eastAsia" w:ascii="仿宋" w:hAnsi="仿宋" w:eastAsia="仿宋" w:cs="Times New Roman"/>
          <w:b/>
          <w:bCs/>
          <w:sz w:val="28"/>
          <w:szCs w:val="28"/>
          <w:highlight w:val="none"/>
          <w:lang w:val="en-US" w:eastAsia="zh-CN"/>
        </w:rPr>
        <w:t>★配置表</w:t>
      </w:r>
    </w:p>
    <w:tbl>
      <w:tblPr>
        <w:tblStyle w:val="31"/>
        <w:tblW w:w="94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4"/>
        <w:gridCol w:w="929"/>
        <w:gridCol w:w="5145"/>
        <w:gridCol w:w="433"/>
        <w:gridCol w:w="534"/>
        <w:gridCol w:w="766"/>
        <w:gridCol w:w="800"/>
        <w:gridCol w:w="421"/>
      </w:tblGrid>
      <w:tr w14:paraId="5189F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4" w:type="dxa"/>
            <w:tcBorders>
              <w:top w:val="nil"/>
              <w:left w:val="single" w:color="000000" w:sz="4" w:space="0"/>
              <w:bottom w:val="single" w:color="000000" w:sz="4" w:space="0"/>
              <w:right w:val="single" w:color="000000" w:sz="4" w:space="0"/>
            </w:tcBorders>
            <w:shd w:val="clear" w:color="auto" w:fill="0070C0"/>
            <w:noWrap/>
            <w:vAlign w:val="center"/>
          </w:tcPr>
          <w:p w14:paraId="72DB1C63">
            <w:pPr>
              <w:keepNext w:val="0"/>
              <w:keepLines w:val="0"/>
              <w:widowControl/>
              <w:suppressLineNumbers w:val="0"/>
              <w:snapToGrid w:val="0"/>
              <w:spacing w:line="240" w:lineRule="auto"/>
              <w:ind w:left="0" w:leftChars="0" w:right="0" w:rightChars="0" w:firstLine="0" w:firstLineChars="0"/>
              <w:jc w:val="center"/>
              <w:textAlignment w:val="center"/>
              <w:rPr>
                <w:rFonts w:ascii="微软雅黑" w:hAnsi="微软雅黑" w:eastAsia="微软雅黑" w:cs="微软雅黑"/>
                <w:b/>
                <w:bCs/>
                <w:i w:val="0"/>
                <w:iCs w:val="0"/>
                <w:color w:val="FFFFFF"/>
                <w:sz w:val="21"/>
                <w:szCs w:val="21"/>
                <w:highlight w:val="none"/>
                <w:u w:val="none"/>
              </w:rPr>
            </w:pPr>
            <w:r>
              <w:rPr>
                <w:rFonts w:hint="eastAsia" w:ascii="微软雅黑" w:hAnsi="微软雅黑" w:eastAsia="微软雅黑" w:cs="微软雅黑"/>
                <w:b/>
                <w:bCs/>
                <w:i w:val="0"/>
                <w:iCs w:val="0"/>
                <w:color w:val="FFFFFF"/>
                <w:kern w:val="0"/>
                <w:sz w:val="21"/>
                <w:szCs w:val="21"/>
                <w:highlight w:val="none"/>
                <w:u w:val="none"/>
                <w:lang w:val="en-US" w:eastAsia="zh-CN" w:bidi="ar"/>
              </w:rPr>
              <w:t>序号</w:t>
            </w:r>
          </w:p>
        </w:tc>
        <w:tc>
          <w:tcPr>
            <w:tcW w:w="929" w:type="dxa"/>
            <w:tcBorders>
              <w:top w:val="nil"/>
              <w:left w:val="single" w:color="000000" w:sz="4" w:space="0"/>
              <w:bottom w:val="single" w:color="000000" w:sz="4" w:space="0"/>
              <w:right w:val="single" w:color="000000" w:sz="4" w:space="0"/>
            </w:tcBorders>
            <w:shd w:val="clear" w:color="auto" w:fill="0070C0"/>
            <w:noWrap/>
            <w:vAlign w:val="center"/>
          </w:tcPr>
          <w:p w14:paraId="3C3A658C">
            <w:pPr>
              <w:keepNext w:val="0"/>
              <w:keepLines w:val="0"/>
              <w:widowControl/>
              <w:suppressLineNumbers w:val="0"/>
              <w:snapToGrid w:val="0"/>
              <w:spacing w:line="240" w:lineRule="auto"/>
              <w:ind w:left="0" w:leftChars="0" w:right="0" w:rightChars="0" w:firstLine="0" w:firstLineChars="0"/>
              <w:jc w:val="center"/>
              <w:textAlignment w:val="center"/>
              <w:rPr>
                <w:rFonts w:hint="default" w:ascii="微软雅黑" w:hAnsi="微软雅黑" w:eastAsia="微软雅黑" w:cs="微软雅黑"/>
                <w:b/>
                <w:bCs/>
                <w:i w:val="0"/>
                <w:iCs w:val="0"/>
                <w:color w:val="FFFFFF"/>
                <w:sz w:val="21"/>
                <w:szCs w:val="21"/>
                <w:highlight w:val="none"/>
                <w:u w:val="none"/>
                <w:lang w:val="en-US"/>
              </w:rPr>
            </w:pPr>
            <w:r>
              <w:rPr>
                <w:rFonts w:hint="eastAsia" w:ascii="微软雅黑" w:hAnsi="微软雅黑" w:eastAsia="微软雅黑" w:cs="微软雅黑"/>
                <w:b/>
                <w:bCs/>
                <w:i w:val="0"/>
                <w:iCs w:val="0"/>
                <w:color w:val="FFFFFF"/>
                <w:kern w:val="0"/>
                <w:sz w:val="21"/>
                <w:szCs w:val="21"/>
                <w:highlight w:val="none"/>
                <w:u w:val="none"/>
                <w:lang w:val="en-US" w:eastAsia="zh-CN" w:bidi="ar"/>
              </w:rPr>
              <w:t>采购物品名称</w:t>
            </w:r>
          </w:p>
        </w:tc>
        <w:tc>
          <w:tcPr>
            <w:tcW w:w="5145" w:type="dxa"/>
            <w:tcBorders>
              <w:top w:val="nil"/>
              <w:left w:val="single" w:color="000000" w:sz="4" w:space="0"/>
              <w:bottom w:val="single" w:color="000000" w:sz="4" w:space="0"/>
              <w:right w:val="single" w:color="000000" w:sz="4" w:space="0"/>
            </w:tcBorders>
            <w:shd w:val="clear" w:color="auto" w:fill="0070C0"/>
            <w:noWrap/>
            <w:vAlign w:val="center"/>
          </w:tcPr>
          <w:p w14:paraId="5BE4F2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FFFFFF"/>
                <w:sz w:val="21"/>
                <w:szCs w:val="21"/>
                <w:highlight w:val="none"/>
                <w:u w:val="none"/>
              </w:rPr>
            </w:pPr>
            <w:r>
              <w:rPr>
                <w:rFonts w:hint="eastAsia" w:ascii="微软雅黑" w:hAnsi="微软雅黑" w:eastAsia="微软雅黑" w:cs="微软雅黑"/>
                <w:b/>
                <w:bCs/>
                <w:i w:val="0"/>
                <w:iCs w:val="0"/>
                <w:color w:val="FFFFFF"/>
                <w:sz w:val="21"/>
                <w:szCs w:val="21"/>
                <w:highlight w:val="none"/>
                <w:u w:val="none"/>
              </w:rPr>
              <w:t>规格型号或参数配置</w:t>
            </w:r>
          </w:p>
        </w:tc>
        <w:tc>
          <w:tcPr>
            <w:tcW w:w="433" w:type="dxa"/>
            <w:tcBorders>
              <w:top w:val="nil"/>
              <w:left w:val="single" w:color="000000" w:sz="4" w:space="0"/>
              <w:bottom w:val="single" w:color="000000" w:sz="4" w:space="0"/>
              <w:right w:val="single" w:color="000000" w:sz="4" w:space="0"/>
            </w:tcBorders>
            <w:shd w:val="clear" w:color="auto" w:fill="0070C0"/>
            <w:noWrap/>
            <w:vAlign w:val="center"/>
          </w:tcPr>
          <w:p w14:paraId="2FB7C740">
            <w:pPr>
              <w:keepNext w:val="0"/>
              <w:keepLines w:val="0"/>
              <w:widowControl/>
              <w:suppressLineNumbers w:val="0"/>
              <w:snapToGrid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FFFFFF"/>
                <w:kern w:val="0"/>
                <w:sz w:val="21"/>
                <w:szCs w:val="21"/>
                <w:highlight w:val="none"/>
                <w:u w:val="none"/>
                <w:lang w:val="en-US" w:eastAsia="zh-CN" w:bidi="ar"/>
              </w:rPr>
            </w:pPr>
            <w:r>
              <w:rPr>
                <w:rFonts w:hint="eastAsia" w:ascii="微软雅黑" w:hAnsi="微软雅黑" w:eastAsia="微软雅黑" w:cs="微软雅黑"/>
                <w:b/>
                <w:bCs/>
                <w:i w:val="0"/>
                <w:iCs w:val="0"/>
                <w:color w:val="FFFFFF"/>
                <w:kern w:val="0"/>
                <w:sz w:val="21"/>
                <w:szCs w:val="21"/>
                <w:highlight w:val="none"/>
                <w:u w:val="none"/>
                <w:lang w:val="en-US" w:eastAsia="zh-CN" w:bidi="ar"/>
              </w:rPr>
              <w:t>单位</w:t>
            </w:r>
          </w:p>
        </w:tc>
        <w:tc>
          <w:tcPr>
            <w:tcW w:w="534" w:type="dxa"/>
            <w:tcBorders>
              <w:top w:val="nil"/>
              <w:left w:val="single" w:color="000000" w:sz="4" w:space="0"/>
              <w:bottom w:val="single" w:color="000000" w:sz="4" w:space="0"/>
              <w:right w:val="single" w:color="000000" w:sz="4" w:space="0"/>
            </w:tcBorders>
            <w:shd w:val="clear" w:color="auto" w:fill="0070C0"/>
            <w:noWrap/>
            <w:vAlign w:val="center"/>
          </w:tcPr>
          <w:p w14:paraId="375338F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FFFFFF"/>
                <w:kern w:val="0"/>
                <w:sz w:val="21"/>
                <w:szCs w:val="21"/>
                <w:highlight w:val="none"/>
                <w:u w:val="none"/>
                <w:lang w:val="en-US" w:eastAsia="zh-CN" w:bidi="ar"/>
              </w:rPr>
            </w:pPr>
            <w:r>
              <w:rPr>
                <w:rFonts w:hint="eastAsia" w:ascii="微软雅黑" w:hAnsi="微软雅黑" w:eastAsia="微软雅黑" w:cs="微软雅黑"/>
                <w:b/>
                <w:bCs/>
                <w:i w:val="0"/>
                <w:iCs w:val="0"/>
                <w:color w:val="FFFFFF"/>
                <w:kern w:val="0"/>
                <w:sz w:val="21"/>
                <w:szCs w:val="21"/>
                <w:highlight w:val="none"/>
                <w:u w:val="none"/>
                <w:lang w:val="en-US" w:eastAsia="zh-CN" w:bidi="ar"/>
              </w:rPr>
              <w:t>数量</w:t>
            </w:r>
          </w:p>
        </w:tc>
        <w:tc>
          <w:tcPr>
            <w:tcW w:w="766" w:type="dxa"/>
            <w:tcBorders>
              <w:top w:val="nil"/>
              <w:left w:val="single" w:color="000000" w:sz="4" w:space="0"/>
              <w:bottom w:val="single" w:color="000000" w:sz="4" w:space="0"/>
              <w:right w:val="single" w:color="000000" w:sz="4" w:space="0"/>
            </w:tcBorders>
            <w:shd w:val="clear" w:color="auto" w:fill="0070C0"/>
            <w:noWrap/>
            <w:vAlign w:val="center"/>
          </w:tcPr>
          <w:p w14:paraId="5F78E8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FFFFFF"/>
                <w:kern w:val="0"/>
                <w:sz w:val="21"/>
                <w:szCs w:val="21"/>
                <w:highlight w:val="none"/>
                <w:u w:val="none"/>
                <w:lang w:val="en-US" w:eastAsia="zh-CN" w:bidi="ar"/>
              </w:rPr>
            </w:pPr>
            <w:r>
              <w:rPr>
                <w:rFonts w:hint="eastAsia" w:ascii="微软雅黑" w:hAnsi="微软雅黑" w:eastAsia="微软雅黑" w:cs="微软雅黑"/>
                <w:b/>
                <w:bCs/>
                <w:i w:val="0"/>
                <w:iCs w:val="0"/>
                <w:color w:val="FFFFFF"/>
                <w:kern w:val="0"/>
                <w:sz w:val="21"/>
                <w:szCs w:val="21"/>
                <w:highlight w:val="none"/>
                <w:u w:val="none"/>
                <w:lang w:val="en-US" w:eastAsia="zh-CN" w:bidi="ar"/>
              </w:rPr>
              <w:t>单价限价(元)</w:t>
            </w:r>
          </w:p>
        </w:tc>
        <w:tc>
          <w:tcPr>
            <w:tcW w:w="800" w:type="dxa"/>
            <w:tcBorders>
              <w:top w:val="nil"/>
              <w:left w:val="single" w:color="000000" w:sz="4" w:space="0"/>
              <w:bottom w:val="single" w:color="000000" w:sz="4" w:space="0"/>
              <w:right w:val="single" w:color="000000" w:sz="4" w:space="0"/>
            </w:tcBorders>
            <w:shd w:val="clear" w:color="auto" w:fill="0070C0"/>
            <w:noWrap/>
            <w:vAlign w:val="center"/>
          </w:tcPr>
          <w:p w14:paraId="54A3C571">
            <w:pPr>
              <w:keepNext w:val="0"/>
              <w:keepLines w:val="0"/>
              <w:widowControl/>
              <w:suppressLineNumbers w:val="0"/>
              <w:snapToGrid w:val="0"/>
              <w:spacing w:line="240" w:lineRule="auto"/>
              <w:ind w:left="0" w:leftChars="0" w:right="0" w:rightChars="0" w:firstLine="0" w:firstLineChars="0"/>
              <w:jc w:val="center"/>
              <w:textAlignment w:val="center"/>
              <w:rPr>
                <w:rFonts w:hint="default" w:ascii="微软雅黑" w:hAnsi="微软雅黑" w:eastAsia="微软雅黑" w:cs="微软雅黑"/>
                <w:b/>
                <w:bCs/>
                <w:i w:val="0"/>
                <w:iCs w:val="0"/>
                <w:color w:val="FFFFFF"/>
                <w:kern w:val="0"/>
                <w:sz w:val="21"/>
                <w:szCs w:val="21"/>
                <w:highlight w:val="none"/>
                <w:u w:val="none"/>
                <w:lang w:val="en-US" w:eastAsia="zh-CN" w:bidi="ar"/>
              </w:rPr>
            </w:pPr>
            <w:r>
              <w:rPr>
                <w:rFonts w:hint="eastAsia" w:ascii="微软雅黑" w:hAnsi="微软雅黑" w:eastAsia="微软雅黑" w:cs="微软雅黑"/>
                <w:b/>
                <w:bCs/>
                <w:i w:val="0"/>
                <w:iCs w:val="0"/>
                <w:color w:val="FFFFFF"/>
                <w:kern w:val="0"/>
                <w:sz w:val="21"/>
                <w:szCs w:val="21"/>
                <w:highlight w:val="none"/>
                <w:u w:val="none"/>
                <w:lang w:val="en-US" w:eastAsia="zh-CN" w:bidi="ar"/>
              </w:rPr>
              <w:t>单项限价(元)</w:t>
            </w:r>
          </w:p>
        </w:tc>
        <w:tc>
          <w:tcPr>
            <w:tcW w:w="421" w:type="dxa"/>
            <w:tcBorders>
              <w:top w:val="nil"/>
              <w:left w:val="single" w:color="000000" w:sz="4" w:space="0"/>
              <w:bottom w:val="single" w:color="000000" w:sz="4" w:space="0"/>
              <w:right w:val="single" w:color="000000" w:sz="4" w:space="0"/>
            </w:tcBorders>
            <w:shd w:val="clear" w:color="auto" w:fill="0070C0"/>
            <w:noWrap/>
            <w:vAlign w:val="center"/>
          </w:tcPr>
          <w:p w14:paraId="5EA20787">
            <w:pPr>
              <w:keepNext w:val="0"/>
              <w:keepLines w:val="0"/>
              <w:widowControl/>
              <w:suppressLineNumbers w:val="0"/>
              <w:snapToGrid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FFFFFF"/>
                <w:kern w:val="0"/>
                <w:sz w:val="21"/>
                <w:szCs w:val="21"/>
                <w:highlight w:val="none"/>
                <w:u w:val="none"/>
                <w:lang w:val="en-US" w:eastAsia="zh-CN" w:bidi="ar"/>
              </w:rPr>
            </w:pPr>
            <w:r>
              <w:rPr>
                <w:rFonts w:hint="eastAsia" w:ascii="微软雅黑" w:hAnsi="微软雅黑" w:eastAsia="微软雅黑" w:cs="微软雅黑"/>
                <w:b/>
                <w:bCs/>
                <w:i w:val="0"/>
                <w:iCs w:val="0"/>
                <w:color w:val="FFFFFF"/>
                <w:kern w:val="0"/>
                <w:sz w:val="21"/>
                <w:szCs w:val="21"/>
                <w:highlight w:val="none"/>
                <w:u w:val="none"/>
                <w:lang w:val="en-US" w:eastAsia="zh-CN" w:bidi="ar"/>
              </w:rPr>
              <w:t>备注</w:t>
            </w:r>
          </w:p>
        </w:tc>
      </w:tr>
      <w:tr w14:paraId="09625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0BE21">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AADD">
            <w:pPr>
              <w:keepNext w:val="0"/>
              <w:keepLines w:val="0"/>
              <w:widowControl/>
              <w:suppressLineNumbers w:val="0"/>
              <w:spacing w:line="240" w:lineRule="auto"/>
              <w:jc w:val="center"/>
              <w:textAlignment w:val="center"/>
              <w:rPr>
                <w:rFonts w:hint="eastAsia" w:ascii="等线" w:hAnsi="等线" w:eastAsia="等线" w:cs="等线"/>
                <w:i w:val="0"/>
                <w:iCs w:val="0"/>
                <w:color w:val="333333"/>
                <w:sz w:val="18"/>
                <w:szCs w:val="18"/>
                <w:highlight w:val="none"/>
                <w:u w:val="none"/>
              </w:rPr>
            </w:pPr>
            <w:r>
              <w:rPr>
                <w:rFonts w:hint="eastAsia" w:ascii="等线" w:hAnsi="等线" w:eastAsia="等线" w:cs="等线"/>
                <w:i w:val="0"/>
                <w:iCs w:val="0"/>
                <w:color w:val="333333"/>
                <w:sz w:val="18"/>
                <w:szCs w:val="18"/>
                <w:highlight w:val="none"/>
                <w:u w:val="none"/>
              </w:rPr>
              <w:t>宣传栏</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2D3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一、尺寸规格：</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展示版面：单块版面净尺寸≥2400mm×1200mm（宽×高）；</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整机高度：含支架总高度≥1960mm；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底座宽度：单侧底座支撑宽度≥600mm，保证放置稳定性。</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二、材质参数：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主框架：≥1.5mm厚铝合金型材，表面阳极氧化防腐处理；</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背板：≥0.8mm厚镀锌钢板，表面静电喷塑，防水防锈；</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视窗面板：≥5mm厚PC耐力板/钢化玻璃，透光率≥85%，防刮防尘；</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支架立柱：≥2.0mm厚冷轧钢管，T型双腿支撑结构；</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滚轮：万向刹车滚轮，承重≥50kg/轮。</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三、工艺要求：</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金属构件整体酸洗磷化+高温静电喷塑，防锈、防磁、防静电；</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焊接部位无缝焊接，打磨平整，无毛刺、无焊渣；</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门框配置液压支撑杆，开启角度≥90°，带锁具配置。</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四、安装方式：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可移动落地式（带滚轮），或膨胀螺栓固定式；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整体结构稳固，抗风等级≥6级。</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0D7B">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块</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F9AC">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B5CD">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1,200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B551">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61,200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5BF8">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4DAB5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0733">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2</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5C82">
            <w:pPr>
              <w:keepNext w:val="0"/>
              <w:keepLines w:val="0"/>
              <w:widowControl/>
              <w:suppressLineNumbers w:val="0"/>
              <w:spacing w:line="240" w:lineRule="auto"/>
              <w:jc w:val="center"/>
              <w:textAlignment w:val="center"/>
              <w:rPr>
                <w:rFonts w:hint="eastAsia" w:ascii="等线" w:hAnsi="等线" w:eastAsia="等线" w:cs="等线"/>
                <w:i w:val="0"/>
                <w:iCs w:val="0"/>
                <w:color w:val="333333"/>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资料架</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1BD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一、尺寸规格：</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整体高度：≥1200mm；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底部宽度：≥600mm；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进深尺寸：≥350mm；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层数：≥4层展示置物层。</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二、材质参数：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主体材质：≥1.0mm厚冷轧钢板/铁艺网格一体折弯成型；</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表面处理：高温静电喷塑，防锈耐磨，颜色可选黑色/银灰色；</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层板：金属网格结构，透气防尘，单层承重≥5kg；</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顶部：封闭式顶板设计，防尘防落灰。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三、结构特点：</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底座：U型落地支撑结构，加宽加重设计，防倾倒，整体承重≥20kg；</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网格镂空设计，轻便易清洁，资料可视性好；</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免安装一体式设计，开箱即可使用；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边缘圆角处理，无尖锐棱角，使用安全。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四、适用场景：</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室内服务大厅、营业厅、办公室等公共服务场所。</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2714">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42CD">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215</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4EE7">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310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EDC9">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66,650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DEEF">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75FF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D027">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3</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65E07">
            <w:pPr>
              <w:keepNext w:val="0"/>
              <w:keepLines w:val="0"/>
              <w:widowControl/>
              <w:suppressLineNumbers w:val="0"/>
              <w:spacing w:line="240" w:lineRule="auto"/>
              <w:jc w:val="center"/>
              <w:textAlignment w:val="center"/>
              <w:rPr>
                <w:rFonts w:hint="eastAsia" w:ascii="等线" w:hAnsi="等线" w:eastAsia="等线" w:cs="等线"/>
                <w:i w:val="0"/>
                <w:iCs w:val="0"/>
                <w:color w:val="333333"/>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就业服务便民座椅</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10A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一、结构与材质参数：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形式：至少4人位连排式便民座椅，整体模块化组装；</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框架：≥40×40×1.5mm镀锌钢管/不锈钢管焊接成型，表面静电喷塑或拉丝处理；</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坐靠板：≥15mm厚塑木/防腐木/PE中空板，防开裂、防褪色；</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单座位均布承载≥120kg，整体承载≥500kg。</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C158">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套</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D3B5">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2C11">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2,500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3B32">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2,500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34B2">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2B96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A43A3B">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4</w:t>
            </w: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FBDC25">
            <w:pPr>
              <w:keepNext w:val="0"/>
              <w:keepLines w:val="0"/>
              <w:widowControl/>
              <w:suppressLineNumbers w:val="0"/>
              <w:spacing w:line="240" w:lineRule="auto"/>
              <w:jc w:val="center"/>
              <w:textAlignment w:val="center"/>
              <w:rPr>
                <w:rFonts w:hint="eastAsia" w:ascii="等线" w:hAnsi="等线" w:eastAsia="等线" w:cs="等线"/>
                <w:i w:val="0"/>
                <w:iCs w:val="0"/>
                <w:color w:val="333333"/>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Ai智能一体机</w:t>
            </w:r>
          </w:p>
        </w:tc>
        <w:tc>
          <w:tcPr>
            <w:tcW w:w="5145" w:type="dxa"/>
            <w:tcBorders>
              <w:top w:val="single" w:color="000000" w:sz="4" w:space="0"/>
              <w:left w:val="single" w:color="000000" w:sz="4" w:space="0"/>
              <w:bottom w:val="single" w:color="auto" w:sz="4" w:space="0"/>
              <w:right w:val="single" w:color="000000" w:sz="4" w:space="0"/>
            </w:tcBorders>
            <w:shd w:val="clear" w:color="auto" w:fill="auto"/>
            <w:vAlign w:val="center"/>
          </w:tcPr>
          <w:p w14:paraId="3D86617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一、整机参数：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设备尺寸：整机外形尺寸≥700mm×430mm×1030mm（宽×深×高）；</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机柜材质：≥1.0mm冷轧钢板。</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二、触摸显示参数：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显示屏：≥23英寸；</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分辨率：≥1920×1080；</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亮度：≥250cd/㎡；</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触控方式：≥5点触控；</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表面硬度：莫氏硬度≥3级；</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坐标分辨率：≥4096×4096；</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7. 透光率：≥85%；</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8. 定位精度：≤4mm；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9. 响应时间：≤8ms；</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10. 防尘等级：符合室内防尘标准。</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三、工控主机参数：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运行内存：≥8GB；</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内置存储：≥16GB；</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处理器：≥四核处理器，满足系统流畅运行；</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操作系统：支持国产操作系统/Windows系统。</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四、接口配置：</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具备USB接口≥4个；</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具备网络接口（RJ45）≥1个；</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支持WiFi无线网络连接。</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五、软件平台：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可兼容部署就业咨询服务平台，能够承载以下业务模块：就业资讯、职位信息、考研、考证、考公、考事业编、双选云平台、就业培训课程中心、创赛、职业生涯规划、心理咨询、地方政府引才等服务模块，提供一站式就业资讯与指导服务。</w:t>
            </w:r>
          </w:p>
        </w:tc>
        <w:tc>
          <w:tcPr>
            <w:tcW w:w="433" w:type="dxa"/>
            <w:tcBorders>
              <w:top w:val="single" w:color="000000" w:sz="4" w:space="0"/>
              <w:left w:val="single" w:color="000000" w:sz="4" w:space="0"/>
              <w:bottom w:val="single" w:color="auto" w:sz="4" w:space="0"/>
              <w:right w:val="single" w:color="000000" w:sz="4" w:space="0"/>
            </w:tcBorders>
            <w:shd w:val="clear" w:color="auto" w:fill="auto"/>
            <w:vAlign w:val="center"/>
          </w:tcPr>
          <w:p w14:paraId="3248B0D2">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台</w:t>
            </w:r>
          </w:p>
        </w:tc>
        <w:tc>
          <w:tcPr>
            <w:tcW w:w="534" w:type="dxa"/>
            <w:tcBorders>
              <w:top w:val="single" w:color="000000" w:sz="4" w:space="0"/>
              <w:left w:val="single" w:color="000000" w:sz="4" w:space="0"/>
              <w:bottom w:val="single" w:color="auto" w:sz="4" w:space="0"/>
              <w:right w:val="single" w:color="000000" w:sz="4" w:space="0"/>
            </w:tcBorders>
            <w:shd w:val="clear" w:color="auto" w:fill="auto"/>
            <w:vAlign w:val="center"/>
          </w:tcPr>
          <w:p w14:paraId="085A1E83">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w:t>
            </w:r>
          </w:p>
        </w:tc>
        <w:tc>
          <w:tcPr>
            <w:tcW w:w="766" w:type="dxa"/>
            <w:tcBorders>
              <w:top w:val="single" w:color="000000" w:sz="4" w:space="0"/>
              <w:left w:val="single" w:color="000000" w:sz="4" w:space="0"/>
              <w:bottom w:val="single" w:color="auto" w:sz="4" w:space="0"/>
              <w:right w:val="single" w:color="000000" w:sz="4" w:space="0"/>
            </w:tcBorders>
            <w:shd w:val="clear" w:color="auto" w:fill="auto"/>
            <w:vAlign w:val="center"/>
          </w:tcPr>
          <w:p w14:paraId="7CF5C216">
            <w:pPr>
              <w:keepNext w:val="0"/>
              <w:keepLines w:val="0"/>
              <w:widowControl/>
              <w:suppressLineNumbers w:val="0"/>
              <w:jc w:val="center"/>
              <w:textAlignment w:val="center"/>
              <w:rPr>
                <w:rFonts w:hint="eastAsia" w:ascii="等线" w:hAnsi="等线" w:eastAsia="等线" w:cs="等线"/>
                <w:i w:val="0"/>
                <w:iCs w:val="0"/>
                <w:color w:val="000000"/>
                <w:kern w:val="2"/>
                <w:sz w:val="18"/>
                <w:szCs w:val="18"/>
                <w:highlight w:val="none"/>
                <w:u w:val="none"/>
                <w:lang w:val="en-US" w:eastAsia="zh-CN" w:bidi="ar-SA"/>
              </w:rPr>
            </w:pPr>
            <w:r>
              <w:rPr>
                <w:rFonts w:hint="eastAsia" w:ascii="等线" w:hAnsi="等线" w:eastAsia="等线" w:cs="等线"/>
                <w:i w:val="0"/>
                <w:iCs w:val="0"/>
                <w:color w:val="000000"/>
                <w:kern w:val="0"/>
                <w:sz w:val="18"/>
                <w:szCs w:val="18"/>
                <w:highlight w:val="none"/>
                <w:u w:val="none"/>
                <w:lang w:val="en-US" w:eastAsia="zh-CN" w:bidi="ar"/>
              </w:rPr>
              <w:t>35,000</w:t>
            </w:r>
          </w:p>
        </w:tc>
        <w:tc>
          <w:tcPr>
            <w:tcW w:w="800" w:type="dxa"/>
            <w:tcBorders>
              <w:top w:val="single" w:color="000000" w:sz="4" w:space="0"/>
              <w:left w:val="single" w:color="000000" w:sz="4" w:space="0"/>
              <w:bottom w:val="single" w:color="auto" w:sz="4" w:space="0"/>
              <w:right w:val="single" w:color="000000" w:sz="4" w:space="0"/>
            </w:tcBorders>
            <w:shd w:val="clear" w:color="auto" w:fill="auto"/>
            <w:vAlign w:val="center"/>
          </w:tcPr>
          <w:p w14:paraId="078938D1">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175,000</w:t>
            </w:r>
          </w:p>
        </w:tc>
        <w:tc>
          <w:tcPr>
            <w:tcW w:w="421" w:type="dxa"/>
            <w:tcBorders>
              <w:top w:val="single" w:color="000000" w:sz="4" w:space="0"/>
              <w:left w:val="single" w:color="000000" w:sz="4" w:space="0"/>
              <w:bottom w:val="single" w:color="auto" w:sz="4" w:space="0"/>
              <w:right w:val="single" w:color="000000" w:sz="4" w:space="0"/>
            </w:tcBorders>
            <w:shd w:val="clear" w:color="auto" w:fill="auto"/>
            <w:vAlign w:val="center"/>
          </w:tcPr>
          <w:p w14:paraId="5569F6D5">
            <w:pPr>
              <w:keepNext w:val="0"/>
              <w:keepLines w:val="0"/>
              <w:widowControl/>
              <w:suppressLineNumbers w:val="0"/>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p>
        </w:tc>
      </w:tr>
      <w:tr w14:paraId="4C3D0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C4137">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5</w:t>
            </w:r>
          </w:p>
        </w:tc>
        <w:tc>
          <w:tcPr>
            <w:tcW w:w="929" w:type="dxa"/>
            <w:tcBorders>
              <w:top w:val="single" w:color="auto" w:sz="4" w:space="0"/>
              <w:left w:val="single" w:color="auto" w:sz="4" w:space="0"/>
              <w:bottom w:val="single" w:color="auto" w:sz="4" w:space="0"/>
              <w:right w:val="single" w:color="auto" w:sz="4" w:space="0"/>
            </w:tcBorders>
            <w:shd w:val="clear" w:color="auto" w:fill="auto"/>
            <w:vAlign w:val="center"/>
          </w:tcPr>
          <w:p w14:paraId="631D4FD8">
            <w:pPr>
              <w:keepNext w:val="0"/>
              <w:keepLines w:val="0"/>
              <w:widowControl/>
              <w:suppressLineNumbers w:val="0"/>
              <w:spacing w:line="240" w:lineRule="auto"/>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直播设备</w:t>
            </w:r>
          </w:p>
        </w:tc>
        <w:tc>
          <w:tcPr>
            <w:tcW w:w="5145" w:type="dxa"/>
            <w:tcBorders>
              <w:top w:val="single" w:color="auto" w:sz="4" w:space="0"/>
              <w:left w:val="single" w:color="auto" w:sz="4" w:space="0"/>
              <w:bottom w:val="single" w:color="auto" w:sz="4" w:space="0"/>
              <w:right w:val="single" w:color="auto" w:sz="4" w:space="0"/>
            </w:tcBorders>
            <w:shd w:val="clear" w:color="auto" w:fill="auto"/>
            <w:vAlign w:val="center"/>
          </w:tcPr>
          <w:p w14:paraId="634B8B8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一、直播摄像头：</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影像参数：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sz w:val="18"/>
                <w:szCs w:val="18"/>
                <w:highlight w:val="none"/>
                <w:u w:val="none"/>
              </w:rPr>
              <w:t>1，图像传感器 1/1.3"CMOS图像传感器</w:t>
            </w:r>
          </w:p>
          <w:p w14:paraId="741C1CE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2，有效像素≥5000万</w:t>
            </w:r>
          </w:p>
          <w:p w14:paraId="51273B4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3，视频信号 最高支持4K@30fps</w:t>
            </w:r>
          </w:p>
          <w:p w14:paraId="1AB645A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4，USB3.0-支持MJPEG/H.264/NV12/YUY2，通过电脑设置分辨率，备注:NV12/YUY2支持1080P视频输出</w:t>
            </w:r>
          </w:p>
          <w:p w14:paraId="3FC430F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5，对焦模式 自动，手动</w:t>
            </w:r>
          </w:p>
          <w:p w14:paraId="5E9F505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6，ISO 自动，手动(100-9600)</w:t>
            </w:r>
          </w:p>
          <w:p w14:paraId="78C6CDD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7，白平衡 自动，手动(2000K-10000K)</w:t>
            </w:r>
          </w:p>
          <w:p w14:paraId="7AB0623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8，快门 自动，手动(1/25秒-1/8000秒)</w:t>
            </w:r>
          </w:p>
          <w:p w14:paraId="04C13CA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录像参数：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录像分辨率：4K 3840*2160@60/50/48/30/25/24fps，2.7K 2720*1520@60/50/48/30/25/24fps，1080P 1920*1080@120/60/50/48/30/25/24fps；</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视频格式：MP4；</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录像模式：普通录影、延时录像（静态/动态/轨迹）、慢动作；</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视频最大码流：4K 60帧 最大值80Mbps。</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存储与音频参数：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储存卡型：内置EMMC存储≥128G；</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音频输出：≥48KHz，AAC。</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电池参数：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容量：≥1300mAh（支持快充）；</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类型：锂离子电池；</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能量：充电时长约50min, 续航约2.5h。</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二、无线收音麦：</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1.无线类型：≥2.4GHz</w:t>
            </w:r>
          </w:p>
          <w:p w14:paraId="7157DCE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2.发射功率：≥10dBm</w:t>
            </w:r>
          </w:p>
          <w:p w14:paraId="5A6AAAD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3.麦克风指向性：全指向</w:t>
            </w:r>
          </w:p>
          <w:p w14:paraId="3AD1C09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4.麦克风频率响应 80Hz ~ 20kHz</w:t>
            </w:r>
          </w:p>
          <w:p w14:paraId="12BCBDB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5.系统信噪比≤70dB</w:t>
            </w:r>
          </w:p>
          <w:p w14:paraId="53DF722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6.系统等效噪声≤24dBA</w:t>
            </w:r>
          </w:p>
          <w:p w14:paraId="3367F0B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7.最大声压级≥110dB</w:t>
            </w:r>
          </w:p>
          <w:p w14:paraId="3790773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8.动态范围 86dB</w:t>
            </w:r>
          </w:p>
          <w:p w14:paraId="1A6F377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三、补光灯套装：</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1.输入电压：标准220V，输出功率：≥200W；</w:t>
            </w:r>
          </w:p>
          <w:p w14:paraId="018D191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2.光照度：≥56200ux；</w:t>
            </w:r>
          </w:p>
          <w:p w14:paraId="26B56B4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 xml:space="preserve">3.显色指数：CRI&gt;97 </w:t>
            </w:r>
          </w:p>
          <w:p w14:paraId="4667D82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4.TLCI指数：≥98；</w:t>
            </w:r>
          </w:p>
          <w:p w14:paraId="7B0FF11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5.色温：2800-6500k；</w:t>
            </w:r>
          </w:p>
          <w:p w14:paraId="4F07478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6.控制方式：需支持远程遥控、手动控制；</w:t>
            </w:r>
          </w:p>
          <w:p w14:paraId="13EAD80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7.散热方式：需支持主动散热；</w:t>
            </w:r>
          </w:p>
          <w:p w14:paraId="4E2607E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8.柔光箱：需支持保荣接口，配备90CM深口柔光箱；</w:t>
            </w:r>
          </w:p>
          <w:p w14:paraId="44E4BC1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9.支架：直径：≥40CM，高度：≥280CM</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185D1469">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套</w:t>
            </w:r>
          </w:p>
        </w:tc>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76BADB93">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w:t>
            </w:r>
          </w:p>
        </w:tc>
        <w:tc>
          <w:tcPr>
            <w:tcW w:w="766" w:type="dxa"/>
            <w:tcBorders>
              <w:top w:val="single" w:color="auto" w:sz="4" w:space="0"/>
              <w:left w:val="single" w:color="auto" w:sz="4" w:space="0"/>
              <w:bottom w:val="single" w:color="auto" w:sz="4" w:space="0"/>
              <w:right w:val="single" w:color="auto" w:sz="4" w:space="0"/>
            </w:tcBorders>
            <w:shd w:val="clear" w:color="auto" w:fill="auto"/>
            <w:vAlign w:val="center"/>
          </w:tcPr>
          <w:p w14:paraId="38358848">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36,000</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15B9895F">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72,000</w:t>
            </w:r>
          </w:p>
        </w:tc>
        <w:tc>
          <w:tcPr>
            <w:tcW w:w="421" w:type="dxa"/>
            <w:tcBorders>
              <w:top w:val="single" w:color="auto" w:sz="4" w:space="0"/>
              <w:left w:val="single" w:color="auto" w:sz="4" w:space="0"/>
              <w:bottom w:val="single" w:color="auto" w:sz="4" w:space="0"/>
              <w:right w:val="single" w:color="auto" w:sz="4" w:space="0"/>
            </w:tcBorders>
            <w:shd w:val="clear" w:color="auto" w:fill="auto"/>
            <w:vAlign w:val="center"/>
          </w:tcPr>
          <w:p w14:paraId="57576D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314D2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4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15580E3">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w:t>
            </w:r>
          </w:p>
        </w:tc>
        <w:tc>
          <w:tcPr>
            <w:tcW w:w="92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C1189A5">
            <w:pPr>
              <w:keepNext w:val="0"/>
              <w:keepLines w:val="0"/>
              <w:widowControl/>
              <w:suppressLineNumbers w:val="0"/>
              <w:spacing w:line="240" w:lineRule="auto"/>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便携式智能手持云台摄像机</w:t>
            </w:r>
          </w:p>
        </w:tc>
        <w:tc>
          <w:tcPr>
            <w:tcW w:w="51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CD0075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一、影像参数：</w:t>
            </w:r>
          </w:p>
          <w:p w14:paraId="2777CDC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 影像传感器：≥1/1.55"CMOS；</w:t>
            </w:r>
          </w:p>
          <w:p w14:paraId="4C9DC94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 有效像素：≥5000万；</w:t>
            </w:r>
          </w:p>
          <w:p w14:paraId="493E821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 镜头：视场角（FOV）：≥110°光圈（F）：≤2.2；</w:t>
            </w:r>
          </w:p>
          <w:p w14:paraId="1594340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 ISO范围：100~3200；</w:t>
            </w:r>
          </w:p>
          <w:p w14:paraId="1211610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 电子快门速度：1/8000~16s；</w:t>
            </w:r>
          </w:p>
          <w:p w14:paraId="456C44A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 照片最大分辨率：≥8192*6144；</w:t>
            </w:r>
          </w:p>
          <w:p w14:paraId="35AD1CA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 图片格式：JPG/JPG+DNG；</w:t>
            </w:r>
          </w:p>
          <w:p w14:paraId="7D35C9F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8. 照片拍摄模式：单张拍照、全景拍摄。</w:t>
            </w:r>
          </w:p>
          <w:p w14:paraId="27BAA62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二、录像参数：</w:t>
            </w:r>
          </w:p>
          <w:p w14:paraId="5F4DBE3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 录像分辨率：4K 3840*2160@60/50/48/30/25/24fps，2.7K 2720*1520@60/50/48/30/25/24fps，1080P 1920*1080@120/60/50/48/30/25/24fps；</w:t>
            </w:r>
          </w:p>
          <w:p w14:paraId="240C323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 视频格式：MP4；</w:t>
            </w:r>
          </w:p>
          <w:p w14:paraId="6943509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 录像模式：普通录影、延时录像（静态/动态/轨迹）、慢动作；</w:t>
            </w:r>
          </w:p>
          <w:p w14:paraId="3A276CF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 视频最大码流：4K 60帧 最大值80Mbps。</w:t>
            </w:r>
          </w:p>
        </w:tc>
        <w:tc>
          <w:tcPr>
            <w:tcW w:w="433" w:type="dxa"/>
            <w:tcBorders>
              <w:top w:val="single" w:color="auto" w:sz="4" w:space="0"/>
              <w:left w:val="single" w:color="000000" w:sz="4" w:space="0"/>
              <w:bottom w:val="single" w:color="000000" w:sz="4" w:space="0"/>
              <w:right w:val="single" w:color="000000" w:sz="4" w:space="0"/>
            </w:tcBorders>
            <w:shd w:val="clear" w:color="auto" w:fill="auto"/>
            <w:vAlign w:val="center"/>
          </w:tcPr>
          <w:p w14:paraId="7234097D">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auto" w:sz="4" w:space="0"/>
              <w:left w:val="single" w:color="000000" w:sz="4" w:space="0"/>
              <w:bottom w:val="single" w:color="000000" w:sz="4" w:space="0"/>
              <w:right w:val="single" w:color="000000" w:sz="4" w:space="0"/>
            </w:tcBorders>
            <w:shd w:val="clear" w:color="auto" w:fill="auto"/>
            <w:vAlign w:val="center"/>
          </w:tcPr>
          <w:p w14:paraId="34784F93">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auto" w:sz="4" w:space="0"/>
              <w:left w:val="single" w:color="000000" w:sz="4" w:space="0"/>
              <w:bottom w:val="single" w:color="000000" w:sz="4" w:space="0"/>
              <w:right w:val="single" w:color="000000" w:sz="4" w:space="0"/>
            </w:tcBorders>
            <w:shd w:val="clear" w:color="auto" w:fill="auto"/>
            <w:vAlign w:val="center"/>
          </w:tcPr>
          <w:p w14:paraId="777D6371">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4,200</w:t>
            </w:r>
          </w:p>
        </w:tc>
        <w:tc>
          <w:tcPr>
            <w:tcW w:w="800" w:type="dxa"/>
            <w:tcBorders>
              <w:top w:val="single" w:color="auto" w:sz="4" w:space="0"/>
              <w:left w:val="single" w:color="000000" w:sz="4" w:space="0"/>
              <w:bottom w:val="single" w:color="000000" w:sz="4" w:space="0"/>
              <w:right w:val="single" w:color="000000" w:sz="4" w:space="0"/>
            </w:tcBorders>
            <w:shd w:val="clear" w:color="auto" w:fill="auto"/>
            <w:vAlign w:val="center"/>
          </w:tcPr>
          <w:p w14:paraId="5EDD23FD">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4,200</w:t>
            </w:r>
          </w:p>
        </w:tc>
        <w:tc>
          <w:tcPr>
            <w:tcW w:w="421" w:type="dxa"/>
            <w:tcBorders>
              <w:top w:val="single" w:color="auto" w:sz="4" w:space="0"/>
              <w:left w:val="single" w:color="000000" w:sz="4" w:space="0"/>
              <w:bottom w:val="single" w:color="000000" w:sz="4" w:space="0"/>
              <w:right w:val="single" w:color="000000" w:sz="4" w:space="0"/>
            </w:tcBorders>
            <w:shd w:val="clear" w:color="auto" w:fill="auto"/>
            <w:vAlign w:val="center"/>
          </w:tcPr>
          <w:p w14:paraId="1D216B86">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000000"/>
                <w:kern w:val="0"/>
                <w:sz w:val="18"/>
                <w:szCs w:val="18"/>
                <w:highlight w:val="none"/>
                <w:u w:val="none"/>
                <w:lang w:val="en-US" w:eastAsia="zh-CN" w:bidi="ar"/>
              </w:rPr>
            </w:pPr>
          </w:p>
        </w:tc>
      </w:tr>
      <w:tr w14:paraId="43100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44EF">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7</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1BE2">
            <w:pPr>
              <w:keepNext w:val="0"/>
              <w:keepLines w:val="0"/>
              <w:widowControl/>
              <w:suppressLineNumbers w:val="0"/>
              <w:spacing w:line="240" w:lineRule="auto"/>
              <w:jc w:val="center"/>
              <w:textAlignment w:val="center"/>
              <w:rPr>
                <w:rFonts w:hint="eastAsia" w:ascii="等线" w:hAnsi="等线" w:eastAsia="等线" w:cs="等线"/>
                <w:i w:val="0"/>
                <w:iCs w:val="0"/>
                <w:color w:val="333333"/>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智能触控显示一体机(直播一体机)</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70F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一、硬件参数：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HDMI输入：≥2路，≥1080P 60fps，音频接口：3.5mm音频输入接口≥2,3.5mm音频输出接口≥1，USB HOST接口：≥2：支持USB摄像头/采集卡/支持鼠标/键盘·USB 3.0；</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SIM卡槽：支持NanoSIM卡，4G无线通信，4G全网通；</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CPU：≥8核处理器，</w:t>
            </w:r>
            <w:r>
              <w:rPr>
                <w:rFonts w:hint="eastAsia" w:ascii="等线" w:hAnsi="等线" w:eastAsia="等线" w:cs="等线"/>
                <w:i w:val="0"/>
                <w:iCs w:val="0"/>
                <w:color w:val="000000"/>
                <w:kern w:val="0"/>
                <w:sz w:val="18"/>
                <w:szCs w:val="18"/>
                <w:highlight w:val="none"/>
                <w:u w:val="none"/>
                <w:lang w:val="en-US" w:eastAsia="zh-CN" w:bidi="ar"/>
              </w:rPr>
              <w:t>存储：RAM≥8GB，ROM≥64GB，功耗：≤80W,WIFI：支持2.4G/5G双频段,以太网：支持千兆网口；</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屏幕：尺寸≥32寸，分辨率≥1920*1080，液晶电容触屏；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二、软件参数：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支持淘宝、抖音、快手、微信、拼多多、小红书等主流直播平台的下载，快速一键开播；</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支持提词器功能，可通过小程序和网页端访问素材库上传提词，提词类型支持PDF、PPTX、PPT、PNG、JPG、纯文字等多种格式；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支持自定义拖拽提词器显示范围大小，任意拖动提词器显示位置，支持文字滚动，调节文字滚动速度、文字大小、文字颜色、背景透明度；</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支持数据查看功能，一键打开抖音巨量引擎，快手小店、淘宝直播的商家后台进行数据查看；</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支持音乐功能，通过本地磁盘、U盘进行添加音乐，以及云端网页上传音乐，包含氛围音效以及背景音乐两种分类的音乐素材，内置音乐软件，可将音乐软件播放的音频作为直播背景音乐；</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支持直播间贴片功能，通过本地磁盘、U盘进行添加图片贴片，以及云端小程序、云端网页上传，通过账号进行同步图片贴片；</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7. 支持直播间背景功能，可通过本地磁盘、U盘进行添加背景，以及云端小程序、云端网页上传背景，通过账号进行同步图片背景、视频背景、文档背景，可对背景自适应功能设置；</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8. 支持组合源设置，实现画中画、两分屏、三分屏效果；</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9. 支持一键绿幕/蓝幕抠像功能，可对绿幕/蓝幕抠像中的具体参数值自定义调节；</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10. 支持调音功能，可调节音频增益以及音频源控制，且支持音量条音波图随输入输出音量大小实时波动，可对音频进行增益调节，可对多路输入音频进行混音；</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11. 支持分发推流直播功能，通过填写推流地址，一键实现两平台同步直播；</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12. 支持免费远程OTA推送升级；</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13. 支持操作引导功能，点击全局引导将进入整体布局引导界面，点击功能引导选择对应功能进入引导界面；</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14. 支持帮助中心，用户可通过帮助中心学习软件功能的使用以及直播相关知识；</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29DD">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台</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D438">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032E">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5,500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6C93">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5,500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F11B">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000000"/>
                <w:kern w:val="0"/>
                <w:sz w:val="18"/>
                <w:szCs w:val="18"/>
                <w:highlight w:val="none"/>
                <w:u w:val="none"/>
                <w:lang w:val="en-US" w:eastAsia="zh-CN" w:bidi="ar"/>
              </w:rPr>
            </w:pPr>
          </w:p>
        </w:tc>
      </w:tr>
      <w:tr w14:paraId="5228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D55B">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8</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98D55">
            <w:pPr>
              <w:keepNext w:val="0"/>
              <w:keepLines w:val="0"/>
              <w:widowControl/>
              <w:suppressLineNumbers w:val="0"/>
              <w:spacing w:line="240" w:lineRule="auto"/>
              <w:jc w:val="center"/>
              <w:textAlignment w:val="center"/>
              <w:rPr>
                <w:rFonts w:hint="eastAsia" w:ascii="等线" w:hAnsi="等线" w:eastAsia="等线" w:cs="等线"/>
                <w:i w:val="0"/>
                <w:iCs w:val="0"/>
                <w:color w:val="333333"/>
                <w:sz w:val="18"/>
                <w:szCs w:val="18"/>
                <w:highlight w:val="none"/>
                <w:u w:val="none"/>
              </w:rPr>
            </w:pPr>
            <w:r>
              <w:rPr>
                <w:rFonts w:hint="eastAsia" w:ascii="等线" w:hAnsi="等线" w:eastAsia="等线" w:cs="等线"/>
                <w:i w:val="0"/>
                <w:iCs w:val="0"/>
                <w:color w:val="000000"/>
                <w:kern w:val="0"/>
                <w:sz w:val="18"/>
                <w:szCs w:val="18"/>
                <w:highlight w:val="none"/>
                <w:u w:val="none"/>
                <w:lang w:val="en-US" w:eastAsia="zh-CN" w:bidi="ar"/>
              </w:rPr>
              <w:t>直播摄像头</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8B2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一、硬件参数：</w:t>
            </w:r>
          </w:p>
          <w:p w14:paraId="28C61F6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1，图像传感器 1/1.3"CMOS图像传感器</w:t>
            </w:r>
          </w:p>
          <w:p w14:paraId="673CA26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2，有效像素≥5000万</w:t>
            </w:r>
          </w:p>
          <w:p w14:paraId="0A1A6F0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3，视频信号 最高支持4K@30fps</w:t>
            </w:r>
          </w:p>
          <w:p w14:paraId="695E6BA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4，USB3.0-支持MJPEG/H.264/NV12/YUY2，通过电脑设置分辨率，备注:NV12/YUY2支持1080P视频输出</w:t>
            </w:r>
          </w:p>
          <w:p w14:paraId="578127F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5，对焦模式 自动，手动</w:t>
            </w:r>
          </w:p>
          <w:p w14:paraId="564C8A6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6，ISO 自动，手动(100-9600)</w:t>
            </w:r>
          </w:p>
          <w:p w14:paraId="5D4829A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7，白平衡 自动，手动(2000K-10000K)</w:t>
            </w:r>
          </w:p>
          <w:p w14:paraId="72CEFDF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sz w:val="18"/>
                <w:szCs w:val="18"/>
                <w:highlight w:val="none"/>
                <w:u w:val="none"/>
              </w:rPr>
            </w:pPr>
            <w:r>
              <w:rPr>
                <w:rFonts w:hint="eastAsia" w:ascii="等线" w:hAnsi="等线" w:eastAsia="等线" w:cs="等线"/>
                <w:i w:val="0"/>
                <w:iCs w:val="0"/>
                <w:color w:val="000000"/>
                <w:sz w:val="18"/>
                <w:szCs w:val="18"/>
                <w:highlight w:val="none"/>
                <w:u w:val="none"/>
              </w:rPr>
              <w:t>8，快门 自动，手动(1/25秒-1/8000秒)</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43AF">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FC01">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434B">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3,200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24D8">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3,200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E1D3">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000000"/>
                <w:kern w:val="0"/>
                <w:sz w:val="18"/>
                <w:szCs w:val="18"/>
                <w:highlight w:val="none"/>
                <w:u w:val="none"/>
                <w:lang w:val="en-US" w:eastAsia="zh-CN" w:bidi="ar"/>
              </w:rPr>
            </w:pPr>
          </w:p>
        </w:tc>
      </w:tr>
      <w:tr w14:paraId="111A2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AA15">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9</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E2BE4">
            <w:pPr>
              <w:keepNext w:val="0"/>
              <w:keepLines w:val="0"/>
              <w:widowControl/>
              <w:suppressLineNumbers w:val="0"/>
              <w:spacing w:line="240" w:lineRule="auto"/>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高拍仪</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4F5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一、核心硬件参数：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主摄像头：CMOS图像传感器，物理分辨率≥3648×2736（≥1000万像素）；</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传感器尺寸：≥1/3.2英寸；</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图像色彩：RGB24位真彩色输出；</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对焦方式：自动对焦；</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曝光模式：自动曝光/手动曝光可调；</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拍摄幅面：最大支持A4幅面，向下兼容A5、A6、身份证、SIM卡等尺寸；</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7. 拍摄高度：A4幅面拍摄高度≤260mm；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8. 拍摄速度：单页拍摄速度≤1秒；</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9. 光源配置：自然光+LED辅助补光灯，亮度可调，适应不同光线环境。</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二、图像质量参数：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图像格式：支持JPG、TIF、PNG、BMP、PDF等多种格式导出；</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压缩后文件大小：彩色图像≤300KB/页，黑白图像≤60KB/页；</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图像质量：无肉眼可识别的闪烁、波纹、噪点；常规光线变化不影响成像质量；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图像畸变：≤2%；</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寻边准确率：智能寻边补边准确率≥98%，支持任意角度倾斜文档自动矫正。</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三、软件功能参数：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操作系统兼容：支持Windows全系列操作系统（WinXP/Win7/Win8/Win10及以上）；</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拍摄模式：彩色、黑白、灰度三种模式可选；</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预览模式：支持全屏预览、1/4缩略预览、无预览三种模式；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幅面设置：支持A4、A5、身份证、自动寻边、鼠标框选等多种拍摄区域设置；</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水印功能：支持自定义文字/图片水印，可设置水印位置、透明度；</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框选拍摄：支持鼠标框选任意区域拍摄；</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7. 图像后期处理：内置亮度、对比度、饱和度、锐度等图像调整功能；</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8. 复印功能：支持一键复印，输出无黑边。</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四、结构与接口参数：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机身材质：ABS工程塑料底座+铝合金悬臂，可折叠收纳；</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底座配置：集成硬质防滑文稿台，带证件定位槽；</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扩展接口：底座内置≥2个USB扩展口；</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数据接口：USB 2.0高速接口，USB直接供电，无需外接电源；</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产品重量：整机≤1.5kg；</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可选配置：支持扩展副摄像头（人像采集）、身份证读卡模块。</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五、开发与适配：</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开发接口：提供OCX控件、SDK开发包、API接口；</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协议支持：符合TWAIN标准协议；</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适配要求：可对接政务服务系统、社保业务系统、档案管理系统等第三方平台。</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0861">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台</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A34B">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17</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10E9">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1,600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6639">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27,200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6D87A">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000000"/>
                <w:kern w:val="0"/>
                <w:sz w:val="18"/>
                <w:szCs w:val="18"/>
                <w:highlight w:val="none"/>
                <w:u w:val="none"/>
                <w:lang w:val="en-US" w:eastAsia="zh-CN" w:bidi="ar"/>
              </w:rPr>
            </w:pPr>
          </w:p>
        </w:tc>
      </w:tr>
      <w:tr w14:paraId="56B1C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CA3C">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10</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1801">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shd w:val="clear" w:color="auto" w:fill="auto"/>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社保卡读卡器</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0A8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shd w:val="clear" w:color="auto" w:fill="auto"/>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一、接触式读卡模块：</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执行标准：符合ISO/IEC 7816 1/2/3标准；</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支持卡型：接触式CPU卡、逻辑加密卡（4442/4428）、社会保障卡、医疗保险卡；</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卡座类型：推拔式/下落式，插拔寿命≥10万次。</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二、非接触式读卡模块：</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执行标准：符合ISO/IEC 14443 Type A/B标准、ISO15693标准；</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工作频率：13.56MHz±7kHz；</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读写距离：0-5cm；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支持卡型：Mifare卡、非接触CPU卡、第三代社会保障卡。</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三、身份证阅读模块（内置）：</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执行标准：符合公安部GA450、GA467居民身份证阅读器安全技术规范；</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支持证件：二代居民身份证、港澳台居民居住证、外国人永久居留证；</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读卡时间：≤1秒；</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保密模块：内置身份证专用安全保密模块。</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四、接口与供电：</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通讯接口：USB 2.0高速接口（HID无驱）；</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供电方式：USB总线供电，DC 5V。</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五、环境参数：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工作温度：0℃ ~ +50℃；</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储存温度：-20℃ ~ +60℃；</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相对湿度：≤90%（无凝露）。</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六、物理参数：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外形尺寸：≤190mm×125mm×40mm（长×宽×高）；</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整机重量：≤0.37kg。</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七、可靠性：</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平均无故障工作时间（MTBF）：≥5000小时；</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支持连续长时间稳定运行。</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八、配件：</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配套主机、USB数据线、产品说明书、保修卡。</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CCB6">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shd w:val="clear" w:color="auto" w:fill="auto"/>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599E">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shd w:val="clear" w:color="auto" w:fill="auto"/>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17</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C6CF">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shd w:val="clear" w:color="auto" w:fill="auto"/>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1,200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7454">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shd w:val="clear" w:color="auto" w:fill="auto"/>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20,400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470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000000"/>
                <w:kern w:val="0"/>
                <w:sz w:val="18"/>
                <w:szCs w:val="18"/>
                <w:highlight w:val="none"/>
                <w:u w:val="none"/>
                <w:shd w:val="clear" w:color="auto" w:fill="auto"/>
                <w:lang w:val="en-US" w:eastAsia="zh-CN" w:bidi="ar"/>
              </w:rPr>
            </w:pPr>
          </w:p>
        </w:tc>
      </w:tr>
      <w:tr w14:paraId="58C31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AF66">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lang w:val="en-US" w:eastAsia="zh-CN"/>
              </w:rPr>
            </w:pPr>
            <w:r>
              <w:rPr>
                <w:rFonts w:hint="eastAsia" w:ascii="等线" w:hAnsi="等线" w:eastAsia="等线" w:cs="等线"/>
                <w:i w:val="0"/>
                <w:iCs w:val="0"/>
                <w:color w:val="000000"/>
                <w:kern w:val="0"/>
                <w:sz w:val="18"/>
                <w:szCs w:val="18"/>
                <w:highlight w:val="none"/>
                <w:u w:val="none"/>
                <w:lang w:val="en-US" w:eastAsia="zh-CN" w:bidi="ar"/>
              </w:rPr>
              <w:t>11</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C2C8">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就业服务信息化设备</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ADD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尺寸：32英寸(16:9)</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显示区域：</w:t>
            </w:r>
            <w:r>
              <w:rPr>
                <w:rFonts w:hint="eastAsia" w:ascii="等线" w:hAnsi="等线" w:eastAsia="等线" w:cs="等线"/>
                <w:i w:val="0"/>
                <w:iCs w:val="0"/>
                <w:color w:val="000000"/>
                <w:kern w:val="0"/>
                <w:sz w:val="18"/>
                <w:szCs w:val="18"/>
                <w:highlight w:val="none"/>
                <w:u w:val="none"/>
                <w:lang w:val="en-US" w:eastAsia="zh-CN" w:bidi="ar"/>
              </w:rPr>
              <w:t>≥</w:t>
            </w:r>
            <w:r>
              <w:rPr>
                <w:rFonts w:hint="eastAsia" w:ascii="等线" w:hAnsi="等线" w:eastAsia="等线" w:cs="等线"/>
                <w:i w:val="0"/>
                <w:iCs w:val="0"/>
                <w:color w:val="000000"/>
                <w:kern w:val="0"/>
                <w:sz w:val="18"/>
                <w:szCs w:val="18"/>
                <w:highlight w:val="none"/>
                <w:u w:val="none"/>
                <w:lang w:val="en-US" w:eastAsia="zh-CN" w:bidi="ar"/>
              </w:rPr>
              <w:t>698(H) × 393 mm(V)</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 xml:space="preserve">最佳分辨率：1920 × 1080 </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 xml:space="preserve">亮度：350cd/㎡ </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对比度：2000:1</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响应时间：</w:t>
            </w:r>
            <w:r>
              <w:rPr>
                <w:rFonts w:hint="eastAsia" w:ascii="等线" w:hAnsi="等线" w:eastAsia="等线" w:cs="等线"/>
                <w:i w:val="0"/>
                <w:iCs w:val="0"/>
                <w:color w:val="000000"/>
                <w:kern w:val="0"/>
                <w:sz w:val="18"/>
                <w:szCs w:val="18"/>
                <w:highlight w:val="none"/>
                <w:u w:val="none"/>
                <w:lang w:val="en-US" w:eastAsia="zh-CN" w:bidi="ar"/>
              </w:rPr>
              <w:t>≤</w:t>
            </w:r>
            <w:r>
              <w:rPr>
                <w:rFonts w:hint="eastAsia" w:ascii="等线" w:hAnsi="等线" w:eastAsia="等线" w:cs="等线"/>
                <w:i w:val="0"/>
                <w:iCs w:val="0"/>
                <w:color w:val="000000"/>
                <w:kern w:val="0"/>
                <w:sz w:val="18"/>
                <w:szCs w:val="18"/>
                <w:highlight w:val="none"/>
                <w:u w:val="none"/>
                <w:lang w:val="en-US" w:eastAsia="zh-CN" w:bidi="ar"/>
              </w:rPr>
              <w:t xml:space="preserve">1.3/3.7ms </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刷新频率：60Hz</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色彩总数：16.7M（8-bit 2(LVDS)通道低压差分信号）</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可视角度：89/89/89/89 (Typ.)(CR≥10)(左/右/上/下)</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使用寿命：&gt; 30000小时</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触摸屏参数：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触摸技术：多点红外触摸</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响应时间：&lt; 5ms</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触摸点数：标配10点触摸，可实现放大缩小图片等多点触摸功能</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触摸有效识别：&gt; 1.5mm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扫描频率：200Hz</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扫描精度：32767 × 32767</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通信方式：全速USB 2.0,3.0</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理论点击次数：6000万次以上</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工作电流/电压：180Ma/DC+5V±5%</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抗光干扰：阳光、白炽灯、日光灯等强光变化时正常使用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触摸数据输出方式：坐标输出</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0172">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台</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3520">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B685">
            <w:pPr>
              <w:keepNext w:val="0"/>
              <w:keepLines w:val="0"/>
              <w:widowControl/>
              <w:suppressLineNumbers w:val="0"/>
              <w:jc w:val="center"/>
              <w:textAlignment w:val="center"/>
              <w:rPr>
                <w:rFonts w:hint="eastAsia" w:ascii="等线" w:hAnsi="等线" w:eastAsia="等线" w:cs="等线"/>
                <w:b/>
                <w:bCs/>
                <w:i w:val="0"/>
                <w:iCs w:val="0"/>
                <w:color w:val="FFFFFF"/>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3A97">
            <w:pPr>
              <w:keepNext w:val="0"/>
              <w:keepLines w:val="0"/>
              <w:widowControl/>
              <w:suppressLineNumbers w:val="0"/>
              <w:jc w:val="center"/>
              <w:textAlignment w:val="center"/>
              <w:rPr>
                <w:rFonts w:hint="eastAsia" w:ascii="等线" w:hAnsi="等线" w:eastAsia="等线" w:cs="等线"/>
                <w:b/>
                <w:bCs/>
                <w:i w:val="0"/>
                <w:iCs w:val="0"/>
                <w:color w:val="FFFFFF"/>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42,000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BB9A">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b/>
                <w:bCs/>
                <w:i w:val="0"/>
                <w:iCs w:val="0"/>
                <w:color w:val="FFFFFF"/>
                <w:kern w:val="0"/>
                <w:sz w:val="18"/>
                <w:szCs w:val="18"/>
                <w:highlight w:val="none"/>
                <w:u w:val="none"/>
                <w:lang w:val="en-US" w:eastAsia="zh-CN" w:bidi="ar"/>
              </w:rPr>
            </w:pPr>
          </w:p>
        </w:tc>
      </w:tr>
      <w:tr w14:paraId="59242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842B">
            <w:pPr>
              <w:keepNext w:val="0"/>
              <w:keepLines w:val="0"/>
              <w:widowControl/>
              <w:suppressLineNumbers w:val="0"/>
              <w:spacing w:line="240" w:lineRule="auto"/>
              <w:jc w:val="center"/>
              <w:textAlignment w:val="center"/>
              <w:rPr>
                <w:rFonts w:hint="eastAsia" w:ascii="等线" w:hAnsi="等线" w:eastAsia="等线" w:cs="等线"/>
                <w:i w:val="0"/>
                <w:iCs w:val="0"/>
                <w:color w:val="000000"/>
                <w:sz w:val="18"/>
                <w:szCs w:val="18"/>
                <w:highlight w:val="none"/>
                <w:u w:val="none"/>
                <w:lang w:val="en-US" w:eastAsia="zh-CN"/>
              </w:rPr>
            </w:pPr>
            <w:r>
              <w:rPr>
                <w:rFonts w:hint="eastAsia" w:ascii="等线" w:hAnsi="等线" w:eastAsia="等线" w:cs="等线"/>
                <w:i w:val="0"/>
                <w:iCs w:val="0"/>
                <w:color w:val="000000"/>
                <w:kern w:val="0"/>
                <w:sz w:val="18"/>
                <w:szCs w:val="18"/>
                <w:highlight w:val="none"/>
                <w:u w:val="none"/>
                <w:lang w:val="en-US" w:eastAsia="zh-CN" w:bidi="ar"/>
              </w:rPr>
              <w:t>12</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E3DE9">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就业信息发布机</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D4F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一、功能特点：</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画面细腻生动，采用工业级 A+面板，自动彩色及图像增加引擎，显示效果出众；</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素材类型多样，包括图片、音频、视频、滚动字幕、 PDF 文档、网页、实时IPC画面、叫号、弹图等；</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节目编排灵活，支持多种素材自由排版、分区显示；支持多种播放方式，按日、按周、轮播、自定义等；</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终端集中管理，支持终端统一远程管理和控制，定时开关机设置、一键开关机、显示亮度/音量定时调节、播放画面截图预览等；支持网络远程下发节目和无网络本地（U 盘）节目更新；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分级管理权限，支持 5 级组织管理素材、节目、终端、用户等资源；支持创建自定义用户，支持多种用户的权限，多种权限模板可选；</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多重安全保障，素材、节目、日程三级审核，防误播误报，终端屏幕密码功能，保障系统播出内容安全；数据存储、数据传输加密，防数据篡改；客户自行激活设置初始密码，保障密码安全。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二、显示参数：</w:t>
            </w:r>
          </w:p>
          <w:p w14:paraId="44A1452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 显示尺寸：≥43 inch；</w:t>
            </w:r>
          </w:p>
          <w:p w14:paraId="0B3E270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 物理分辨率：≥1920 × 1080；</w:t>
            </w:r>
          </w:p>
          <w:p w14:paraId="3E78256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 屏幕可视区域：≥940.896 mm (H) × 529.254 mm (V)；</w:t>
            </w:r>
          </w:p>
          <w:p w14:paraId="1A50B87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 像素间距：≥0.163 mm (H) × 0.490 mm (V)；</w:t>
            </w:r>
          </w:p>
          <w:p w14:paraId="55FDF0D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 背光源类型：D-LED；</w:t>
            </w:r>
          </w:p>
          <w:p w14:paraId="18F958E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 可视角：≥178°(H)/178°(V)；</w:t>
            </w:r>
          </w:p>
          <w:p w14:paraId="0C1691F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 亮度：≥500 cd/m²；</w:t>
            </w:r>
          </w:p>
          <w:p w14:paraId="19C4715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8. 色深度：≥16.78M Colours 8Bit；</w:t>
            </w:r>
          </w:p>
          <w:p w14:paraId="61DCCA2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9. 对比度：≥5000：1；</w:t>
            </w:r>
          </w:p>
          <w:p w14:paraId="2B9EC90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10. 响应时间：≥6.5ms（Typ）；</w:t>
            </w:r>
          </w:p>
          <w:p w14:paraId="4BCC75B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11. 色域：≥72% NTSC；</w:t>
            </w:r>
          </w:p>
          <w:p w14:paraId="03F24AB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12. 连续使用时间：≥7 × 16 H；</w:t>
            </w:r>
          </w:p>
          <w:p w14:paraId="6599C65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13. 刷新率：≥60 Hz；</w:t>
            </w:r>
          </w:p>
          <w:p w14:paraId="217C65F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14. 雾度：≤2%。</w:t>
            </w:r>
          </w:p>
          <w:p w14:paraId="19DA562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三、系统与接口参数：</w:t>
            </w:r>
          </w:p>
          <w:p w14:paraId="35859C9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 处理器主频：4核，最大2.0GHz；</w:t>
            </w:r>
          </w:p>
          <w:p w14:paraId="7FC2B42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 操作系统：≥Android 11；</w:t>
            </w:r>
          </w:p>
          <w:p w14:paraId="5DC8E38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 内存：≥2 GB；</w:t>
            </w:r>
          </w:p>
          <w:p w14:paraId="24F1EFD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 内置存储：16 GB EMMC；</w:t>
            </w:r>
          </w:p>
          <w:p w14:paraId="6016E78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 网络接口：LAN (100/1000M) × 1；</w:t>
            </w:r>
          </w:p>
          <w:p w14:paraId="5F466F3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 数据传输接口：USB 2.0 × 1，USB 3.0 × 1，RS232 in× 1, RS232 out× 1，TF卡：不支持；</w:t>
            </w:r>
          </w:p>
          <w:p w14:paraId="0E15842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8. 喇叭：speaker (8Ω 5W) × 2；</w:t>
            </w:r>
          </w:p>
          <w:p w14:paraId="3CB8E89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9. 无线协议：蓝牙 BT 5.4 × 1，Wi-Fi (2.4G/5G，802.11 a/b/g/n/ac/ax) × 1；</w:t>
            </w:r>
          </w:p>
          <w:p w14:paraId="0FCE2B0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10. 待机功耗：≤ 0.5 W。</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1386">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D394">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A6A8">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6,400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63B4">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64,000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FD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5CA39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DB58">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13</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42AE">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技能培训大屏</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2AD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一、显示参数：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尺寸：≥75英寸，4K分辨率3840×2160，LED背光，亮度≥350cd/㎡；</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对比度≥4000:1，可视角度≥178°，防眩光处理。</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二、系统与智能功能参数：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智能系统：RAM≥2GB，ROM≥16GB，安卓≥9.0；</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内置应用市场，支持无线投屏（Miracast/AirPlay/DLNA）、多屏互动。</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BC42">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D54C">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08FA">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7,800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5C34">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7,800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D7DF">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54A08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1151">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14</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57F1">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人证核验一体机(人脸识别)</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985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一、基本功能参数：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人脸识别：采用深度学习算法，支持照片、视频防假；1:N识别速度≤0.2s，准确率≥99%；</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人证比对：支持刷身份证进行人证比对，即：刷身份证时，抓拍用户现场人脸与其身份证内读取的人脸信息进行比对，比对时间≤1s/人；</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人脸比对功能：支持现场抓拍图片与本地注册人脸库进行1:N比对，比对时间≤0.2s/人；</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口罩检测功能：支持佩戴口罩识别人脸，完成人证比对；</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名单核验：支持通过管理平台软件下发授权名单（白名单）校验和非授权名单（黑名单）校验功能；</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事件上传：联网状态下，设备支持将认证结果及联动抓拍照片等信息实时上传给管理平台；设备在断网或与平台断开离线状态下，支持断网续传功能，产生事件在与平台连接后重新上传；</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7. 单机使用：支持本地注册人脸、查询、设置、管理设备参数等；</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8. WEB管理：支持Web端管理，可进行人员管理、参数配置、事件查询、系统维护等操作；</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9. 采集功能：设备支持客户端在线采集和设备端离线采集方式。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二、硬件参数：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 处理器主频：4核，最大2.0GHz；</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 操作系统：≥Android 11；</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 尺寸：≥10.1英寸；</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分辨率：≥1280*800；</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类型：LCD屏；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 操作方式：1个触摸屏；</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7. 像素：≥200W；</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8. 镜头数量：2个，1个可见光，1个红外光；</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9. 音频输入：不支持；</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10. 音频输出：内置扬声器；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11. 音量调节：本机或软件调节；</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12. 音频压缩标准：G.711U；</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13. 音频压缩码率：64Kbps；</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14. 音质：数字降噪；</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15. 有线网络：10M/100/1000M自适应。</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5ECC">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DEF2">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89C7D">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6,200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C5D7">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12,400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D1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5155A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35A4">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15</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CA2A">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室内高清led</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3BF6">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一：硬件参数：</w:t>
            </w:r>
          </w:p>
          <w:p w14:paraId="01CAED80">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1.尺寸：≥长3m*宽：2.5m</w:t>
            </w:r>
          </w:p>
          <w:p w14:paraId="2C20D932">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2.像素点间距：≤2.5mm</w:t>
            </w:r>
          </w:p>
          <w:p w14:paraId="425B452A">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3.像素密度：160000Dots/㎡</w:t>
            </w:r>
          </w:p>
          <w:p w14:paraId="75E0C3ED">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4.像素构成：1R1G1B</w:t>
            </w:r>
          </w:p>
          <w:p w14:paraId="30D15760">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5.结构特点：灯驱合一</w:t>
            </w:r>
          </w:p>
          <w:p w14:paraId="646770B6">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6.模组分辨率：≥128*64</w:t>
            </w:r>
          </w:p>
          <w:p w14:paraId="4E85EE0A">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 xml:space="preserve">7.驱动方式：1/32 扫恒流驱动                     </w:t>
            </w:r>
          </w:p>
          <w:p w14:paraId="39E9579E">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 xml:space="preserve">8.亮度：≥550cd/㎡                                        </w:t>
            </w:r>
          </w:p>
          <w:p w14:paraId="4DF23A06">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 xml:space="preserve">9.每平方模组最大功率：≤ 371W/m²                            </w:t>
            </w:r>
          </w:p>
          <w:p w14:paraId="180AD916">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 xml:space="preserve">10.换帧频率：≥ 60 帧/秒                               </w:t>
            </w:r>
          </w:p>
          <w:p w14:paraId="302BB11B">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11.刷新频率：≥ 1920Hz/3840Hz</w:t>
            </w:r>
          </w:p>
          <w:p w14:paraId="0AB216AF">
            <w:pPr>
              <w:keepNext w:val="0"/>
              <w:keepLines w:val="0"/>
              <w:pageBreakBefore w:val="0"/>
              <w:widowControl/>
              <w:numPr>
                <w:ilvl w:val="0"/>
                <w:numId w:val="0"/>
              </w:numPr>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12.亮度调节：256级手动/自动</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3499">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8B777">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920E">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70,000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6DF7">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70,000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C5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04C7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D02F">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16</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2B6D">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基层公共就业服务功能立体展架</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879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1、材质：金属，表面喷漆处理，防水、防腐、耐磨；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2、展示要求：清晰显示基层公共就业服务站点的主要服务项目、服务内容、岗位职责、功能等，设计美观、主题突出；</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3、规格：展示区域不低于1800*800mm，适宜展示功能信息；</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4、标识：展架体须印制人社部门就业公共服务标识、“和田就业”和中国新疆人才网标识及二维码。</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5DCF">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0981">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28</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A3A0">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190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0F53">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5,320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5D6C">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43E8A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5E58">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17</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15CA">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政策旋转展架台</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103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1.材质：PE塑料，表面喷涂处理，防水、防锈、防腐、耐磨；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2.结构：旋转式结构，稳重耐用，外形美观；</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3.尺寸：适宜放置A4规格资料，展架整体高度不低于385mm；</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4. 标识：展架体须印制人社部门就业公共服务标识、“和田就业”和中国新疆人才网标识及二维码；</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5. 展架类别可参考桌面旋转文件夹，具备良好的展示效果和稳定性。</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6.内容：每套不少于30页，涵盖就业失业登记、就业补贴申领、求职招聘服务、创业扶持、就业援助等高频事项的政策依据、办理条件、流程步骤、所需材料、办理时限、咨询电话等核心信息；（根据甲方需求印制）</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7.印制标准：字迹清晰、色彩规范、材质耐用，统一安放于旋转展架台内</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8C9B">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个</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382C">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28</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21B7">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220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BEAB">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6,160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C62A">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092A4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1936">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18</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9744">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统一标识、标牌及上墙制度、流程等设计制作</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6AD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基层公共就业服务网点配备全国统一的就业公共服务标识，根据所在行政区域或功能特点规范配备“XXXX就业服务站(就业驿站)”。服务场所内张贴服务网点简介、张贴或悬挂服务事项清单，各功能区域规范服务标识、标语和服务指引。包括不限于：</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全国统一就业服务标识1块（包含全国统一就业服务标识LOGO及就业服务站点名称）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“XX就业服务站”招牌1块（50字以下，根据网点设计制作就业服务站招牌。内容包含网点名称等信息）</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服务事项清单上墙（1000字以下）</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业务流程上墙（1000字以下）</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咨询电话公示（不超30字，根据网点设计制作咨询电话公示牌。内容包含联系方式等信息。）</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体现中华文化标识</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覆盖所有网点443个</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4E6C">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项</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F77C">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7AA0">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115,000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089C">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115,000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A9CE">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04E07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6D84">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19</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39DF">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服务网点特色文化墙设计制作</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CB8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体现全国统一公共就业服务LOGO、新疆人社服务标识。根据网点等级与特色打造品牌展示区，全面展示品牌建设成效；打造具有网点特色的服务文化墙，展示服务理念、团队风采，营造专业化、人性化的服务氛围。</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一级网点 1个；≥15㎡；含品牌展示区、服务成效展示、团队风采</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二级网点 10个；≥10㎡/个；含服务理念、服务流程、特色亮点</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三级网点 17个；≥8㎡/个；含服务内容、岗位职责、政策宣传</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文化墙制作为定制化；含设计、制作、运输、安装全部费用</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质保期不少于1年</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每面文化墙须提供设计方案及效果图，经确认后实施</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2AEB">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项</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6A90">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CF13">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235,000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1D28">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235,000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0C1B">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7D56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9F69">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1EED">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网点工作人员业务经办能力普及培训与提升培训服务</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3D6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培训方式需结合岗前集中培训，线上+线下结合等方式，利用“新疆智慧人社”APP等开展集中学习。保障每个服务网点工作人员熟悉操作系统，办理相关业务及服务。辅导优秀网点工作人员考取职业指导师证书。</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培训对象及人数：</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县级骨干培训：各乡镇/街道经办机构负责人，不少于17人，集中授课+跟岗实训</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乡级经办培训;各乡镇/街道就业和社会保障经办人员不少于50人,集中授课+实操演练</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村级联络员培训,各村/社区就业服务联络员不少于415人,分片集中授课</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培训内容包含不限于：</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政策解读、就业创业扶持政策、社保补贴政策、培训补贴政策，不少于4个课时；</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 xml:space="preserve">业务经办、就失业登记、补贴申请、信息录入等全流程操作，不少于4个课时； </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系统操作、自治区人社一体化信息系统、“中国新疆人才网”操作实务不少于3个课时，需要上机实操；</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服务规范、服务礼仪、沟通技巧、重点群体帮扶方法不少于2个课时。</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培训覆盖率需达到100%（所有网点至少1人参训）</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参训人员考核合格率≥95%</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培训后各网点工作人员能独立完成系统登录、信息录入、业务初审</w:t>
            </w:r>
            <w:r>
              <w:rPr>
                <w:rFonts w:hint="eastAsia" w:ascii="等线" w:hAnsi="等线" w:eastAsia="等线" w:cs="等线"/>
                <w:i w:val="0"/>
                <w:iCs w:val="0"/>
                <w:color w:val="000000"/>
                <w:kern w:val="0"/>
                <w:sz w:val="18"/>
                <w:szCs w:val="18"/>
                <w:highlight w:val="none"/>
                <w:u w:val="none"/>
                <w:lang w:val="en-US" w:eastAsia="zh-CN" w:bidi="ar"/>
              </w:rPr>
              <w:br w:type="textWrapping"/>
            </w:r>
            <w:r>
              <w:rPr>
                <w:rFonts w:hint="eastAsia" w:ascii="等线" w:hAnsi="等线" w:eastAsia="等线" w:cs="等线"/>
                <w:i w:val="0"/>
                <w:iCs w:val="0"/>
                <w:color w:val="000000"/>
                <w:kern w:val="0"/>
                <w:sz w:val="18"/>
                <w:szCs w:val="18"/>
                <w:highlight w:val="none"/>
                <w:u w:val="none"/>
                <w:lang w:val="en-US" w:eastAsia="zh-CN" w:bidi="ar"/>
              </w:rPr>
              <w:t>选拔培养业务骨干参加职业指导师考证</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0B1B">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项</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1327">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EFFE">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141,470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901A">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141,470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D847">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48397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FC97">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21</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4CDD">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运营服务</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072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投标人须为本项目组建专业的运营服务团队，团队配置要求如下：</w:t>
            </w:r>
          </w:p>
          <w:p w14:paraId="33DF395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搭建专业就业创业专家团队、各项设备安装调试、网点信息化建设服务、网点试运营指导帮带、网点活动策划运营指导及项目保障与后期跟踪服务等。如下：</w:t>
            </w:r>
          </w:p>
          <w:p w14:paraId="7C31BE8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团队中需至少有3人持有专业资格证书或职业技能证书（包括不限于创业指导师、职业指导师、人力资源管理师、培训师等）</w:t>
            </w:r>
          </w:p>
          <w:p w14:paraId="375766D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提供巡回指导服务：专家团队每月开展巡回指导服务</w:t>
            </w:r>
          </w:p>
          <w:p w14:paraId="749E5EC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线上支持：建立微信工作群，专家在线提供政策咨询、业务指导、问题解答</w:t>
            </w:r>
          </w:p>
          <w:p w14:paraId="314A5FF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定期会诊：每月组织1次线上工作会诊会，集中解决基层疑难问题。</w:t>
            </w:r>
          </w:p>
          <w:p w14:paraId="00FB422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auto"/>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保障网点运营常态化：各级网点持续稳定提供服务</w:t>
            </w:r>
          </w:p>
          <w:p w14:paraId="7369FF5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auto"/>
                <w:kern w:val="0"/>
                <w:sz w:val="18"/>
                <w:szCs w:val="18"/>
                <w:highlight w:val="none"/>
                <w:u w:val="none"/>
                <w:lang w:val="en-US" w:eastAsia="zh-CN" w:bidi="ar"/>
              </w:rPr>
              <w:t>达到服务标准化：统一服务制度、服务流程、服务标准</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CD30">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项</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2854">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787A">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381,000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E9FB">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381,000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E7C3">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62097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335A">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22</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B14D">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零工短平快技能培训服务</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452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通过岗前集中培训方式，依托一级网点辖区基层就业服务网点开展短周期实操教学，灵活开展家政、季节性采摘工、修建与嫁接等实操类技能授课，培训人员熟练掌握对应工种实操技能，满足本地零散务工、短期就业岗位用工需要。不少于100人次。</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F62B">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项</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E92E">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EF77">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52,000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C3A7">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52,000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454B">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641AE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jc w:val="center"/>
        </w:trPr>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5308">
            <w:pPr>
              <w:keepNext w:val="0"/>
              <w:keepLines w:val="0"/>
              <w:widowControl/>
              <w:suppressLineNumbers w:val="0"/>
              <w:spacing w:line="240" w:lineRule="auto"/>
              <w:jc w:val="center"/>
              <w:textAlignment w:val="center"/>
              <w:rPr>
                <w:rFonts w:hint="default"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23</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B82B">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劳务经纪人培育服务</w:t>
            </w:r>
          </w:p>
        </w:tc>
        <w:tc>
          <w:tcPr>
            <w:tcW w:w="5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287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通过线下集中授课、实操教学相结合的培育方式，开展劳务经纪人筛选备案、政策法规、岗位摸排、人岗匹配、务工权益维护、供需对接等全流程培育工作；组织经纪人熟练掌握就业服务平台操作，开展劳动力摸排、岗位推送、劳务输出帮扶、务工人员回访调解等基层就业服务工作。培育合格人员纳入墨玉县劳务经纪人信息库。培育后劳务经纪人能独立开展劳动力摸排、岗位推送、供需对接等工作。不少于10人。</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5113">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项</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D175E">
            <w:pPr>
              <w:keepNext w:val="0"/>
              <w:keepLines w:val="0"/>
              <w:widowControl/>
              <w:suppressLineNumbers w:val="0"/>
              <w:spacing w:line="240" w:lineRule="auto"/>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7EC2">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30,000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7004">
            <w:pPr>
              <w:keepNext w:val="0"/>
              <w:keepLines w:val="0"/>
              <w:widowControl/>
              <w:suppressLineNumbers w:val="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30,000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F4D6">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p>
        </w:tc>
      </w:tr>
      <w:tr w14:paraId="6A27B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825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54CD">
            <w:pPr>
              <w:keepNext w:val="0"/>
              <w:keepLines w:val="0"/>
              <w:widowControl/>
              <w:suppressLineNumbers w:val="0"/>
              <w:jc w:val="center"/>
              <w:textAlignment w:val="center"/>
              <w:rPr>
                <w:rFonts w:hint="eastAsia" w:ascii="等线" w:hAnsi="等线" w:eastAsia="等线" w:cs="等线"/>
                <w:i w:val="0"/>
                <w:iCs w:val="0"/>
                <w:color w:val="000000"/>
                <w:kern w:val="0"/>
                <w:sz w:val="18"/>
                <w:szCs w:val="18"/>
                <w:highlight w:val="none"/>
                <w:u w:val="none"/>
                <w:lang w:val="en-US" w:eastAsia="zh-CN" w:bidi="ar"/>
              </w:rPr>
            </w:pPr>
            <w:r>
              <w:rPr>
                <w:rFonts w:hint="eastAsia" w:ascii="等线" w:hAnsi="等线" w:eastAsia="等线" w:cs="等线"/>
                <w:i w:val="0"/>
                <w:iCs w:val="0"/>
                <w:color w:val="000000"/>
                <w:kern w:val="0"/>
                <w:sz w:val="18"/>
                <w:szCs w:val="18"/>
                <w:highlight w:val="none"/>
                <w:u w:val="none"/>
                <w:lang w:val="en-US" w:eastAsia="zh-CN" w:bidi="ar"/>
              </w:rPr>
              <w:t>采购预算（最高限价）合计（元）</w:t>
            </w:r>
          </w:p>
        </w:tc>
        <w:tc>
          <w:tcPr>
            <w:tcW w:w="1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5AF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等线" w:hAnsi="等线" w:eastAsia="等线" w:cs="等线"/>
                <w:i w:val="0"/>
                <w:iCs w:val="0"/>
                <w:color w:val="333333"/>
                <w:kern w:val="0"/>
                <w:sz w:val="18"/>
                <w:szCs w:val="18"/>
                <w:highlight w:val="none"/>
                <w:u w:val="none"/>
                <w:lang w:val="en-US" w:eastAsia="zh-CN" w:bidi="ar"/>
              </w:rPr>
            </w:pPr>
            <w:r>
              <w:rPr>
                <w:rFonts w:hint="eastAsia" w:ascii="等线" w:hAnsi="等线" w:eastAsia="等线" w:cs="等线"/>
                <w:i w:val="0"/>
                <w:iCs w:val="0"/>
                <w:color w:val="333333"/>
                <w:kern w:val="0"/>
                <w:sz w:val="18"/>
                <w:szCs w:val="18"/>
                <w:highlight w:val="none"/>
                <w:u w:val="none"/>
                <w:lang w:val="en-US" w:eastAsia="zh-CN" w:bidi="ar"/>
              </w:rPr>
              <w:t>1600000</w:t>
            </w:r>
          </w:p>
        </w:tc>
      </w:tr>
    </w:tbl>
    <w:p w14:paraId="3E1AB5C1">
      <w:pPr>
        <w:keepNext w:val="0"/>
        <w:keepLines w:val="0"/>
        <w:widowControl/>
        <w:suppressLineNumbers w:val="0"/>
        <w:spacing w:line="360" w:lineRule="auto"/>
        <w:ind w:firstLine="442" w:firstLineChars="200"/>
        <w:jc w:val="left"/>
        <w:rPr>
          <w:rFonts w:hint="eastAsia" w:ascii="仿宋" w:hAnsi="仿宋" w:eastAsia="仿宋"/>
          <w:b/>
          <w:bCs/>
          <w:sz w:val="22"/>
          <w:szCs w:val="22"/>
          <w:highlight w:val="none"/>
        </w:rPr>
      </w:pPr>
      <w:r>
        <w:rPr>
          <w:rFonts w:hint="eastAsia" w:ascii="仿宋" w:hAnsi="仿宋" w:eastAsia="仿宋"/>
          <w:b/>
          <w:bCs/>
          <w:sz w:val="22"/>
          <w:szCs w:val="22"/>
          <w:highlight w:val="none"/>
        </w:rPr>
        <w:t>注：1.采购标的物属于《节能产品政府采购品目清单》中强制性采购产品的（标记★符号的节能产品），投标人须提供国家确定的认证机构出具的、处于有效期之内的节能产品认证证书。</w:t>
      </w:r>
    </w:p>
    <w:p w14:paraId="4937FC5B">
      <w:pPr>
        <w:keepNext w:val="0"/>
        <w:keepLines w:val="0"/>
        <w:widowControl/>
        <w:suppressLineNumbers w:val="0"/>
        <w:spacing w:line="360" w:lineRule="auto"/>
        <w:ind w:firstLine="442" w:firstLineChars="200"/>
        <w:jc w:val="left"/>
        <w:rPr>
          <w:rFonts w:hint="eastAsia" w:ascii="仿宋" w:hAnsi="仿宋" w:eastAsia="仿宋"/>
          <w:b/>
          <w:bCs/>
          <w:sz w:val="22"/>
          <w:szCs w:val="22"/>
          <w:highlight w:val="none"/>
        </w:rPr>
      </w:pPr>
      <w:r>
        <w:rPr>
          <w:rFonts w:hint="eastAsia" w:ascii="仿宋" w:hAnsi="仿宋" w:eastAsia="仿宋"/>
          <w:b/>
          <w:bCs/>
          <w:sz w:val="22"/>
          <w:szCs w:val="22"/>
          <w:highlight w:val="none"/>
        </w:rPr>
        <w:t>2.采购标的物属于《节能产品政府采购品目清单》、《环境标志产品政府采购品目清单》中非强制性采购产品（非标记★符号的节能产品、环境标志产品）的，对得分相同（最低评标价法中价格相同）并能提供国家确定的认证机构出具的、处于有效期之内的节能产品、环境标志产品认证证书的产品采取优先采购。</w:t>
      </w:r>
    </w:p>
    <w:p w14:paraId="38B5EC29">
      <w:pPr>
        <w:keepNext w:val="0"/>
        <w:keepLines w:val="0"/>
        <w:widowControl/>
        <w:suppressLineNumbers w:val="0"/>
        <w:spacing w:line="360" w:lineRule="auto"/>
        <w:ind w:firstLine="442" w:firstLineChars="200"/>
        <w:jc w:val="left"/>
        <w:rPr>
          <w:rFonts w:hint="eastAsia" w:ascii="仿宋" w:hAnsi="仿宋" w:eastAsia="仿宋"/>
          <w:b/>
          <w:bCs/>
          <w:color w:val="FF0000"/>
          <w:sz w:val="22"/>
          <w:szCs w:val="22"/>
          <w:highlight w:val="none"/>
          <w:lang w:val="en-US" w:eastAsia="zh-CN"/>
        </w:rPr>
      </w:pPr>
      <w:r>
        <w:rPr>
          <w:rFonts w:hint="eastAsia" w:ascii="仿宋" w:hAnsi="仿宋" w:eastAsia="仿宋"/>
          <w:b/>
          <w:bCs/>
          <w:color w:val="FF0000"/>
          <w:sz w:val="22"/>
          <w:szCs w:val="22"/>
          <w:highlight w:val="none"/>
          <w:lang w:val="en-US" w:eastAsia="zh-CN"/>
        </w:rPr>
        <w:t>3.★该配置表内货物数量、产品规格等条款不允许负偏离，否则将视为未实质性满足竞争性磋商文件要求，响应无效。</w:t>
      </w:r>
    </w:p>
    <w:p w14:paraId="18E45060">
      <w:pPr>
        <w:keepNext w:val="0"/>
        <w:keepLines w:val="0"/>
        <w:widowControl/>
        <w:suppressLineNumbers w:val="0"/>
        <w:spacing w:line="360" w:lineRule="auto"/>
        <w:ind w:firstLine="442" w:firstLineChars="200"/>
        <w:jc w:val="left"/>
        <w:rPr>
          <w:rFonts w:hint="default" w:ascii="仿宋" w:hAnsi="仿宋" w:eastAsia="仿宋"/>
          <w:b/>
          <w:bCs/>
          <w:color w:val="FF0000"/>
          <w:sz w:val="22"/>
          <w:szCs w:val="22"/>
          <w:highlight w:val="none"/>
          <w:lang w:val="en-US" w:eastAsia="zh-CN"/>
        </w:rPr>
        <w:sectPr>
          <w:pgSz w:w="11906" w:h="16838"/>
          <w:pgMar w:top="1440" w:right="1800" w:bottom="1440" w:left="1800" w:header="851" w:footer="992" w:gutter="0"/>
          <w:pgNumType w:fmt="numberInDash"/>
          <w:cols w:space="0" w:num="1"/>
          <w:rtlGutter w:val="0"/>
          <w:docGrid w:type="lines" w:linePitch="312" w:charSpace="0"/>
        </w:sectPr>
      </w:pPr>
      <w:r>
        <w:rPr>
          <w:rFonts w:hint="eastAsia" w:ascii="仿宋" w:hAnsi="仿宋" w:eastAsia="仿宋"/>
          <w:b/>
          <w:bCs/>
          <w:color w:val="FF0000"/>
          <w:sz w:val="22"/>
          <w:szCs w:val="22"/>
          <w:highlight w:val="none"/>
          <w:lang w:val="en-US" w:eastAsia="zh-CN"/>
        </w:rPr>
        <w:t>4.★</w:t>
      </w:r>
      <w:r>
        <w:rPr>
          <w:rFonts w:hint="default" w:ascii="仿宋" w:hAnsi="仿宋" w:eastAsia="仿宋"/>
          <w:b/>
          <w:bCs/>
          <w:color w:val="FF0000"/>
          <w:sz w:val="22"/>
          <w:szCs w:val="22"/>
          <w:highlight w:val="none"/>
          <w:lang w:val="en-US" w:eastAsia="zh-CN"/>
        </w:rPr>
        <w:t>本项目包括多个单项服务（或设备），供应商投标报价若超过本项目最高限价以及单项服务（或设备）超过最高限价的，其投标报价按无效投标处理。</w:t>
      </w:r>
    </w:p>
    <w:p w14:paraId="7319F84A">
      <w:pPr>
        <w:keepNext w:val="0"/>
        <w:keepLines w:val="0"/>
        <w:widowControl/>
        <w:suppressLineNumbers w:val="0"/>
        <w:spacing w:line="360" w:lineRule="auto"/>
        <w:ind w:firstLine="482" w:firstLineChars="200"/>
        <w:jc w:val="left"/>
        <w:rPr>
          <w:rFonts w:hint="eastAsia" w:ascii="仿宋" w:hAnsi="仿宋" w:eastAsia="仿宋"/>
          <w:b/>
          <w:bCs/>
          <w:sz w:val="24"/>
          <w:szCs w:val="24"/>
          <w:highlight w:val="none"/>
        </w:rPr>
      </w:pPr>
      <w:r>
        <w:rPr>
          <w:rFonts w:hint="eastAsia" w:ascii="黑体" w:hAnsi="黑体" w:eastAsia="黑体" w:cs="黑体"/>
          <w:b/>
          <w:bCs/>
          <w:sz w:val="24"/>
          <w:szCs w:val="24"/>
          <w:highlight w:val="none"/>
          <w:lang w:val="en-US" w:eastAsia="zh-CN"/>
        </w:rPr>
        <w:t>三</w:t>
      </w:r>
      <w:r>
        <w:rPr>
          <w:rFonts w:hint="eastAsia" w:ascii="黑体" w:hAnsi="黑体" w:eastAsia="黑体" w:cs="黑体"/>
          <w:b/>
          <w:bCs/>
          <w:sz w:val="24"/>
          <w:szCs w:val="24"/>
          <w:highlight w:val="none"/>
          <w:lang w:eastAsia="zh-CN"/>
        </w:rPr>
        <w:t>、</w:t>
      </w:r>
      <w:r>
        <w:rPr>
          <w:rFonts w:hint="eastAsia" w:ascii="黑体" w:hAnsi="黑体" w:eastAsia="黑体" w:cs="黑体"/>
          <w:b/>
          <w:bCs/>
          <w:sz w:val="24"/>
          <w:szCs w:val="24"/>
          <w:highlight w:val="none"/>
          <w:lang w:val="en-US" w:eastAsia="zh-CN"/>
        </w:rPr>
        <w:t>技术要求与商务要求</w:t>
      </w:r>
    </w:p>
    <w:p w14:paraId="61BD3928">
      <w:pPr>
        <w:widowControl/>
        <w:spacing w:line="360" w:lineRule="auto"/>
        <w:ind w:firstLine="480" w:firstLineChars="200"/>
        <w:jc w:val="left"/>
        <w:rPr>
          <w:rFonts w:hint="eastAsia" w:ascii="仿宋" w:hAnsi="仿宋" w:eastAsia="仿宋"/>
          <w:sz w:val="24"/>
          <w:szCs w:val="24"/>
          <w:highlight w:val="none"/>
        </w:rPr>
      </w:pPr>
      <w:r>
        <w:rPr>
          <w:rFonts w:hint="eastAsia" w:ascii="仿宋" w:hAnsi="仿宋" w:eastAsia="仿宋"/>
          <w:sz w:val="24"/>
          <w:szCs w:val="24"/>
          <w:highlight w:val="none"/>
          <w:lang w:val="en-US" w:eastAsia="zh-CN"/>
        </w:rPr>
        <w:t>采购标的：</w:t>
      </w:r>
      <w:r>
        <w:rPr>
          <w:rFonts w:hint="eastAsia" w:ascii="仿宋" w:hAnsi="仿宋" w:eastAsia="仿宋"/>
          <w:sz w:val="24"/>
          <w:szCs w:val="24"/>
          <w:highlight w:val="none"/>
          <w:u w:val="single"/>
          <w:lang w:val="en-US" w:eastAsia="zh-CN"/>
        </w:rPr>
        <w:t>墨玉县基层公共就业服务网点建设与运营服务项目（三次）</w:t>
      </w:r>
    </w:p>
    <w:p w14:paraId="6FDB7D37">
      <w:pPr>
        <w:widowControl/>
        <w:numPr>
          <w:ilvl w:val="0"/>
          <w:numId w:val="0"/>
        </w:numPr>
        <w:spacing w:line="360" w:lineRule="auto"/>
        <w:ind w:firstLine="482" w:firstLineChars="200"/>
        <w:jc w:val="left"/>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（一）服务技术要求：</w:t>
      </w:r>
    </w:p>
    <w:p w14:paraId="20561BB8">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1、</w:t>
      </w:r>
      <w:r>
        <w:rPr>
          <w:rFonts w:hint="default" w:ascii="仿宋" w:hAnsi="仿宋" w:eastAsia="仿宋"/>
          <w:b/>
          <w:bCs/>
          <w:sz w:val="24"/>
          <w:szCs w:val="24"/>
          <w:highlight w:val="none"/>
          <w:lang w:val="en-US" w:eastAsia="zh-CN"/>
        </w:rPr>
        <w:t>网点标准化建设服务</w:t>
      </w:r>
    </w:p>
    <w:p w14:paraId="1A854A28">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投标人须负责完成约443个网点的标准化建设工作。具体工作包括：</w:t>
      </w:r>
    </w:p>
    <w:p w14:paraId="748E06C5">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（1）为各网点制作并悬挂“全国就业服务标识”及“XX乡镇/村/社区就业服务站”招牌；</w:t>
      </w:r>
    </w:p>
    <w:p w14:paraId="65208948">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（2）为各网点制作并上墙公示《服务事项清单》《业务流程》《工作人员职责》，设置业务受理指引标识；</w:t>
      </w:r>
    </w:p>
    <w:p w14:paraId="14E0D590">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（3）为各网点嵌入中华文化标识（如“石榴籽”图案、民族团结标语等）；</w:t>
      </w:r>
    </w:p>
    <w:p w14:paraId="79F85B04">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（4）为各网点完成服务场所功能分区设置（业务受理区、自助服务区、洽谈咨询区等），确保符合对应等级场地要求。</w:t>
      </w:r>
    </w:p>
    <w:p w14:paraId="7F408902">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2、</w:t>
      </w:r>
      <w:r>
        <w:rPr>
          <w:rFonts w:hint="default" w:ascii="仿宋" w:hAnsi="仿宋" w:eastAsia="仿宋"/>
          <w:b/>
          <w:bCs/>
          <w:sz w:val="24"/>
          <w:szCs w:val="24"/>
          <w:highlight w:val="none"/>
          <w:lang w:val="en-US" w:eastAsia="zh-CN"/>
        </w:rPr>
        <w:t>信息化建设服务</w:t>
      </w:r>
    </w:p>
    <w:p w14:paraId="1D3820E5">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投标人须负责完成各网点信息化部署工作，具体工作包括：</w:t>
      </w:r>
    </w:p>
    <w:p w14:paraId="08AACC34">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（1）完成各网点接入自治区人社一体化信息系统，为每个网点申请专用账号并确保正常使用；</w:t>
      </w:r>
    </w:p>
    <w:p w14:paraId="58898214">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（2）指导各网点推广使用“中国新疆人才网”“和田就业微信公众号”等平台；</w:t>
      </w:r>
    </w:p>
    <w:p w14:paraId="539644EB">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（3）负责一级、二级网点自助服务终端的配备、安装及调试，确保支持岗位查询、政策检索、自助登记等功能正常运行；</w:t>
      </w:r>
    </w:p>
    <w:p w14:paraId="6064BEF6">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（4）指导各网点使用移动终端开展上门服务、现场信息采集；</w:t>
      </w:r>
    </w:p>
    <w:p w14:paraId="1A73BF46">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（5）指导各网点严格执行数据安全等级保护制度；</w:t>
      </w:r>
    </w:p>
    <w:p w14:paraId="51874C84">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（6）确保求职招聘、补贴申领、职业指导、技能培训等服务事项通过信息系统实现“一网通办”。</w:t>
      </w:r>
    </w:p>
    <w:p w14:paraId="6A77F96E">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3、</w:t>
      </w:r>
      <w:r>
        <w:rPr>
          <w:rFonts w:hint="default" w:ascii="仿宋" w:hAnsi="仿宋" w:eastAsia="仿宋"/>
          <w:b/>
          <w:bCs/>
          <w:sz w:val="24"/>
          <w:szCs w:val="24"/>
          <w:highlight w:val="none"/>
          <w:lang w:val="en-US" w:eastAsia="zh-CN"/>
        </w:rPr>
        <w:t>人员培训服务</w:t>
      </w:r>
    </w:p>
    <w:p w14:paraId="021E2BE4">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color w:val="auto"/>
          <w:sz w:val="24"/>
          <w:szCs w:val="24"/>
          <w:highlight w:val="none"/>
          <w:lang w:val="en-US" w:eastAsia="zh-CN"/>
        </w:rPr>
        <w:t>投标人须</w:t>
      </w:r>
      <w:r>
        <w:rPr>
          <w:rFonts w:hint="eastAsia" w:ascii="仿宋" w:hAnsi="仿宋" w:eastAsia="仿宋"/>
          <w:color w:val="auto"/>
          <w:sz w:val="24"/>
          <w:szCs w:val="24"/>
          <w:highlight w:val="none"/>
          <w:lang w:val="en-US" w:eastAsia="zh-CN"/>
        </w:rPr>
        <w:t>负责</w:t>
      </w:r>
      <w:r>
        <w:rPr>
          <w:rFonts w:hint="default" w:ascii="仿宋" w:hAnsi="仿宋" w:eastAsia="仿宋"/>
          <w:color w:val="auto"/>
          <w:sz w:val="24"/>
          <w:szCs w:val="24"/>
          <w:highlight w:val="none"/>
          <w:lang w:val="en-US" w:eastAsia="zh-CN"/>
        </w:rPr>
        <w:t>完成已建成所有网点专兼职工作人员培</w:t>
      </w:r>
      <w:r>
        <w:rPr>
          <w:rFonts w:hint="default" w:ascii="仿宋" w:hAnsi="仿宋" w:eastAsia="仿宋"/>
          <w:sz w:val="24"/>
          <w:szCs w:val="24"/>
          <w:highlight w:val="none"/>
          <w:lang w:val="en-US" w:eastAsia="zh-CN"/>
        </w:rPr>
        <w:t>训工作</w:t>
      </w:r>
      <w:r>
        <w:rPr>
          <w:rFonts w:hint="eastAsia" w:ascii="仿宋" w:hAnsi="仿宋" w:eastAsia="仿宋"/>
          <w:sz w:val="24"/>
          <w:szCs w:val="24"/>
          <w:highlight w:val="none"/>
          <w:lang w:val="en-US" w:eastAsia="zh-CN"/>
        </w:rPr>
        <w:t>，培训范围覆盖所有建成网点，培训总人次不少于已到岗工作人员总数。</w:t>
      </w:r>
      <w:r>
        <w:rPr>
          <w:rFonts w:hint="default" w:ascii="仿宋" w:hAnsi="仿宋" w:eastAsia="仿宋"/>
          <w:sz w:val="24"/>
          <w:szCs w:val="24"/>
          <w:highlight w:val="none"/>
          <w:lang w:val="en-US" w:eastAsia="zh-CN"/>
        </w:rPr>
        <w:t>培训要求如下：</w:t>
      </w:r>
    </w:p>
    <w:p w14:paraId="1B01FA4F">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培训内容：包括就业创业政策解读（就业创业、社保补贴、培训补贴等）、业务经办流程（就失业登记、补贴申请、信息录入等）、系统操作（自治区人社一体化信息系统、“中国新疆人才网”使用）、服务规范（服务礼仪、沟通技巧、重点群体帮扶方法）、数据安全（保密规定、信息安全意识）；</w:t>
      </w:r>
    </w:p>
    <w:p w14:paraId="55D9BC55">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（2）培训方式：采取岗前集中培训（分片区集中培训）、线上+线下结合（利用“新疆智慧人社”APP等开展线上学习）、以干代训（选派骨干到县级示范点跟岗学习）等多种方式；</w:t>
      </w:r>
    </w:p>
    <w:p w14:paraId="08034A96">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（3）培训目标：通过系统培训，确保所有网点专兼职工作人员熟练掌握政策法规、业务经办流程、系统操作及服务规范，通过考核后具备独立开展公共就业服务的能力</w:t>
      </w:r>
      <w:r>
        <w:rPr>
          <w:rFonts w:hint="default" w:ascii="仿宋" w:hAnsi="仿宋" w:eastAsia="仿宋"/>
          <w:sz w:val="24"/>
          <w:szCs w:val="24"/>
          <w:highlight w:val="none"/>
          <w:lang w:val="en-US" w:eastAsia="zh-CN"/>
        </w:rPr>
        <w:fldChar w:fldCharType="begin"/>
      </w:r>
      <w:r>
        <w:rPr>
          <w:rFonts w:hint="default" w:ascii="仿宋" w:hAnsi="仿宋" w:eastAsia="仿宋"/>
          <w:sz w:val="24"/>
          <w:szCs w:val="24"/>
          <w:highlight w:val="none"/>
          <w:lang w:val="en-US" w:eastAsia="zh-CN"/>
        </w:rPr>
        <w:instrText xml:space="preserve"> HYPERLINK "https://chinajob.mohrss.gov.cn/c/2025-07-07/442677.shtml" \t "https://chat.deepseek.com/a/chat/s/_blank" </w:instrText>
      </w:r>
      <w:r>
        <w:rPr>
          <w:rFonts w:hint="default" w:ascii="仿宋" w:hAnsi="仿宋" w:eastAsia="仿宋"/>
          <w:sz w:val="24"/>
          <w:szCs w:val="24"/>
          <w:highlight w:val="none"/>
          <w:lang w:val="en-US" w:eastAsia="zh-CN"/>
        </w:rPr>
        <w:fldChar w:fldCharType="separate"/>
      </w:r>
      <w:r>
        <w:rPr>
          <w:rFonts w:hint="default" w:ascii="仿宋" w:hAnsi="仿宋" w:eastAsia="仿宋"/>
          <w:sz w:val="24"/>
          <w:szCs w:val="24"/>
          <w:highlight w:val="none"/>
          <w:lang w:val="en-US" w:eastAsia="zh-CN"/>
        </w:rPr>
        <w:fldChar w:fldCharType="end"/>
      </w:r>
      <w:r>
        <w:rPr>
          <w:rFonts w:hint="default" w:ascii="仿宋" w:hAnsi="仿宋" w:eastAsia="仿宋"/>
          <w:sz w:val="24"/>
          <w:szCs w:val="24"/>
          <w:highlight w:val="none"/>
          <w:lang w:val="en-US" w:eastAsia="zh-CN"/>
        </w:rPr>
        <w:t>；</w:t>
      </w:r>
    </w:p>
    <w:p w14:paraId="51641D69">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4、</w:t>
      </w:r>
      <w:r>
        <w:rPr>
          <w:rFonts w:hint="default" w:ascii="仿宋" w:hAnsi="仿宋" w:eastAsia="仿宋"/>
          <w:b/>
          <w:bCs/>
          <w:sz w:val="24"/>
          <w:szCs w:val="24"/>
          <w:highlight w:val="none"/>
          <w:lang w:val="en-US" w:eastAsia="zh-CN"/>
        </w:rPr>
        <w:t>“大数据+铁脚板”融合服务</w:t>
      </w:r>
    </w:p>
    <w:p w14:paraId="32860C2D">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投标人须指导并协助各网点开展以下工作</w:t>
      </w:r>
      <w:r>
        <w:rPr>
          <w:rFonts w:hint="default" w:ascii="仿宋" w:hAnsi="仿宋" w:eastAsia="仿宋"/>
          <w:sz w:val="24"/>
          <w:szCs w:val="24"/>
          <w:highlight w:val="none"/>
          <w:lang w:val="en-US" w:eastAsia="zh-CN"/>
        </w:rPr>
        <w:fldChar w:fldCharType="begin"/>
      </w:r>
      <w:r>
        <w:rPr>
          <w:rFonts w:hint="default" w:ascii="仿宋" w:hAnsi="仿宋" w:eastAsia="仿宋"/>
          <w:sz w:val="24"/>
          <w:szCs w:val="24"/>
          <w:highlight w:val="none"/>
          <w:lang w:val="en-US" w:eastAsia="zh-CN"/>
        </w:rPr>
        <w:instrText xml:space="preserve"> HYPERLINK "https://chinajob.mohrss.gov.cn/c/2025-07-07/442677.shtml" \t "https://chat.deepseek.com/a/chat/s/_blank" </w:instrText>
      </w:r>
      <w:r>
        <w:rPr>
          <w:rFonts w:hint="default" w:ascii="仿宋" w:hAnsi="仿宋" w:eastAsia="仿宋"/>
          <w:sz w:val="24"/>
          <w:szCs w:val="24"/>
          <w:highlight w:val="none"/>
          <w:lang w:val="en-US" w:eastAsia="zh-CN"/>
        </w:rPr>
        <w:fldChar w:fldCharType="separate"/>
      </w:r>
      <w:r>
        <w:rPr>
          <w:rFonts w:hint="default" w:ascii="仿宋" w:hAnsi="仿宋" w:eastAsia="仿宋"/>
          <w:sz w:val="24"/>
          <w:szCs w:val="24"/>
          <w:highlight w:val="none"/>
          <w:lang w:val="en-US" w:eastAsia="zh-CN"/>
        </w:rPr>
        <w:fldChar w:fldCharType="end"/>
      </w:r>
      <w:r>
        <w:rPr>
          <w:rFonts w:hint="default" w:ascii="仿宋" w:hAnsi="仿宋" w:eastAsia="仿宋"/>
          <w:sz w:val="24"/>
          <w:szCs w:val="24"/>
          <w:highlight w:val="none"/>
          <w:lang w:val="en-US" w:eastAsia="zh-CN"/>
        </w:rPr>
        <w:fldChar w:fldCharType="begin"/>
      </w:r>
      <w:r>
        <w:rPr>
          <w:rFonts w:hint="default" w:ascii="仿宋" w:hAnsi="仿宋" w:eastAsia="仿宋"/>
          <w:sz w:val="24"/>
          <w:szCs w:val="24"/>
          <w:highlight w:val="none"/>
          <w:lang w:val="en-US" w:eastAsia="zh-CN"/>
        </w:rPr>
        <w:instrText xml:space="preserve"> HYPERLINK "http://wwwwwww.altxw.com/yw/202512/t20251217_32084838.html" \t "https://chat.deepseek.com/a/chat/s/_blank" </w:instrText>
      </w:r>
      <w:r>
        <w:rPr>
          <w:rFonts w:hint="default" w:ascii="仿宋" w:hAnsi="仿宋" w:eastAsia="仿宋"/>
          <w:sz w:val="24"/>
          <w:szCs w:val="24"/>
          <w:highlight w:val="none"/>
          <w:lang w:val="en-US" w:eastAsia="zh-CN"/>
        </w:rPr>
        <w:fldChar w:fldCharType="separate"/>
      </w:r>
      <w:r>
        <w:rPr>
          <w:rFonts w:hint="default" w:ascii="仿宋" w:hAnsi="仿宋" w:eastAsia="仿宋"/>
          <w:sz w:val="24"/>
          <w:szCs w:val="24"/>
          <w:highlight w:val="none"/>
          <w:lang w:val="en-US" w:eastAsia="zh-CN"/>
        </w:rPr>
        <w:fldChar w:fldCharType="end"/>
      </w:r>
      <w:r>
        <w:rPr>
          <w:rFonts w:hint="default" w:ascii="仿宋" w:hAnsi="仿宋" w:eastAsia="仿宋"/>
          <w:sz w:val="24"/>
          <w:szCs w:val="24"/>
          <w:highlight w:val="none"/>
          <w:lang w:val="en-US" w:eastAsia="zh-CN"/>
        </w:rPr>
        <w:t>：</w:t>
      </w:r>
    </w:p>
    <w:p w14:paraId="6E7FDB0C">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铁脚板”服务：指导村（社区）专员每季度至少全面摸排一次辖区内劳动力资源、重点群体状况，更新实名制台账；每月走访一次辖区内有用工需求的单位；对就业困难人员每月至少上门或电话联系一次，了解就业状态；</w:t>
      </w:r>
    </w:p>
    <w:p w14:paraId="19920C06">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（2）“大数据”服务：指导各网点利用系统数据主动筛选符合补贴条件但未申请的人员，开展“政策找人”；通过数据分析精准推送岗位信息、培训信息；建立重点群体服务画像，实现精准帮扶。</w:t>
      </w:r>
    </w:p>
    <w:p w14:paraId="107D47A8">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5、</w:t>
      </w:r>
      <w:r>
        <w:rPr>
          <w:rFonts w:hint="default" w:ascii="仿宋" w:hAnsi="仿宋" w:eastAsia="仿宋"/>
          <w:b/>
          <w:bCs/>
          <w:sz w:val="24"/>
          <w:szCs w:val="24"/>
          <w:highlight w:val="none"/>
          <w:lang w:val="en-US" w:eastAsia="zh-CN"/>
        </w:rPr>
        <w:t>常态化服务活动组织</w:t>
      </w:r>
      <w:r>
        <w:rPr>
          <w:rFonts w:hint="eastAsia" w:ascii="仿宋" w:hAnsi="仿宋" w:eastAsia="仿宋"/>
          <w:b/>
          <w:bCs/>
          <w:sz w:val="24"/>
          <w:szCs w:val="24"/>
          <w:highlight w:val="none"/>
          <w:lang w:val="en-US" w:eastAsia="zh-CN"/>
        </w:rPr>
        <w:t>与考核衔接</w:t>
      </w:r>
    </w:p>
    <w:p w14:paraId="448BE2AB">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投标人须指导各网点按以下要求组织开展常态化服务活动：</w:t>
      </w:r>
    </w:p>
    <w:p w14:paraId="7098558E">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（1）为各等级网点分别制定2027年度常态化服务活动计划，明确活动主题、时间安排、责任分工；</w:t>
      </w:r>
    </w:p>
    <w:p w14:paraId="785A9DD7">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（2）投标人负责建立专场招聘会、政策宣讲会、直播带岗、职业指导沙龙等各类活动的标准化组织方案（含流程、物料清单、话术模板、评估表）；</w:t>
      </w:r>
    </w:p>
    <w:p w14:paraId="50ED8E47">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（3）在服务期内至少组织1场示范性活动，以“投标人主办+网点人员跟学”模式运行，确保网点人员掌握活动组织方法；</w:t>
      </w:r>
    </w:p>
    <w:p w14:paraId="445D697C">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（4）投标人负责建立统一的活动台账模板（含活动方案、签到表、照片、成效统计、总结报告），指导各网点规范记录；</w:t>
      </w:r>
    </w:p>
    <w:p w14:paraId="512747A3">
      <w:pPr>
        <w:spacing w:line="360" w:lineRule="auto"/>
        <w:ind w:firstLine="482" w:firstLineChars="200"/>
        <w:rPr>
          <w:rFonts w:hint="default" w:ascii="仿宋" w:hAnsi="仿宋" w:eastAsia="仿宋"/>
          <w:sz w:val="24"/>
          <w:szCs w:val="24"/>
          <w:highlight w:val="none"/>
          <w:lang w:val="en-US" w:eastAsia="zh-CN"/>
        </w:rPr>
      </w:pPr>
      <w:r>
        <w:rPr>
          <w:rFonts w:hint="default" w:ascii="仿宋" w:hAnsi="仿宋" w:eastAsia="仿宋"/>
          <w:b/>
          <w:bCs/>
          <w:sz w:val="24"/>
          <w:szCs w:val="24"/>
          <w:highlight w:val="none"/>
          <w:lang w:val="en-US" w:eastAsia="zh-CN"/>
        </w:rPr>
        <w:t>服务期满后，各网点须按以下标准持续开展常态化服务活动：</w:t>
      </w:r>
    </w:p>
    <w:tbl>
      <w:tblPr>
        <w:tblStyle w:val="31"/>
        <w:tblW w:w="9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32"/>
        <w:gridCol w:w="8385"/>
      </w:tblGrid>
      <w:tr w14:paraId="250B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332" w:type="dxa"/>
            <w:shd w:val="clear" w:color="auto" w:fill="auto"/>
            <w:tcMar>
              <w:top w:w="150" w:type="dxa"/>
              <w:left w:w="0" w:type="dxa"/>
              <w:bottom w:w="150" w:type="dxa"/>
              <w:right w:w="240" w:type="dxa"/>
            </w:tcMar>
            <w:vAlign w:val="center"/>
          </w:tcPr>
          <w:p w14:paraId="4E4608B6">
            <w:pPr>
              <w:spacing w:line="240" w:lineRule="auto"/>
              <w:jc w:val="center"/>
              <w:rPr>
                <w:rFonts w:hint="eastAsia" w:ascii="仿宋" w:hAnsi="仿宋" w:eastAsia="仿宋"/>
                <w:sz w:val="24"/>
                <w:szCs w:val="24"/>
                <w:highlight w:val="none"/>
                <w:lang w:val="en-US" w:eastAsia="zh-CN"/>
              </w:rPr>
            </w:pPr>
            <w:r>
              <w:rPr>
                <w:rFonts w:hint="default" w:ascii="仿宋" w:hAnsi="仿宋" w:eastAsia="仿宋"/>
                <w:sz w:val="24"/>
                <w:szCs w:val="24"/>
                <w:highlight w:val="none"/>
                <w:lang w:val="en-US" w:eastAsia="zh-CN"/>
              </w:rPr>
              <w:t>网点等级</w:t>
            </w:r>
          </w:p>
        </w:tc>
        <w:tc>
          <w:tcPr>
            <w:tcW w:w="8385" w:type="dxa"/>
            <w:shd w:val="clear" w:color="auto" w:fill="auto"/>
            <w:tcMar>
              <w:top w:w="150" w:type="dxa"/>
              <w:left w:w="240" w:type="dxa"/>
              <w:bottom w:w="150" w:type="dxa"/>
              <w:right w:w="240" w:type="dxa"/>
            </w:tcMar>
            <w:vAlign w:val="center"/>
          </w:tcPr>
          <w:p w14:paraId="5ED6A964">
            <w:pPr>
              <w:spacing w:line="240" w:lineRule="auto"/>
              <w:jc w:val="center"/>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活动要求</w:t>
            </w:r>
          </w:p>
        </w:tc>
      </w:tr>
      <w:tr w14:paraId="2663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32" w:type="dxa"/>
            <w:shd w:val="clear" w:color="auto" w:fill="auto"/>
            <w:tcMar>
              <w:top w:w="150" w:type="dxa"/>
              <w:left w:w="0" w:type="dxa"/>
              <w:bottom w:w="150" w:type="dxa"/>
              <w:right w:w="240" w:type="dxa"/>
            </w:tcMar>
            <w:vAlign w:val="center"/>
          </w:tcPr>
          <w:p w14:paraId="28524C8C">
            <w:pPr>
              <w:spacing w:line="240" w:lineRule="auto"/>
              <w:jc w:val="center"/>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一级</w:t>
            </w:r>
          </w:p>
        </w:tc>
        <w:tc>
          <w:tcPr>
            <w:tcW w:w="8385" w:type="dxa"/>
            <w:shd w:val="clear" w:color="auto" w:fill="auto"/>
            <w:tcMar>
              <w:top w:w="150" w:type="dxa"/>
              <w:left w:w="240" w:type="dxa"/>
              <w:bottom w:w="150" w:type="dxa"/>
              <w:right w:w="0" w:type="dxa"/>
            </w:tcMar>
            <w:vAlign w:val="center"/>
          </w:tcPr>
          <w:p w14:paraId="1A3139AE">
            <w:pPr>
              <w:spacing w:line="240" w:lineRule="auto"/>
              <w:jc w:val="both"/>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每月1次“一对一”职业指导或创业沙龙；每月1次直播带岗；每年至少4场专场招聘会</w:t>
            </w:r>
          </w:p>
        </w:tc>
      </w:tr>
      <w:tr w14:paraId="30C9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32" w:type="dxa"/>
            <w:shd w:val="clear" w:color="auto" w:fill="auto"/>
            <w:tcMar>
              <w:top w:w="150" w:type="dxa"/>
              <w:left w:w="0" w:type="dxa"/>
              <w:bottom w:w="150" w:type="dxa"/>
              <w:right w:w="240" w:type="dxa"/>
            </w:tcMar>
            <w:vAlign w:val="center"/>
          </w:tcPr>
          <w:p w14:paraId="0570FA6E">
            <w:pPr>
              <w:spacing w:line="240" w:lineRule="auto"/>
              <w:jc w:val="center"/>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二级</w:t>
            </w:r>
          </w:p>
        </w:tc>
        <w:tc>
          <w:tcPr>
            <w:tcW w:w="8385" w:type="dxa"/>
            <w:shd w:val="clear" w:color="auto" w:fill="auto"/>
            <w:tcMar>
              <w:top w:w="150" w:type="dxa"/>
              <w:left w:w="240" w:type="dxa"/>
              <w:bottom w:w="150" w:type="dxa"/>
              <w:right w:w="0" w:type="dxa"/>
            </w:tcMar>
            <w:vAlign w:val="center"/>
          </w:tcPr>
          <w:p w14:paraId="546AE9E3">
            <w:pPr>
              <w:spacing w:line="240" w:lineRule="auto"/>
              <w:jc w:val="both"/>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每季度至少1场“小而美”专场招聘会（如“春风行动”“零工市场早市”）</w:t>
            </w:r>
          </w:p>
        </w:tc>
      </w:tr>
      <w:tr w14:paraId="2F10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332" w:type="dxa"/>
            <w:shd w:val="clear" w:color="auto" w:fill="auto"/>
            <w:tcMar>
              <w:top w:w="150" w:type="dxa"/>
              <w:left w:w="0" w:type="dxa"/>
              <w:bottom w:w="150" w:type="dxa"/>
              <w:right w:w="240" w:type="dxa"/>
            </w:tcMar>
            <w:vAlign w:val="center"/>
          </w:tcPr>
          <w:p w14:paraId="0EC69B01">
            <w:pPr>
              <w:spacing w:line="240" w:lineRule="auto"/>
              <w:jc w:val="center"/>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三级</w:t>
            </w:r>
          </w:p>
        </w:tc>
        <w:tc>
          <w:tcPr>
            <w:tcW w:w="8385" w:type="dxa"/>
            <w:shd w:val="clear" w:color="auto" w:fill="auto"/>
            <w:tcMar>
              <w:top w:w="150" w:type="dxa"/>
              <w:left w:w="240" w:type="dxa"/>
              <w:bottom w:w="150" w:type="dxa"/>
              <w:right w:w="0" w:type="dxa"/>
            </w:tcMar>
            <w:vAlign w:val="center"/>
          </w:tcPr>
          <w:p w14:paraId="446D5001">
            <w:pPr>
              <w:spacing w:line="240" w:lineRule="auto"/>
              <w:jc w:val="both"/>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每半年至少1场政策宣讲或小型对接活动</w:t>
            </w:r>
          </w:p>
        </w:tc>
      </w:tr>
      <w:tr w14:paraId="62DE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32" w:type="dxa"/>
            <w:shd w:val="clear" w:color="auto" w:fill="auto"/>
            <w:tcMar>
              <w:top w:w="150" w:type="dxa"/>
              <w:left w:w="0" w:type="dxa"/>
              <w:bottom w:w="150" w:type="dxa"/>
              <w:right w:w="240" w:type="dxa"/>
            </w:tcMar>
            <w:vAlign w:val="center"/>
          </w:tcPr>
          <w:p w14:paraId="3518EA50">
            <w:pPr>
              <w:spacing w:line="240" w:lineRule="auto"/>
              <w:jc w:val="center"/>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四级</w:t>
            </w:r>
          </w:p>
        </w:tc>
        <w:tc>
          <w:tcPr>
            <w:tcW w:w="8385" w:type="dxa"/>
            <w:shd w:val="clear" w:color="auto" w:fill="auto"/>
            <w:tcMar>
              <w:top w:w="150" w:type="dxa"/>
              <w:left w:w="240" w:type="dxa"/>
              <w:bottom w:w="150" w:type="dxa"/>
              <w:right w:w="0" w:type="dxa"/>
            </w:tcMar>
            <w:vAlign w:val="center"/>
          </w:tcPr>
          <w:p w14:paraId="1BC68DF5">
            <w:pPr>
              <w:spacing w:line="240" w:lineRule="auto"/>
              <w:jc w:val="both"/>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每月通过微信群、公告栏推送岗位和政策信息</w:t>
            </w:r>
          </w:p>
        </w:tc>
      </w:tr>
    </w:tbl>
    <w:p w14:paraId="3A7ECBD6">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6、</w:t>
      </w:r>
      <w:r>
        <w:rPr>
          <w:rFonts w:hint="default" w:ascii="仿宋" w:hAnsi="仿宋" w:eastAsia="仿宋"/>
          <w:b/>
          <w:bCs/>
          <w:sz w:val="24"/>
          <w:szCs w:val="24"/>
          <w:highlight w:val="none"/>
          <w:lang w:val="en-US" w:eastAsia="zh-CN"/>
        </w:rPr>
        <w:t>重点群体“131”帮扶服务</w:t>
      </w:r>
    </w:p>
    <w:p w14:paraId="772F9E7C">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投标人须指导各网点对就业困难人员、零就业家庭成员、脱贫人口等重点群体提供以下帮扶：</w:t>
      </w:r>
    </w:p>
    <w:p w14:paraId="2608E8DA">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（1）1次职业指导：分析就业意愿、技能短板，制定个性化帮扶方案；</w:t>
      </w:r>
    </w:p>
    <w:p w14:paraId="21E351F4">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（2）3次岗位推荐：根据个人情况和意愿，推荐不少于3个适合岗位；</w:t>
      </w:r>
    </w:p>
    <w:p w14:paraId="78D0C297">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（3）1次培训机会：根据技能短板，推荐至少1次职业技能培训；</w:t>
      </w:r>
    </w:p>
    <w:p w14:paraId="0BAF05D1">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（4）所有帮扶过程须建立“一人一档”，全程留痕，定期跟踪。</w:t>
      </w:r>
    </w:p>
    <w:p w14:paraId="4E1B2720">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7、</w:t>
      </w:r>
      <w:r>
        <w:rPr>
          <w:rFonts w:hint="default" w:ascii="仿宋" w:hAnsi="仿宋" w:eastAsia="仿宋"/>
          <w:b/>
          <w:bCs/>
          <w:sz w:val="24"/>
          <w:szCs w:val="24"/>
          <w:highlight w:val="none"/>
          <w:lang w:val="en-US" w:eastAsia="zh-CN"/>
        </w:rPr>
        <w:t>数据管理与报送服务</w:t>
      </w:r>
    </w:p>
    <w:p w14:paraId="2B36F93E">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投标人须指导各网点建立并维护以下服务台账：</w:t>
      </w:r>
    </w:p>
    <w:p w14:paraId="5B88492B">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（1）台账种类：政策宣传台账、岗位推荐台账、重点群体帮扶台账、业务受理台账等；</w:t>
      </w:r>
    </w:p>
    <w:p w14:paraId="027E5845">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（2）数据报送：指导各网点每月5日前将上月业务办理数据、服务需求信息报送至县级人社部门；</w:t>
      </w:r>
    </w:p>
    <w:p w14:paraId="0B6E2CD5">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（3）运营月报：协助县级示范点每月20日前编制《墨玉县基层就业服务网点运营月报》，报送县人社局；</w:t>
      </w:r>
    </w:p>
    <w:p w14:paraId="4653AAF8">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（4）数据质量：确保首轮摸排数据完整率≥95%，数据录入及时、准确完整。</w:t>
      </w:r>
    </w:p>
    <w:p w14:paraId="2475FECF">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8、</w:t>
      </w:r>
      <w:r>
        <w:rPr>
          <w:rFonts w:hint="default" w:ascii="仿宋" w:hAnsi="仿宋" w:eastAsia="仿宋"/>
          <w:b/>
          <w:bCs/>
          <w:sz w:val="24"/>
          <w:szCs w:val="24"/>
          <w:highlight w:val="none"/>
          <w:lang w:val="en-US" w:eastAsia="zh-CN"/>
        </w:rPr>
        <w:t>运营筹备与帮带服务</w:t>
      </w:r>
    </w:p>
    <w:p w14:paraId="6D7D54CC">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投标人须完成以下工作：</w:t>
      </w:r>
    </w:p>
    <w:p w14:paraId="05F5BDF0">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（1）完成所有建成网点的运营前筹备工作，确保各网点具备正常开展服务的基本条件；</w:t>
      </w:r>
    </w:p>
    <w:p w14:paraId="6B349198">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（2）完成首轮辖区内劳动力资源、重点群体状况及用人单位用工需求摸排；</w:t>
      </w:r>
    </w:p>
    <w:p w14:paraId="77DB658D">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（3）通过“以干代训”等方式，选派骨干到重点网点开展帮带运营，确保各网点工作人员能够独立操作业务系统、办理常规业务；</w:t>
      </w:r>
    </w:p>
    <w:p w14:paraId="5B05D24B">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（4）确保已建成网点投用后可独立承接公共就业服务。</w:t>
      </w:r>
    </w:p>
    <w:p w14:paraId="0388C5ED">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9、</w:t>
      </w:r>
      <w:r>
        <w:rPr>
          <w:rFonts w:hint="default" w:ascii="仿宋" w:hAnsi="仿宋" w:eastAsia="仿宋"/>
          <w:b/>
          <w:bCs/>
          <w:sz w:val="24"/>
          <w:szCs w:val="24"/>
          <w:highlight w:val="none"/>
          <w:lang w:val="en-US" w:eastAsia="zh-CN"/>
        </w:rPr>
        <w:t>服务团队要求</w:t>
      </w:r>
    </w:p>
    <w:p w14:paraId="2DA0C75B">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投标人须为本项目组建专业的运营服务团队，团队配置要求如下：</w:t>
      </w:r>
    </w:p>
    <w:p w14:paraId="6C64835F">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搭建专业就业创业专家团队、各项设备安装调试、网点信息化建设服务、网点试运营指导帮带、网点活动策划运营指导及项目保障与后期跟踪服务等。如下：</w:t>
      </w:r>
    </w:p>
    <w:p w14:paraId="02234533">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团队中需至少有3人持有专业资格证书或职业技能证书（包括不限于创业指导师、职业指导师、人力资源管理师、培训师等）</w:t>
      </w:r>
    </w:p>
    <w:p w14:paraId="41F113E5">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提供巡回指导服务：专家团队每月开展巡回指导服务</w:t>
      </w:r>
    </w:p>
    <w:p w14:paraId="5C084FD3">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线上支持：建立微信工作群，专家在线提供政策咨询、业务指导、问题解答</w:t>
      </w:r>
    </w:p>
    <w:p w14:paraId="3F0375FA">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定期会诊：每月组织1次线上工作会诊会，集中解决基层疑难问题。</w:t>
      </w:r>
    </w:p>
    <w:p w14:paraId="3E35CF4B">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保障网点运营常态化：各级网点持续稳定提供服务</w:t>
      </w:r>
    </w:p>
    <w:p w14:paraId="502CCA78">
      <w:pPr>
        <w:spacing w:line="360" w:lineRule="auto"/>
        <w:ind w:firstLine="482" w:firstLineChars="200"/>
        <w:rPr>
          <w:rFonts w:hint="eastAsia"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达到服务标准化：统一服务制度、服务流程、服务标准</w:t>
      </w:r>
    </w:p>
    <w:p w14:paraId="5D2B2112">
      <w:pPr>
        <w:spacing w:line="360" w:lineRule="auto"/>
        <w:ind w:firstLine="482" w:firstLineChars="200"/>
        <w:rPr>
          <w:rFonts w:hint="default" w:ascii="仿宋" w:hAnsi="仿宋" w:eastAsia="仿宋"/>
          <w:b/>
          <w:bCs/>
          <w:sz w:val="24"/>
          <w:szCs w:val="24"/>
          <w:highlight w:val="none"/>
          <w:lang w:val="en-US" w:eastAsia="zh-CN"/>
        </w:rPr>
      </w:pPr>
      <w:r>
        <w:rPr>
          <w:rFonts w:hint="eastAsia" w:ascii="仿宋" w:hAnsi="仿宋" w:eastAsia="仿宋"/>
          <w:b/>
          <w:bCs/>
          <w:sz w:val="24"/>
          <w:szCs w:val="24"/>
          <w:highlight w:val="none"/>
          <w:lang w:val="en-US" w:eastAsia="zh-CN"/>
        </w:rPr>
        <w:t>10、</w:t>
      </w:r>
      <w:r>
        <w:rPr>
          <w:rFonts w:hint="default" w:ascii="仿宋" w:hAnsi="仿宋" w:eastAsia="仿宋"/>
          <w:b/>
          <w:bCs/>
          <w:sz w:val="24"/>
          <w:szCs w:val="24"/>
          <w:highlight w:val="none"/>
          <w:lang w:val="en-US" w:eastAsia="zh-CN"/>
        </w:rPr>
        <w:t>质效评估配合</w:t>
      </w:r>
    </w:p>
    <w:p w14:paraId="54F96B9E">
      <w:pPr>
        <w:spacing w:line="360" w:lineRule="auto"/>
        <w:ind w:firstLine="480" w:firstLineChars="200"/>
        <w:rPr>
          <w:rFonts w:hint="default" w:ascii="仿宋" w:hAnsi="仿宋" w:eastAsia="仿宋"/>
          <w:sz w:val="24"/>
          <w:szCs w:val="24"/>
          <w:highlight w:val="none"/>
          <w:lang w:val="en-US" w:eastAsia="zh-CN"/>
        </w:rPr>
      </w:pPr>
      <w:r>
        <w:rPr>
          <w:rFonts w:hint="default" w:ascii="仿宋" w:hAnsi="仿宋" w:eastAsia="仿宋"/>
          <w:sz w:val="24"/>
          <w:szCs w:val="24"/>
          <w:highlight w:val="none"/>
          <w:lang w:val="en-US" w:eastAsia="zh-CN"/>
        </w:rPr>
        <w:t>投标人须配合采购人完成项目验收评估及上级部门考核相关工作。具体要求如下：</w:t>
      </w:r>
    </w:p>
    <w:tbl>
      <w:tblPr>
        <w:tblStyle w:val="31"/>
        <w:tblW w:w="92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3"/>
        <w:gridCol w:w="4395"/>
        <w:gridCol w:w="3041"/>
      </w:tblGrid>
      <w:tr w14:paraId="3E07F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blHeader/>
          <w:jc w:val="center"/>
        </w:trPr>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C33B">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一级指标</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AC9E">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二级指标</w:t>
            </w:r>
          </w:p>
        </w:tc>
        <w:tc>
          <w:tcPr>
            <w:tcW w:w="3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9FFF">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合格标准</w:t>
            </w:r>
          </w:p>
        </w:tc>
      </w:tr>
      <w:tr w14:paraId="01911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477E">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建设与配置</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29DE">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服务场所、服务设施、人员配备、服务标识</w:t>
            </w:r>
          </w:p>
        </w:tc>
        <w:tc>
          <w:tcPr>
            <w:tcW w:w="3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732E">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符合对应等级标准</w:t>
            </w:r>
          </w:p>
        </w:tc>
      </w:tr>
      <w:tr w14:paraId="44845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DADF">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服务供给</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0084A">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政策宣传、岗位推荐、业务经办</w:t>
            </w:r>
          </w:p>
        </w:tc>
        <w:tc>
          <w:tcPr>
            <w:tcW w:w="3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7775">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对应等级功能正常开展</w:t>
            </w:r>
          </w:p>
        </w:tc>
      </w:tr>
      <w:tr w14:paraId="18869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jc w:val="center"/>
        </w:trPr>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5752">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数据质量</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B19D">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数据录入及时、准确完整</w:t>
            </w:r>
          </w:p>
        </w:tc>
        <w:tc>
          <w:tcPr>
            <w:tcW w:w="3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5B2C">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首轮摸排数据完整率≥95%</w:t>
            </w:r>
          </w:p>
        </w:tc>
      </w:tr>
      <w:tr w14:paraId="6756C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75CC">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试运营成效</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B2D2">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系统操作熟练度、服务流程规范性</w:t>
            </w:r>
          </w:p>
        </w:tc>
        <w:tc>
          <w:tcPr>
            <w:tcW w:w="3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CD5C">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实操考核合格</w:t>
            </w:r>
          </w:p>
        </w:tc>
      </w:tr>
      <w:tr w14:paraId="23969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B793">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满意度</w:t>
            </w:r>
          </w:p>
        </w:tc>
        <w:tc>
          <w:tcPr>
            <w:tcW w:w="4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6B95">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服务对象满意度</w:t>
            </w:r>
          </w:p>
        </w:tc>
        <w:tc>
          <w:tcPr>
            <w:tcW w:w="3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3B8B">
            <w:pPr>
              <w:spacing w:line="360" w:lineRule="auto"/>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≥90%</w:t>
            </w:r>
          </w:p>
        </w:tc>
      </w:tr>
    </w:tbl>
    <w:p w14:paraId="297C3781">
      <w:pPr>
        <w:widowControl/>
        <w:spacing w:line="360" w:lineRule="auto"/>
        <w:ind w:firstLine="482" w:firstLineChars="200"/>
        <w:jc w:val="left"/>
        <w:outlineLvl w:val="0"/>
        <w:rPr>
          <w:rFonts w:ascii="仿宋" w:hAnsi="仿宋" w:eastAsia="仿宋" w:cs="宋体"/>
          <w:b/>
          <w:bCs/>
          <w:sz w:val="24"/>
          <w:szCs w:val="24"/>
          <w:highlight w:val="none"/>
        </w:rPr>
      </w:pPr>
      <w:r>
        <w:rPr>
          <w:rFonts w:hint="eastAsia" w:ascii="仿宋" w:hAnsi="仿宋" w:eastAsia="仿宋" w:cs="宋体"/>
          <w:b/>
          <w:bCs/>
          <w:sz w:val="24"/>
          <w:szCs w:val="24"/>
          <w:highlight w:val="none"/>
          <w:lang w:val="en-US" w:eastAsia="zh-CN"/>
        </w:rPr>
        <w:t>（二）</w:t>
      </w:r>
      <w:r>
        <w:rPr>
          <w:rFonts w:hint="eastAsia" w:ascii="仿宋" w:hAnsi="仿宋" w:eastAsia="仿宋" w:cs="宋体"/>
          <w:b/>
          <w:bCs/>
          <w:sz w:val="24"/>
          <w:szCs w:val="24"/>
          <w:highlight w:val="none"/>
        </w:rPr>
        <w:t>商务要求</w:t>
      </w:r>
    </w:p>
    <w:p w14:paraId="315C25BF">
      <w:pPr>
        <w:widowControl/>
        <w:spacing w:line="360" w:lineRule="auto"/>
        <w:ind w:firstLine="400" w:firstLineChars="200"/>
        <w:jc w:val="left"/>
        <w:outlineLvl w:val="0"/>
        <w:rPr>
          <w:rFonts w:hint="eastAsia" w:ascii="仿宋" w:hAnsi="仿宋" w:eastAsia="仿宋" w:cs="宋体"/>
          <w:color w:val="auto"/>
          <w:sz w:val="24"/>
          <w:szCs w:val="24"/>
          <w:highlight w:val="none"/>
          <w:u w:val="single"/>
          <w:lang w:val="en-US" w:eastAsia="zh-CN"/>
        </w:rPr>
      </w:pPr>
      <w:r>
        <w:rPr>
          <w:rFonts w:hint="eastAsia" w:ascii="宋体" w:hAnsi="宋体" w:eastAsia="宋体" w:cs="宋体"/>
          <w:i w:val="0"/>
          <w:iCs w:val="0"/>
          <w:color w:val="auto"/>
          <w:sz w:val="20"/>
          <w:szCs w:val="20"/>
          <w:highlight w:val="none"/>
          <w:lang w:val="zh-CN" w:eastAsia="zh-CN"/>
        </w:rPr>
        <w:t>★</w:t>
      </w:r>
      <w:r>
        <w:rPr>
          <w:rFonts w:hint="eastAsia" w:ascii="仿宋" w:hAnsi="仿宋" w:eastAsia="仿宋" w:cs="仿宋"/>
          <w:b/>
          <w:bCs/>
          <w:i w:val="0"/>
          <w:iCs w:val="0"/>
          <w:color w:val="auto"/>
          <w:sz w:val="24"/>
          <w:szCs w:val="24"/>
          <w:highlight w:val="none"/>
          <w:lang w:val="en-US" w:eastAsia="zh-CN"/>
        </w:rPr>
        <w:t>1</w:t>
      </w:r>
      <w:r>
        <w:rPr>
          <w:rFonts w:hint="eastAsia" w:ascii="仿宋" w:hAnsi="仿宋" w:eastAsia="仿宋" w:cs="宋体"/>
          <w:b/>
          <w:bCs/>
          <w:sz w:val="24"/>
          <w:szCs w:val="24"/>
          <w:highlight w:val="none"/>
          <w:lang w:val="en-US" w:eastAsia="zh-CN"/>
        </w:rPr>
        <w:t>、服务期限：</w:t>
      </w:r>
      <w:r>
        <w:rPr>
          <w:rFonts w:hint="eastAsia" w:ascii="仿宋" w:hAnsi="仿宋" w:eastAsia="仿宋" w:cs="宋体"/>
          <w:color w:val="auto"/>
          <w:sz w:val="24"/>
          <w:szCs w:val="24"/>
          <w:highlight w:val="none"/>
          <w:u w:val="single"/>
          <w:lang w:val="en-US" w:eastAsia="zh-CN"/>
        </w:rPr>
        <w:t>自合同签订之日起至</w:t>
      </w:r>
      <w:r>
        <w:rPr>
          <w:rFonts w:hint="eastAsia" w:ascii="仿宋" w:hAnsi="仿宋" w:eastAsia="仿宋" w:cs="宋体"/>
          <w:b w:val="0"/>
          <w:bCs w:val="0"/>
          <w:color w:val="auto"/>
          <w:sz w:val="24"/>
          <w:szCs w:val="24"/>
          <w:highlight w:val="none"/>
          <w:u w:val="single"/>
          <w:lang w:val="en-US" w:eastAsia="zh-CN"/>
        </w:rPr>
        <w:t>2026年12月20日。服务期内，中标人须按采购需求完成人员培训、首轮摸排、帮带运营、常态化服务活动及</w:t>
      </w:r>
      <w:r>
        <w:rPr>
          <w:rFonts w:hint="eastAsia" w:ascii="仿宋" w:hAnsi="仿宋" w:eastAsia="仿宋" w:cs="宋体"/>
          <w:color w:val="auto"/>
          <w:sz w:val="24"/>
          <w:szCs w:val="24"/>
          <w:highlight w:val="none"/>
          <w:u w:val="single"/>
          <w:lang w:val="en-US" w:eastAsia="zh-CN"/>
        </w:rPr>
        <w:t>数据报送等全部服务工作，确保各网点具备独立运营能力并通过最终验收（具体时间以签订合同为准）</w:t>
      </w:r>
    </w:p>
    <w:p w14:paraId="30FDB728">
      <w:pPr>
        <w:widowControl/>
        <w:spacing w:line="360" w:lineRule="auto"/>
        <w:ind w:firstLine="400" w:firstLineChars="200"/>
        <w:jc w:val="left"/>
        <w:outlineLvl w:val="0"/>
        <w:rPr>
          <w:rFonts w:hint="default" w:ascii="仿宋" w:hAnsi="仿宋" w:eastAsia="仿宋" w:cs="宋体"/>
          <w:b/>
          <w:bCs/>
          <w:color w:val="FF0000"/>
          <w:sz w:val="24"/>
          <w:szCs w:val="24"/>
          <w:highlight w:val="none"/>
          <w:lang w:val="en-US" w:eastAsia="zh-CN"/>
        </w:rPr>
      </w:pPr>
      <w:r>
        <w:rPr>
          <w:rFonts w:hint="eastAsia" w:ascii="宋体" w:hAnsi="宋体" w:eastAsia="宋体" w:cs="宋体"/>
          <w:i w:val="0"/>
          <w:iCs w:val="0"/>
          <w:color w:val="auto"/>
          <w:sz w:val="20"/>
          <w:szCs w:val="20"/>
          <w:highlight w:val="none"/>
          <w:lang w:val="zh-CN" w:eastAsia="zh-CN"/>
        </w:rPr>
        <w:t>★</w:t>
      </w:r>
      <w:r>
        <w:rPr>
          <w:rFonts w:hint="eastAsia" w:ascii="仿宋" w:hAnsi="仿宋" w:eastAsia="仿宋" w:cs="宋体"/>
          <w:b/>
          <w:bCs/>
          <w:sz w:val="24"/>
          <w:szCs w:val="24"/>
          <w:highlight w:val="none"/>
          <w:lang w:val="en-US" w:eastAsia="zh-CN"/>
        </w:rPr>
        <w:t>2、配套货物交付时间：</w:t>
      </w:r>
      <w:r>
        <w:rPr>
          <w:rFonts w:hint="eastAsia" w:ascii="仿宋" w:hAnsi="仿宋" w:eastAsia="仿宋" w:cs="宋体"/>
          <w:color w:val="auto"/>
          <w:sz w:val="24"/>
          <w:szCs w:val="24"/>
          <w:highlight w:val="none"/>
          <w:u w:val="single"/>
          <w:lang w:val="en-US" w:eastAsia="zh-CN"/>
        </w:rPr>
        <w:t>合同签订之日起至</w:t>
      </w:r>
      <w:r>
        <w:rPr>
          <w:rFonts w:hint="eastAsia" w:ascii="仿宋" w:hAnsi="仿宋" w:eastAsia="仿宋" w:cs="宋体"/>
          <w:b w:val="0"/>
          <w:bCs w:val="0"/>
          <w:color w:val="auto"/>
          <w:sz w:val="24"/>
          <w:szCs w:val="24"/>
          <w:highlight w:val="none"/>
          <w:u w:val="single"/>
          <w:lang w:val="en-US" w:eastAsia="zh-CN"/>
        </w:rPr>
        <w:t>2026年12月20日</w:t>
      </w:r>
      <w:r>
        <w:rPr>
          <w:rFonts w:hint="eastAsia" w:ascii="仿宋" w:hAnsi="仿宋" w:eastAsia="仿宋" w:cs="宋体"/>
          <w:color w:val="auto"/>
          <w:sz w:val="24"/>
          <w:szCs w:val="24"/>
          <w:highlight w:val="none"/>
          <w:u w:val="single"/>
          <w:lang w:val="en-US" w:eastAsia="zh-CN"/>
        </w:rPr>
        <w:t>，中标人应完成全部配套货物的供货、安装、调试，并交付采购人（具体时间以签订合同为准）</w:t>
      </w:r>
    </w:p>
    <w:p w14:paraId="73D26558">
      <w:pPr>
        <w:widowControl/>
        <w:spacing w:line="360" w:lineRule="auto"/>
        <w:ind w:firstLine="400" w:firstLineChars="200"/>
        <w:jc w:val="left"/>
        <w:outlineLvl w:val="0"/>
        <w:rPr>
          <w:rFonts w:hint="default" w:ascii="仿宋" w:hAnsi="仿宋" w:eastAsia="仿宋" w:cs="宋体"/>
          <w:sz w:val="24"/>
          <w:szCs w:val="24"/>
          <w:highlight w:val="none"/>
          <w:lang w:val="en-US"/>
        </w:rPr>
      </w:pPr>
      <w:r>
        <w:rPr>
          <w:rFonts w:hint="eastAsia" w:ascii="宋体" w:hAnsi="宋体" w:eastAsia="宋体" w:cs="宋体"/>
          <w:i w:val="0"/>
          <w:iCs w:val="0"/>
          <w:color w:val="auto"/>
          <w:sz w:val="20"/>
          <w:szCs w:val="20"/>
          <w:highlight w:val="none"/>
          <w:lang w:val="zh-CN" w:eastAsia="zh-CN"/>
        </w:rPr>
        <w:t>★</w:t>
      </w:r>
      <w:r>
        <w:rPr>
          <w:rFonts w:hint="eastAsia" w:ascii="仿宋" w:hAnsi="仿宋" w:eastAsia="仿宋" w:cs="宋体"/>
          <w:b/>
          <w:bCs/>
          <w:sz w:val="24"/>
          <w:szCs w:val="24"/>
          <w:highlight w:val="none"/>
          <w:lang w:val="en-US" w:eastAsia="zh-CN"/>
        </w:rPr>
        <w:t>3、交付地点：</w:t>
      </w:r>
      <w:r>
        <w:rPr>
          <w:rFonts w:hint="eastAsia" w:ascii="仿宋" w:hAnsi="仿宋" w:eastAsia="仿宋" w:cs="宋体"/>
          <w:color w:val="auto"/>
          <w:sz w:val="24"/>
          <w:szCs w:val="24"/>
          <w:highlight w:val="none"/>
          <w:u w:val="single"/>
          <w:lang w:val="en-US" w:eastAsia="zh-CN"/>
        </w:rPr>
        <w:t>采购人指定地点</w:t>
      </w:r>
    </w:p>
    <w:p w14:paraId="6A9606E9">
      <w:pPr>
        <w:widowControl/>
        <w:spacing w:line="360" w:lineRule="auto"/>
        <w:ind w:firstLine="482" w:firstLineChars="200"/>
        <w:jc w:val="left"/>
        <w:outlineLvl w:val="0"/>
        <w:rPr>
          <w:rFonts w:hint="eastAsia" w:ascii="仿宋" w:hAnsi="仿宋" w:eastAsia="仿宋" w:cs="宋体"/>
          <w:b w:val="0"/>
          <w:bCs w:val="0"/>
          <w:sz w:val="24"/>
          <w:szCs w:val="24"/>
          <w:highlight w:val="none"/>
          <w:u w:val="single"/>
          <w:lang w:val="en-US" w:eastAsia="zh-CN"/>
        </w:rPr>
      </w:pPr>
      <w:r>
        <w:rPr>
          <w:rFonts w:hint="eastAsia" w:ascii="仿宋" w:hAnsi="仿宋" w:eastAsia="仿宋" w:cs="宋体"/>
          <w:b/>
          <w:bCs/>
          <w:sz w:val="24"/>
          <w:szCs w:val="24"/>
          <w:highlight w:val="none"/>
          <w:lang w:val="en-US" w:eastAsia="zh-CN"/>
        </w:rPr>
        <w:t>4、付款进度和方式：</w:t>
      </w:r>
      <w:r>
        <w:rPr>
          <w:rFonts w:hint="eastAsia" w:ascii="仿宋" w:hAnsi="仿宋" w:eastAsia="仿宋" w:cs="宋体"/>
          <w:b w:val="0"/>
          <w:bCs w:val="0"/>
          <w:sz w:val="24"/>
          <w:szCs w:val="24"/>
          <w:highlight w:val="none"/>
          <w:u w:val="single"/>
          <w:lang w:val="en-US" w:eastAsia="zh-CN"/>
        </w:rPr>
        <w:t>预付款：合同签订后支付合同总金额的30%；</w:t>
      </w:r>
    </w:p>
    <w:p w14:paraId="1669260E">
      <w:pPr>
        <w:widowControl/>
        <w:spacing w:line="360" w:lineRule="auto"/>
        <w:ind w:firstLine="480" w:firstLineChars="200"/>
        <w:jc w:val="left"/>
        <w:outlineLvl w:val="0"/>
        <w:rPr>
          <w:rFonts w:hint="eastAsia" w:ascii="仿宋" w:hAnsi="仿宋" w:eastAsia="仿宋" w:cs="宋体"/>
          <w:b w:val="0"/>
          <w:bCs w:val="0"/>
          <w:sz w:val="24"/>
          <w:szCs w:val="24"/>
          <w:highlight w:val="none"/>
          <w:u w:val="single"/>
          <w:lang w:val="en-US" w:eastAsia="zh-CN"/>
        </w:rPr>
      </w:pPr>
      <w:r>
        <w:rPr>
          <w:rFonts w:hint="eastAsia" w:ascii="仿宋" w:hAnsi="仿宋" w:eastAsia="仿宋" w:cs="宋体"/>
          <w:b w:val="0"/>
          <w:bCs w:val="0"/>
          <w:sz w:val="24"/>
          <w:szCs w:val="24"/>
          <w:highlight w:val="none"/>
          <w:u w:val="single"/>
          <w:lang w:val="en-US" w:eastAsia="zh-CN"/>
        </w:rPr>
        <w:t>进度款：完成首轮摸排及主要货物安装调试，经采购人确认后支付合同总金额的40%；</w:t>
      </w:r>
    </w:p>
    <w:p w14:paraId="6023DA7D">
      <w:pPr>
        <w:widowControl/>
        <w:spacing w:line="360" w:lineRule="auto"/>
        <w:ind w:firstLine="480" w:firstLineChars="200"/>
        <w:jc w:val="left"/>
        <w:outlineLvl w:val="0"/>
        <w:rPr>
          <w:rFonts w:hint="eastAsia" w:ascii="仿宋" w:hAnsi="仿宋" w:eastAsia="仿宋" w:cs="宋体"/>
          <w:b w:val="0"/>
          <w:bCs w:val="0"/>
          <w:sz w:val="24"/>
          <w:szCs w:val="24"/>
          <w:highlight w:val="none"/>
          <w:u w:val="single"/>
          <w:lang w:val="en-US" w:eastAsia="zh-CN"/>
        </w:rPr>
      </w:pPr>
      <w:r>
        <w:rPr>
          <w:rFonts w:hint="eastAsia" w:ascii="仿宋" w:hAnsi="仿宋" w:eastAsia="仿宋" w:cs="宋体"/>
          <w:b w:val="0"/>
          <w:bCs w:val="0"/>
          <w:sz w:val="24"/>
          <w:szCs w:val="24"/>
          <w:highlight w:val="none"/>
          <w:u w:val="single"/>
          <w:lang w:val="en-US" w:eastAsia="zh-CN"/>
        </w:rPr>
        <w:t>尾款：服务期满验收合格后支付合同总金额的30%。</w:t>
      </w:r>
      <w:r>
        <w:rPr>
          <w:rFonts w:hint="eastAsia" w:ascii="仿宋" w:hAnsi="仿宋" w:eastAsia="仿宋" w:cs="宋体"/>
          <w:color w:val="auto"/>
          <w:sz w:val="24"/>
          <w:szCs w:val="24"/>
          <w:highlight w:val="none"/>
          <w:u w:val="single"/>
          <w:lang w:val="en-US" w:eastAsia="zh-CN"/>
        </w:rPr>
        <w:t>（具体以签订合同为准）</w:t>
      </w:r>
    </w:p>
    <w:p w14:paraId="1D56FA48">
      <w:pPr>
        <w:widowControl/>
        <w:spacing w:line="360" w:lineRule="auto"/>
        <w:ind w:firstLine="482" w:firstLineChars="200"/>
        <w:jc w:val="left"/>
        <w:outlineLvl w:val="0"/>
        <w:rPr>
          <w:rFonts w:hint="eastAsia" w:ascii="仿宋" w:hAnsi="仿宋" w:eastAsia="仿宋" w:cs="宋体"/>
          <w:sz w:val="24"/>
          <w:szCs w:val="24"/>
          <w:highlight w:val="none"/>
          <w:u w:val="single"/>
          <w:lang w:val="en-US" w:eastAsia="zh-CN"/>
        </w:rPr>
      </w:pPr>
      <w:r>
        <w:rPr>
          <w:rFonts w:hint="eastAsia" w:ascii="仿宋" w:hAnsi="仿宋" w:eastAsia="仿宋" w:cs="宋体"/>
          <w:b/>
          <w:bCs/>
          <w:sz w:val="24"/>
          <w:szCs w:val="24"/>
          <w:highlight w:val="none"/>
          <w:lang w:val="en-US" w:eastAsia="zh-CN"/>
        </w:rPr>
        <w:t>5、包装运输：</w:t>
      </w:r>
      <w:r>
        <w:rPr>
          <w:rFonts w:hint="eastAsia" w:ascii="仿宋" w:hAnsi="仿宋" w:eastAsia="仿宋" w:cs="宋体"/>
          <w:sz w:val="24"/>
          <w:szCs w:val="24"/>
          <w:highlight w:val="none"/>
          <w:u w:val="single"/>
          <w:lang w:val="en-US" w:eastAsia="zh-CN"/>
        </w:rPr>
        <w:t>1、提供的全部伴生货物均应按标准保护措施进行包装，并保证伴生货物包装应适应于远距离运输、装卸和储存过程中不被腐蚀，不发生变形，防潮、防水、耐剧烈搬运、防震、防锈和防野蛮装卸，避免意外损坏。以确保伴生货物安全无损运抵指定交货地点。如因包装问题导致伴生货物毁损或者品质下降，需方有权要求降价、换货、拒收部分或整批伴生货物，由此造成需方的费用和损失，均由供方承担。包装费由供方承担，包装物不回收。</w:t>
      </w:r>
    </w:p>
    <w:p w14:paraId="57497998">
      <w:pPr>
        <w:widowControl/>
        <w:spacing w:line="360" w:lineRule="auto"/>
        <w:ind w:firstLine="480" w:firstLineChars="200"/>
        <w:jc w:val="left"/>
        <w:outlineLvl w:val="0"/>
        <w:rPr>
          <w:rFonts w:hint="eastAsia" w:ascii="仿宋" w:hAnsi="仿宋" w:eastAsia="仿宋" w:cs="宋体"/>
          <w:sz w:val="24"/>
          <w:szCs w:val="24"/>
          <w:highlight w:val="none"/>
          <w:u w:val="single"/>
          <w:lang w:val="en-US" w:eastAsia="zh-CN"/>
        </w:rPr>
      </w:pPr>
      <w:r>
        <w:rPr>
          <w:rFonts w:hint="eastAsia" w:ascii="仿宋" w:hAnsi="仿宋" w:eastAsia="仿宋" w:cs="宋体"/>
          <w:sz w:val="24"/>
          <w:szCs w:val="24"/>
          <w:highlight w:val="none"/>
          <w:u w:val="single"/>
          <w:lang w:val="en-US" w:eastAsia="zh-CN"/>
        </w:rPr>
        <w:t>2、应在每个包装箱外的显著位置用中文涂写上清晰可见的标记，内容包括合同号、箱号、所装伴生货物的名称及数量等。应在每个包装箱内装有详细的中文装箱清单，内容包括产品名称、规格、数量等。</w:t>
      </w:r>
    </w:p>
    <w:p w14:paraId="019330BD">
      <w:pPr>
        <w:widowControl/>
        <w:spacing w:line="360" w:lineRule="auto"/>
        <w:ind w:firstLine="480" w:firstLineChars="200"/>
        <w:jc w:val="left"/>
        <w:outlineLvl w:val="0"/>
        <w:rPr>
          <w:rFonts w:hint="eastAsia" w:ascii="仿宋" w:hAnsi="仿宋" w:eastAsia="仿宋" w:cs="宋体"/>
          <w:sz w:val="24"/>
          <w:szCs w:val="24"/>
          <w:highlight w:val="none"/>
          <w:u w:val="single"/>
          <w:lang w:val="en-US" w:eastAsia="zh-CN"/>
        </w:rPr>
      </w:pPr>
      <w:r>
        <w:rPr>
          <w:rFonts w:hint="eastAsia" w:ascii="仿宋" w:hAnsi="仿宋" w:eastAsia="仿宋" w:cs="宋体"/>
          <w:sz w:val="24"/>
          <w:szCs w:val="24"/>
          <w:highlight w:val="none"/>
          <w:u w:val="single"/>
          <w:lang w:val="en-US" w:eastAsia="zh-CN"/>
        </w:rPr>
        <w:t>3、伴生货物产品应在其显著位置标注产品信息标签，内容包括制造厂名称或厂标、产品名称及型号等。</w:t>
      </w:r>
    </w:p>
    <w:p w14:paraId="40794637">
      <w:pPr>
        <w:widowControl/>
        <w:spacing w:line="360" w:lineRule="auto"/>
        <w:ind w:firstLine="480" w:firstLineChars="200"/>
        <w:jc w:val="left"/>
        <w:outlineLvl w:val="0"/>
        <w:rPr>
          <w:rFonts w:hint="eastAsia" w:ascii="仿宋" w:hAnsi="仿宋" w:eastAsia="仿宋" w:cs="宋体"/>
          <w:sz w:val="24"/>
          <w:szCs w:val="24"/>
          <w:highlight w:val="none"/>
          <w:u w:val="single"/>
          <w:lang w:val="en-US" w:eastAsia="zh-CN"/>
        </w:rPr>
      </w:pPr>
      <w:r>
        <w:rPr>
          <w:rFonts w:hint="eastAsia" w:ascii="仿宋" w:hAnsi="仿宋" w:eastAsia="仿宋" w:cs="宋体"/>
          <w:sz w:val="24"/>
          <w:szCs w:val="24"/>
          <w:highlight w:val="none"/>
          <w:u w:val="single"/>
          <w:lang w:val="en-US" w:eastAsia="zh-CN"/>
        </w:rPr>
        <w:t>4、投标方应保证标签在产品使用和长年保存后清晰可见。</w:t>
      </w:r>
    </w:p>
    <w:p w14:paraId="2378AA7D">
      <w:pPr>
        <w:widowControl/>
        <w:spacing w:line="360" w:lineRule="auto"/>
        <w:ind w:firstLine="480" w:firstLineChars="200"/>
        <w:jc w:val="left"/>
        <w:outlineLvl w:val="0"/>
        <w:rPr>
          <w:rFonts w:hint="eastAsia" w:ascii="仿宋" w:hAnsi="仿宋" w:eastAsia="仿宋" w:cs="宋体"/>
          <w:sz w:val="24"/>
          <w:szCs w:val="24"/>
          <w:highlight w:val="none"/>
          <w:u w:val="single"/>
          <w:lang w:val="en-US" w:eastAsia="zh-CN"/>
        </w:rPr>
      </w:pPr>
      <w:r>
        <w:rPr>
          <w:rFonts w:hint="eastAsia" w:ascii="仿宋" w:hAnsi="仿宋" w:eastAsia="仿宋" w:cs="宋体"/>
          <w:sz w:val="24"/>
          <w:szCs w:val="24"/>
          <w:highlight w:val="none"/>
          <w:u w:val="single"/>
          <w:lang w:val="en-US" w:eastAsia="zh-CN"/>
        </w:rPr>
        <w:t>5、对于有偏重的整体伴生货物或有特殊要求的设备，还应清楚地标明起吊点位置，以免吊装不当造成设备损坏。</w:t>
      </w:r>
    </w:p>
    <w:p w14:paraId="07945088">
      <w:pPr>
        <w:widowControl/>
        <w:spacing w:line="360" w:lineRule="auto"/>
        <w:ind w:firstLine="480" w:firstLineChars="200"/>
        <w:jc w:val="left"/>
        <w:outlineLvl w:val="0"/>
        <w:rPr>
          <w:rFonts w:hint="eastAsia" w:ascii="仿宋" w:hAnsi="仿宋" w:eastAsia="仿宋" w:cs="宋体"/>
          <w:sz w:val="24"/>
          <w:szCs w:val="24"/>
          <w:highlight w:val="none"/>
          <w:u w:val="single"/>
          <w:lang w:val="en-US" w:eastAsia="zh-CN"/>
        </w:rPr>
      </w:pPr>
      <w:r>
        <w:rPr>
          <w:rFonts w:hint="eastAsia" w:ascii="仿宋" w:hAnsi="仿宋" w:eastAsia="仿宋" w:cs="宋体"/>
          <w:sz w:val="24"/>
          <w:szCs w:val="24"/>
          <w:highlight w:val="none"/>
          <w:u w:val="single"/>
          <w:lang w:val="en-US" w:eastAsia="zh-CN"/>
        </w:rPr>
        <w:t>运输：纸包装产品的储存应在室内、防潮、防雨的条件下，以产品正常放置状态放置，并应防止外力挤压和撞击。木包装产品的储存可以在室内或室外，以产品正常放置状态放置，但应防止外力挤压和撞击。包装后产品的运输应符合产品储运标志的要求和铁路及集装箱、汽运及二级公路运输的相关要求。运输后产品的接收应以包装无严重破损为准。</w:t>
      </w:r>
    </w:p>
    <w:p w14:paraId="41024D6D">
      <w:pPr>
        <w:widowControl/>
        <w:spacing w:line="360" w:lineRule="auto"/>
        <w:ind w:firstLine="480" w:firstLineChars="200"/>
        <w:jc w:val="left"/>
        <w:outlineLvl w:val="0"/>
        <w:rPr>
          <w:rFonts w:hint="eastAsia" w:ascii="仿宋" w:hAnsi="仿宋" w:eastAsia="仿宋" w:cs="宋体"/>
          <w:sz w:val="24"/>
          <w:szCs w:val="24"/>
          <w:highlight w:val="none"/>
          <w:u w:val="single"/>
          <w:lang w:val="en-US" w:eastAsia="zh-CN"/>
        </w:rPr>
      </w:pPr>
      <w:r>
        <w:rPr>
          <w:rFonts w:hint="eastAsia" w:ascii="仿宋" w:hAnsi="仿宋" w:eastAsia="仿宋" w:cs="宋体"/>
          <w:sz w:val="24"/>
          <w:szCs w:val="24"/>
          <w:highlight w:val="none"/>
          <w:u w:val="single"/>
          <w:lang w:val="en-US" w:eastAsia="zh-CN"/>
        </w:rPr>
        <w:t>包装及运输应符合国标要求。所有产品应采用装箱或其他妥善包装措施，以保证设备在运输中防潮、防湿、防锈、防震、免受搬运冲击。包装箱外面要用不褪色的油漆清晰标记产品的名称、重量、目的地、收货人等内容。附件按类包装并注明规格名称，以保证在长期存放中不变质、不锈蚀。</w:t>
      </w:r>
    </w:p>
    <w:p w14:paraId="511BC239">
      <w:pPr>
        <w:widowControl/>
        <w:spacing w:line="360" w:lineRule="auto"/>
        <w:ind w:firstLine="480" w:firstLineChars="200"/>
        <w:jc w:val="left"/>
        <w:outlineLvl w:val="0"/>
        <w:rPr>
          <w:rFonts w:hint="eastAsia" w:ascii="仿宋" w:hAnsi="仿宋" w:eastAsia="仿宋" w:cs="宋体"/>
          <w:sz w:val="24"/>
          <w:szCs w:val="24"/>
          <w:highlight w:val="none"/>
          <w:u w:val="none"/>
          <w:lang w:val="en-US" w:eastAsia="zh-CN"/>
        </w:rPr>
      </w:pPr>
      <w:r>
        <w:rPr>
          <w:rFonts w:hint="eastAsia" w:ascii="仿宋" w:hAnsi="仿宋" w:eastAsia="仿宋" w:cs="宋体"/>
          <w:sz w:val="24"/>
          <w:szCs w:val="24"/>
          <w:highlight w:val="none"/>
          <w:u w:val="single"/>
          <w:lang w:val="en-US" w:eastAsia="zh-CN"/>
        </w:rPr>
        <w:t>所有产品验收移交前的保管工作均由供方负责。</w:t>
      </w:r>
    </w:p>
    <w:p w14:paraId="5CDDAACF">
      <w:pPr>
        <w:widowControl/>
        <w:numPr>
          <w:ilvl w:val="0"/>
          <w:numId w:val="0"/>
        </w:numPr>
        <w:spacing w:line="360" w:lineRule="auto"/>
        <w:ind w:firstLine="482" w:firstLineChars="200"/>
        <w:jc w:val="left"/>
        <w:outlineLvl w:val="0"/>
        <w:rPr>
          <w:rFonts w:hint="eastAsia" w:ascii="仿宋" w:hAnsi="仿宋" w:eastAsia="仿宋" w:cs="宋体"/>
          <w:b/>
          <w:bCs/>
          <w:sz w:val="24"/>
          <w:szCs w:val="24"/>
          <w:highlight w:val="none"/>
          <w:lang w:val="en-US" w:eastAsia="zh-CN"/>
        </w:rPr>
      </w:pPr>
      <w:r>
        <w:rPr>
          <w:rFonts w:hint="eastAsia" w:ascii="仿宋" w:hAnsi="仿宋" w:eastAsia="仿宋" w:cs="宋体"/>
          <w:b/>
          <w:bCs/>
          <w:sz w:val="24"/>
          <w:szCs w:val="24"/>
          <w:highlight w:val="none"/>
          <w:lang w:val="en-US" w:eastAsia="zh-CN"/>
        </w:rPr>
        <w:t>6、售后服务：</w:t>
      </w:r>
    </w:p>
    <w:p w14:paraId="1F8E983F">
      <w:pPr>
        <w:spacing w:line="360" w:lineRule="auto"/>
        <w:ind w:firstLine="480" w:firstLineChars="200"/>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1.</w:t>
      </w:r>
      <w:r>
        <w:rPr>
          <w:rFonts w:hint="eastAsia" w:ascii="仿宋" w:hAnsi="仿宋" w:eastAsia="仿宋" w:cs="宋体"/>
          <w:sz w:val="24"/>
          <w:szCs w:val="24"/>
          <w:highlight w:val="none"/>
          <w:lang w:eastAsia="zh-CN"/>
        </w:rPr>
        <w:t>质保期：</w:t>
      </w:r>
      <w:r>
        <w:rPr>
          <w:rFonts w:hint="eastAsia" w:ascii="仿宋" w:hAnsi="仿宋" w:eastAsia="仿宋" w:cs="宋体"/>
          <w:sz w:val="24"/>
          <w:szCs w:val="24"/>
          <w:highlight w:val="none"/>
          <w:lang w:val="en-US" w:eastAsia="zh-CN"/>
        </w:rPr>
        <w:t>按货物类别分档设置：</w:t>
      </w:r>
    </w:p>
    <w:p w14:paraId="78CF3D18">
      <w:pPr>
        <w:spacing w:line="360" w:lineRule="auto"/>
        <w:ind w:firstLine="480" w:firstLineChars="200"/>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信息设备类（含就业服务一体机、直播设备1、直播设备2、高拍仪、社保卡读卡器、信息化设备、招聘就业信息展示机、技能培训大屏、人证核验一体机、室内高清LED）、家具设施类（含标识牌/宣传栏、资料架、就业服务便民座椅、服务标识展架）：自验收合格之日起不少于1年；</w:t>
      </w:r>
    </w:p>
    <w:p w14:paraId="3DD32668">
      <w:pPr>
        <w:spacing w:line="360" w:lineRule="auto"/>
        <w:ind w:firstLine="480" w:firstLineChars="200"/>
        <w:jc w:val="left"/>
        <w:rPr>
          <w:rFonts w:hint="eastAsia" w:ascii="宋体" w:hAnsi="宋体" w:eastAsia="宋体" w:cs="宋体"/>
          <w:sz w:val="20"/>
          <w:szCs w:val="22"/>
          <w:highlight w:val="none"/>
          <w:lang w:eastAsia="zh-CN"/>
        </w:rPr>
      </w:pPr>
      <w:r>
        <w:rPr>
          <w:rFonts w:hint="eastAsia" w:ascii="仿宋" w:hAnsi="仿宋" w:eastAsia="仿宋" w:cs="宋体"/>
          <w:sz w:val="24"/>
          <w:szCs w:val="24"/>
          <w:highlight w:val="none"/>
          <w:lang w:val="en-US" w:eastAsia="zh-CN"/>
        </w:rPr>
        <w:t>低值易耗类（政策旋转展架台内页资料）：自验收合格之日起不少于1个月。</w:t>
      </w:r>
    </w:p>
    <w:p w14:paraId="1664E7D5">
      <w:pPr>
        <w:spacing w:line="360" w:lineRule="auto"/>
        <w:ind w:firstLine="480" w:firstLineChars="200"/>
        <w:jc w:val="left"/>
        <w:rPr>
          <w:rFonts w:ascii="仿宋" w:hAnsi="仿宋" w:eastAsia="仿宋" w:cs="宋体"/>
          <w:sz w:val="24"/>
          <w:szCs w:val="24"/>
          <w:highlight w:val="none"/>
        </w:rPr>
      </w:pPr>
      <w:r>
        <w:rPr>
          <w:rFonts w:hint="eastAsia" w:ascii="仿宋" w:hAnsi="仿宋" w:eastAsia="仿宋" w:cs="宋体"/>
          <w:sz w:val="24"/>
          <w:szCs w:val="24"/>
          <w:highlight w:val="none"/>
          <w:lang w:val="en-US" w:eastAsia="zh-CN"/>
        </w:rPr>
        <w:t>2.</w:t>
      </w:r>
      <w:r>
        <w:rPr>
          <w:rFonts w:hint="eastAsia" w:ascii="仿宋" w:hAnsi="仿宋" w:eastAsia="仿宋" w:cs="宋体"/>
          <w:sz w:val="24"/>
          <w:szCs w:val="24"/>
          <w:highlight w:val="none"/>
          <w:lang w:eastAsia="zh-CN"/>
        </w:rPr>
        <w:t>供应商</w:t>
      </w:r>
      <w:r>
        <w:rPr>
          <w:rFonts w:hint="eastAsia" w:ascii="仿宋" w:hAnsi="仿宋" w:eastAsia="仿宋" w:cs="宋体"/>
          <w:sz w:val="24"/>
          <w:szCs w:val="24"/>
          <w:highlight w:val="none"/>
          <w:lang w:val="en-US" w:eastAsia="zh-CN"/>
        </w:rPr>
        <w:t>承担现场指导费用（含于投标报价）。质保期内，若非人为损坏产生故障，供应商应提供上门维修服务，零配件更换费用由供应商承担（费用已包含）。质保期内及期满后，若无法确定是否为产品本身质量问题，供应商应配合检查，必要时按响应时间到场协助。</w:t>
      </w:r>
    </w:p>
    <w:p w14:paraId="02ED30CE">
      <w:pPr>
        <w:spacing w:line="360" w:lineRule="auto"/>
        <w:ind w:firstLine="480" w:firstLineChars="200"/>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3.质保期内，同一</w:t>
      </w:r>
      <w:r>
        <w:rPr>
          <w:rFonts w:hint="eastAsia" w:ascii="仿宋" w:hAnsi="仿宋" w:eastAsia="仿宋" w:cs="宋体"/>
          <w:sz w:val="24"/>
          <w:szCs w:val="24"/>
          <w:highlight w:val="none"/>
          <w:lang w:val="en-US" w:eastAsia="zh-CN"/>
        </w:rPr>
        <w:t>伴随产品</w:t>
      </w:r>
      <w:r>
        <w:rPr>
          <w:rFonts w:hint="eastAsia" w:ascii="仿宋" w:hAnsi="仿宋" w:eastAsia="仿宋" w:cs="宋体"/>
          <w:sz w:val="24"/>
          <w:szCs w:val="24"/>
          <w:highlight w:val="none"/>
        </w:rPr>
        <w:t>一个月内连续2次出现同一</w:t>
      </w:r>
      <w:r>
        <w:rPr>
          <w:rFonts w:hint="eastAsia" w:ascii="仿宋" w:hAnsi="仿宋" w:eastAsia="仿宋" w:cs="宋体"/>
          <w:sz w:val="24"/>
          <w:szCs w:val="24"/>
          <w:highlight w:val="none"/>
          <w:lang w:val="en-US" w:eastAsia="zh-CN"/>
        </w:rPr>
        <w:t>质量问题</w:t>
      </w:r>
      <w:r>
        <w:rPr>
          <w:rFonts w:hint="eastAsia" w:ascii="仿宋" w:hAnsi="仿宋" w:eastAsia="仿宋" w:cs="宋体"/>
          <w:sz w:val="24"/>
          <w:szCs w:val="24"/>
          <w:highlight w:val="none"/>
        </w:rPr>
        <w:t>，供应商须无偿更换同等档次</w:t>
      </w:r>
      <w:r>
        <w:rPr>
          <w:rFonts w:hint="eastAsia" w:ascii="仿宋" w:hAnsi="仿宋" w:eastAsia="仿宋" w:cs="宋体"/>
          <w:sz w:val="24"/>
          <w:szCs w:val="24"/>
          <w:highlight w:val="none"/>
          <w:lang w:val="en-US" w:eastAsia="zh-CN"/>
        </w:rPr>
        <w:t>伴随产品</w:t>
      </w:r>
      <w:r>
        <w:rPr>
          <w:rFonts w:hint="eastAsia" w:ascii="仿宋" w:hAnsi="仿宋" w:eastAsia="仿宋" w:cs="宋体"/>
          <w:sz w:val="24"/>
          <w:szCs w:val="24"/>
          <w:highlight w:val="none"/>
        </w:rPr>
        <w:t>。</w:t>
      </w:r>
    </w:p>
    <w:p w14:paraId="6DADB0DE">
      <w:pPr>
        <w:spacing w:line="360" w:lineRule="auto"/>
        <w:ind w:firstLine="480" w:firstLineChars="200"/>
        <w:jc w:val="left"/>
        <w:rPr>
          <w:rFonts w:hint="eastAsia" w:ascii="仿宋" w:hAnsi="仿宋" w:eastAsia="仿宋" w:cs="宋体"/>
          <w:color w:val="000000"/>
          <w:sz w:val="24"/>
          <w:szCs w:val="24"/>
          <w:highlight w:val="none"/>
        </w:rPr>
      </w:pPr>
      <w:r>
        <w:rPr>
          <w:rFonts w:hint="eastAsia" w:ascii="仿宋" w:hAnsi="仿宋" w:eastAsia="仿宋" w:cs="宋体"/>
          <w:color w:val="000000"/>
          <w:sz w:val="24"/>
          <w:szCs w:val="24"/>
          <w:highlight w:val="none"/>
        </w:rPr>
        <w:t>4.</w:t>
      </w:r>
      <w:r>
        <w:rPr>
          <w:rFonts w:hint="eastAsia" w:ascii="仿宋" w:hAnsi="仿宋" w:eastAsia="仿宋" w:cs="宋体"/>
          <w:color w:val="000000"/>
          <w:sz w:val="24"/>
          <w:szCs w:val="24"/>
          <w:highlight w:val="none"/>
          <w:lang w:val="en-US" w:eastAsia="zh-CN"/>
        </w:rPr>
        <w:t>服务</w:t>
      </w:r>
      <w:r>
        <w:rPr>
          <w:rFonts w:hint="eastAsia" w:ascii="仿宋" w:hAnsi="仿宋" w:eastAsia="仿宋" w:cs="宋体"/>
          <w:color w:val="000000"/>
          <w:sz w:val="24"/>
          <w:szCs w:val="24"/>
          <w:highlight w:val="none"/>
        </w:rPr>
        <w:t>升级：质保期内，中标人</w:t>
      </w:r>
      <w:r>
        <w:rPr>
          <w:rFonts w:hint="eastAsia" w:ascii="仿宋" w:hAnsi="仿宋" w:eastAsia="仿宋" w:cs="宋体"/>
          <w:color w:val="000000"/>
          <w:sz w:val="24"/>
          <w:szCs w:val="24"/>
          <w:highlight w:val="none"/>
          <w:lang w:val="en-US" w:eastAsia="zh-CN"/>
        </w:rPr>
        <w:t>如公司服务更新升级则</w:t>
      </w:r>
      <w:r>
        <w:rPr>
          <w:rFonts w:hint="eastAsia" w:ascii="仿宋" w:hAnsi="仿宋" w:eastAsia="仿宋" w:cs="宋体"/>
          <w:color w:val="000000"/>
          <w:sz w:val="24"/>
          <w:szCs w:val="24"/>
          <w:highlight w:val="none"/>
        </w:rPr>
        <w:t>免费为所提供</w:t>
      </w:r>
      <w:r>
        <w:rPr>
          <w:rFonts w:hint="eastAsia" w:ascii="仿宋" w:hAnsi="仿宋" w:eastAsia="仿宋" w:cs="宋体"/>
          <w:color w:val="000000"/>
          <w:sz w:val="24"/>
          <w:szCs w:val="24"/>
          <w:highlight w:val="none"/>
          <w:lang w:eastAsia="zh-CN"/>
        </w:rPr>
        <w:t>的</w:t>
      </w:r>
      <w:r>
        <w:rPr>
          <w:rFonts w:hint="eastAsia" w:ascii="仿宋" w:hAnsi="仿宋" w:eastAsia="仿宋" w:cs="宋体"/>
          <w:color w:val="000000"/>
          <w:sz w:val="24"/>
          <w:szCs w:val="24"/>
          <w:highlight w:val="none"/>
          <w:lang w:val="en-US" w:eastAsia="zh-CN"/>
        </w:rPr>
        <w:t>服务</w:t>
      </w:r>
      <w:r>
        <w:rPr>
          <w:rFonts w:hint="eastAsia" w:ascii="仿宋" w:hAnsi="仿宋" w:eastAsia="仿宋" w:cs="宋体"/>
          <w:color w:val="000000"/>
          <w:sz w:val="24"/>
          <w:szCs w:val="24"/>
          <w:highlight w:val="none"/>
        </w:rPr>
        <w:t>升级服务。</w:t>
      </w:r>
    </w:p>
    <w:p w14:paraId="6E4FEDD7">
      <w:pPr>
        <w:keepNext w:val="0"/>
        <w:keepLines w:val="0"/>
        <w:pageBreakBefore w:val="0"/>
        <w:widowControl w:val="0"/>
        <w:kinsoku w:val="0"/>
        <w:wordWrap w:val="0"/>
        <w:overflowPunct/>
        <w:topLinePunct w:val="0"/>
        <w:autoSpaceDE w:val="0"/>
        <w:autoSpaceDN w:val="0"/>
        <w:bidi w:val="0"/>
        <w:adjustRightInd/>
        <w:snapToGrid/>
        <w:spacing w:line="360" w:lineRule="auto"/>
        <w:ind w:firstLine="480" w:firstLineChars="200"/>
        <w:jc w:val="left"/>
        <w:textAlignment w:val="auto"/>
        <w:rPr>
          <w:rFonts w:hint="eastAsia" w:ascii="仿宋" w:hAnsi="仿宋" w:eastAsia="仿宋" w:cs="宋体"/>
          <w:sz w:val="24"/>
          <w:szCs w:val="24"/>
          <w:highlight w:val="none"/>
          <w:u w:val="single"/>
          <w:lang w:val="en-US" w:eastAsia="zh-CN"/>
        </w:rPr>
      </w:pPr>
      <w:r>
        <w:rPr>
          <w:rFonts w:hint="eastAsia" w:ascii="仿宋" w:hAnsi="仿宋" w:eastAsia="仿宋" w:cs="宋体"/>
          <w:sz w:val="24"/>
          <w:szCs w:val="24"/>
          <w:highlight w:val="none"/>
        </w:rPr>
        <w:t>5.</w:t>
      </w:r>
      <w:r>
        <w:rPr>
          <w:rFonts w:hint="eastAsia" w:ascii="仿宋" w:hAnsi="仿宋" w:eastAsia="仿宋" w:cs="宋体"/>
          <w:sz w:val="24"/>
          <w:szCs w:val="24"/>
          <w:highlight w:val="none"/>
          <w:lang w:val="en-US" w:eastAsia="zh-CN"/>
        </w:rPr>
        <w:t>中标人能够及时解决客户使用过程中遇到的问题和困难，</w:t>
      </w:r>
      <w:r>
        <w:rPr>
          <w:rFonts w:hint="eastAsia" w:ascii="仿宋" w:hAnsi="仿宋" w:eastAsia="仿宋" w:cs="宋体"/>
          <w:sz w:val="24"/>
          <w:szCs w:val="24"/>
          <w:highlight w:val="none"/>
        </w:rPr>
        <w:t>投标人应提供</w:t>
      </w:r>
      <w:r>
        <w:rPr>
          <w:rFonts w:hint="eastAsia" w:ascii="仿宋" w:hAnsi="仿宋" w:eastAsia="仿宋" w:cs="宋体"/>
          <w:sz w:val="24"/>
          <w:szCs w:val="24"/>
          <w:highlight w:val="none"/>
          <w:u w:val="single"/>
          <w:lang w:val="en-US" w:eastAsia="zh-CN"/>
        </w:rPr>
        <w:t>1</w:t>
      </w:r>
      <w:r>
        <w:rPr>
          <w:rFonts w:hint="eastAsia" w:ascii="仿宋" w:hAnsi="仿宋" w:eastAsia="仿宋" w:cs="Times New Roman"/>
          <w:color w:val="000000"/>
          <w:kern w:val="2"/>
          <w:sz w:val="24"/>
          <w:szCs w:val="24"/>
          <w:highlight w:val="none"/>
          <w:lang w:val="en-US" w:eastAsia="zh-CN" w:bidi="ar-SA"/>
        </w:rPr>
        <w:t>年的24小时售后服务，保证在接到用户方故障电话申报后0.5小时内响应，2小时内到达现场，12小时内解决问题。</w:t>
      </w:r>
      <w:r>
        <w:rPr>
          <w:rFonts w:hint="eastAsia" w:ascii="仿宋" w:hAnsi="仿宋" w:eastAsia="仿宋" w:cs="Times New Roman"/>
          <w:sz w:val="24"/>
          <w:szCs w:val="24"/>
          <w:highlight w:val="none"/>
          <w:lang w:val="en-US" w:eastAsia="zh-CN"/>
        </w:rPr>
        <w:t>能够提供技术指导和支持，并确保采购人的权益得到保障。</w:t>
      </w:r>
    </w:p>
    <w:p w14:paraId="1752B8C9">
      <w:pPr>
        <w:spacing w:line="360" w:lineRule="auto"/>
        <w:ind w:firstLine="480" w:firstLineChars="200"/>
        <w:jc w:val="left"/>
        <w:rPr>
          <w:rFonts w:ascii="仿宋" w:hAnsi="仿宋" w:eastAsia="仿宋" w:cs="宋体"/>
          <w:sz w:val="24"/>
          <w:szCs w:val="24"/>
          <w:highlight w:val="none"/>
        </w:rPr>
      </w:pPr>
      <w:r>
        <w:rPr>
          <w:rFonts w:hint="eastAsia" w:ascii="仿宋" w:hAnsi="仿宋" w:eastAsia="仿宋" w:cs="宋体"/>
          <w:sz w:val="24"/>
          <w:szCs w:val="24"/>
          <w:highlight w:val="none"/>
        </w:rPr>
        <w:t>6.对质保期内的</w:t>
      </w:r>
      <w:r>
        <w:rPr>
          <w:rFonts w:hint="eastAsia" w:ascii="仿宋" w:hAnsi="仿宋" w:eastAsia="仿宋" w:cs="宋体"/>
          <w:sz w:val="24"/>
          <w:szCs w:val="24"/>
          <w:highlight w:val="none"/>
          <w:lang w:val="en-US" w:eastAsia="zh-CN"/>
        </w:rPr>
        <w:t>售后问题</w:t>
      </w:r>
      <w:r>
        <w:rPr>
          <w:rFonts w:hint="eastAsia" w:ascii="仿宋" w:hAnsi="仿宋" w:eastAsia="仿宋" w:cs="宋体"/>
          <w:sz w:val="24"/>
          <w:szCs w:val="24"/>
          <w:highlight w:val="none"/>
        </w:rPr>
        <w:t>，如投标人未能做到上款的服务承诺，用户可采取必要的补救措施，但其风险和费用由投标人承担，由于投标人的保证服务不到位，质保期到期时间将顺延。</w:t>
      </w:r>
    </w:p>
    <w:p w14:paraId="0D8D4105">
      <w:pPr>
        <w:spacing w:line="360" w:lineRule="auto"/>
        <w:ind w:firstLine="480" w:firstLineChars="200"/>
        <w:jc w:val="left"/>
        <w:rPr>
          <w:rFonts w:ascii="仿宋" w:hAnsi="仿宋" w:eastAsia="仿宋" w:cs="宋体"/>
          <w:sz w:val="24"/>
          <w:szCs w:val="24"/>
          <w:highlight w:val="none"/>
        </w:rPr>
      </w:pPr>
      <w:r>
        <w:rPr>
          <w:rFonts w:hint="eastAsia" w:ascii="仿宋" w:hAnsi="仿宋" w:eastAsia="仿宋" w:cs="宋体"/>
          <w:sz w:val="24"/>
          <w:szCs w:val="24"/>
          <w:highlight w:val="none"/>
        </w:rPr>
        <w:t>7.投标人投标时所提供的</w:t>
      </w:r>
      <w:r>
        <w:rPr>
          <w:rFonts w:hint="eastAsia" w:ascii="仿宋" w:hAnsi="仿宋" w:eastAsia="仿宋" w:cs="宋体"/>
          <w:sz w:val="24"/>
          <w:szCs w:val="24"/>
          <w:highlight w:val="none"/>
          <w:lang w:val="en-US" w:eastAsia="zh-CN"/>
        </w:rPr>
        <w:t>伴随产品</w:t>
      </w:r>
      <w:r>
        <w:rPr>
          <w:rFonts w:hint="eastAsia" w:ascii="仿宋" w:hAnsi="仿宋" w:eastAsia="仿宋" w:cs="宋体"/>
          <w:sz w:val="24"/>
          <w:szCs w:val="24"/>
          <w:highlight w:val="none"/>
        </w:rPr>
        <w:t>如在实际供货时已经废型，则中标供应商应用供货时该厂家的最新产品提供给用户单位，其性能指标不得低于所投</w:t>
      </w:r>
      <w:r>
        <w:rPr>
          <w:rFonts w:hint="eastAsia" w:ascii="仿宋" w:hAnsi="仿宋" w:eastAsia="仿宋" w:cs="宋体"/>
          <w:sz w:val="24"/>
          <w:szCs w:val="24"/>
          <w:highlight w:val="none"/>
          <w:lang w:val="en-US" w:eastAsia="zh-CN"/>
        </w:rPr>
        <w:t>伴随产品</w:t>
      </w:r>
      <w:r>
        <w:rPr>
          <w:rFonts w:hint="eastAsia" w:ascii="仿宋" w:hAnsi="仿宋" w:eastAsia="仿宋" w:cs="宋体"/>
          <w:sz w:val="24"/>
          <w:szCs w:val="24"/>
          <w:highlight w:val="none"/>
        </w:rPr>
        <w:t>，并且价格不变。</w:t>
      </w:r>
    </w:p>
    <w:p w14:paraId="1182A112">
      <w:pPr>
        <w:spacing w:line="360" w:lineRule="auto"/>
        <w:ind w:firstLine="480" w:firstLineChars="200"/>
        <w:jc w:val="left"/>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8.培训：</w:t>
      </w:r>
      <w:r>
        <w:rPr>
          <w:rFonts w:hint="eastAsia" w:ascii="仿宋" w:hAnsi="仿宋" w:eastAsia="仿宋" w:cs="宋体"/>
          <w:sz w:val="24"/>
          <w:szCs w:val="24"/>
          <w:highlight w:val="none"/>
          <w:lang w:eastAsia="zh-CN"/>
        </w:rPr>
        <w:t>要求中标人提供技术培训，为采购人培训技术人员，确保操作者熟悉</w:t>
      </w:r>
      <w:r>
        <w:rPr>
          <w:rFonts w:hint="eastAsia" w:ascii="仿宋" w:hAnsi="仿宋" w:eastAsia="仿宋" w:cs="宋体"/>
          <w:sz w:val="24"/>
          <w:szCs w:val="24"/>
          <w:highlight w:val="none"/>
          <w:lang w:val="en-US" w:eastAsia="zh-CN"/>
        </w:rPr>
        <w:t>服务内容和功能。培训包括操作维护指导、主要功能、使用方法、注意事项及应急处置措施，保证安全高效、无风险，涵盖日常操作维护、故障排除和紧急处理。培训地点在服务现场或协商安排，所有费用已含在投标总价中。</w:t>
      </w:r>
    </w:p>
    <w:p w14:paraId="768E2341">
      <w:pPr>
        <w:widowControl/>
        <w:spacing w:line="360" w:lineRule="auto"/>
        <w:ind w:firstLine="482" w:firstLineChars="200"/>
        <w:jc w:val="left"/>
        <w:outlineLvl w:val="0"/>
        <w:rPr>
          <w:rFonts w:hint="eastAsia" w:ascii="仿宋" w:hAnsi="仿宋" w:eastAsia="仿宋" w:cs="宋体"/>
          <w:sz w:val="24"/>
          <w:szCs w:val="24"/>
          <w:highlight w:val="none"/>
          <w:lang w:val="en-US" w:eastAsia="zh-CN"/>
        </w:rPr>
      </w:pPr>
      <w:r>
        <w:rPr>
          <w:rFonts w:hint="eastAsia" w:ascii="仿宋" w:hAnsi="仿宋" w:eastAsia="仿宋" w:cs="宋体"/>
          <w:b/>
          <w:bCs/>
          <w:sz w:val="24"/>
          <w:szCs w:val="24"/>
          <w:highlight w:val="none"/>
          <w:lang w:val="en-US" w:eastAsia="zh-CN"/>
        </w:rPr>
        <w:t>7、报价要求</w:t>
      </w:r>
    </w:p>
    <w:p w14:paraId="67532567">
      <w:pPr>
        <w:widowControl/>
        <w:spacing w:line="360" w:lineRule="auto"/>
        <w:ind w:firstLine="480" w:firstLineChars="200"/>
        <w:jc w:val="left"/>
        <w:outlineLvl w:val="0"/>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1、总报价应包括各种人力成本、设备成本、资料费、服务费、税费及合同实施过程中的所有费用。</w:t>
      </w:r>
    </w:p>
    <w:p w14:paraId="07630EA9">
      <w:pPr>
        <w:widowControl/>
        <w:spacing w:line="360" w:lineRule="auto"/>
        <w:ind w:firstLine="480" w:firstLineChars="200"/>
        <w:jc w:val="left"/>
        <w:outlineLvl w:val="0"/>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2、报价不能超过该项目的最高限价，须精确到小数点后两位，如未按要求报价则为无效投标文件处理。</w:t>
      </w:r>
    </w:p>
    <w:p w14:paraId="29B58B24">
      <w:pPr>
        <w:widowControl/>
        <w:spacing w:line="360" w:lineRule="auto"/>
        <w:ind w:firstLine="480" w:firstLineChars="200"/>
        <w:jc w:val="left"/>
        <w:outlineLvl w:val="0"/>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3、投标报价风险  投标人投标报价以人民币为单位。投标报价包括但不限于：往返机票、住宿、餐饮、门票、保险、交通工具、摄影费、承办机构服务费发票税费、返和后宣传费、等与本项目相关的一切服务，途中风险由中标供应商自行承担；合同实施过程中应预见和不可预见费用等。</w:t>
      </w:r>
    </w:p>
    <w:p w14:paraId="02965FCF">
      <w:pPr>
        <w:widowControl/>
        <w:spacing w:line="360" w:lineRule="auto"/>
        <w:ind w:firstLine="482" w:firstLineChars="200"/>
        <w:jc w:val="left"/>
        <w:outlineLvl w:val="0"/>
        <w:rPr>
          <w:rFonts w:hint="eastAsia" w:ascii="仿宋" w:hAnsi="仿宋" w:eastAsia="仿宋" w:cs="宋体"/>
          <w:b/>
          <w:bCs/>
          <w:sz w:val="24"/>
          <w:szCs w:val="24"/>
          <w:highlight w:val="none"/>
          <w:lang w:val="en-US" w:eastAsia="zh-CN"/>
        </w:rPr>
      </w:pPr>
      <w:r>
        <w:rPr>
          <w:rFonts w:hint="eastAsia" w:ascii="仿宋" w:hAnsi="仿宋" w:eastAsia="仿宋" w:cs="宋体"/>
          <w:b/>
          <w:bCs/>
          <w:sz w:val="24"/>
          <w:szCs w:val="24"/>
          <w:highlight w:val="none"/>
          <w:lang w:val="en-US" w:eastAsia="zh-CN"/>
        </w:rPr>
        <w:t>8、项目验收：</w:t>
      </w:r>
    </w:p>
    <w:p w14:paraId="509D95A5">
      <w:pPr>
        <w:widowControl/>
        <w:spacing w:line="360" w:lineRule="auto"/>
        <w:ind w:firstLine="480" w:firstLineChars="200"/>
        <w:jc w:val="left"/>
        <w:outlineLvl w:val="0"/>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1、货物运抵现场后，采购人将对货物数量、质量、规格等进行检验。如发现货物和规格或者两者都与招标文件、投标文件、合同不符，采购人有权限根据检验结果要求中标人立即更换或者提出索赔要求。</w:t>
      </w:r>
    </w:p>
    <w:p w14:paraId="33B0CD94">
      <w:pPr>
        <w:widowControl/>
        <w:spacing w:line="360" w:lineRule="auto"/>
        <w:ind w:firstLine="480" w:firstLineChars="200"/>
        <w:jc w:val="left"/>
        <w:outlineLvl w:val="0"/>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2、货物由中标人进行安装，完毕后，采购人应对货物的数量、质量、规格、性能等进行详细而全面的检验。安装完毕7日后，证明货物以及安装质量无任何问题，由采购人组成的验收小组签署验收报告。</w:t>
      </w:r>
    </w:p>
    <w:p w14:paraId="01000060">
      <w:pPr>
        <w:widowControl/>
        <w:spacing w:line="360" w:lineRule="auto"/>
        <w:ind w:firstLine="480" w:firstLineChars="200"/>
        <w:jc w:val="left"/>
        <w:outlineLvl w:val="0"/>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3、服务期满或达到合同约定的服务节点后，采购人将依据“质效评估”指标，通过信息系统监测、实地调研、问卷调查等方式进行综合验收评估。评估结果达到“合格标准”的，视为服务验收通过。</w:t>
      </w:r>
    </w:p>
    <w:p w14:paraId="2405ACB8">
      <w:pPr>
        <w:ind w:firstLine="482" w:firstLineChars="200"/>
        <w:rPr>
          <w:rFonts w:hint="eastAsia" w:ascii="仿宋" w:hAnsi="仿宋" w:eastAsia="仿宋" w:cs="仿宋"/>
          <w:b/>
          <w:bCs/>
          <w:sz w:val="24"/>
          <w:szCs w:val="32"/>
          <w:highlight w:val="none"/>
          <w:lang w:val="en-US" w:eastAsia="zh-CN"/>
        </w:rPr>
      </w:pPr>
      <w:r>
        <w:rPr>
          <w:rFonts w:hint="eastAsia" w:ascii="仿宋" w:hAnsi="仿宋" w:eastAsia="仿宋" w:cs="仿宋"/>
          <w:b/>
          <w:bCs/>
          <w:sz w:val="24"/>
          <w:szCs w:val="32"/>
          <w:highlight w:val="none"/>
          <w:lang w:val="en-US" w:eastAsia="zh-CN"/>
        </w:rPr>
        <w:t>其他未尽事宜须满足现行相关法律法规、规章制度、验收规范、操作规程、技术标准等要求。</w:t>
      </w:r>
    </w:p>
    <w:p w14:paraId="0188D2C1">
      <w:pPr>
        <w:pStyle w:val="2"/>
        <w:rPr>
          <w:rFonts w:hint="eastAsia" w:ascii="仿宋" w:hAnsi="仿宋" w:eastAsia="仿宋" w:cs="仿宋"/>
          <w:b/>
          <w:bCs/>
          <w:sz w:val="24"/>
          <w:szCs w:val="32"/>
          <w:highlight w:val="none"/>
          <w:lang w:val="en-US" w:eastAsia="zh-CN"/>
        </w:rPr>
      </w:pPr>
    </w:p>
    <w:p w14:paraId="131DCED1">
      <w:pPr>
        <w:pStyle w:val="2"/>
        <w:rPr>
          <w:rFonts w:hint="eastAsia" w:ascii="仿宋" w:hAnsi="仿宋" w:eastAsia="仿宋" w:cs="仿宋"/>
          <w:b/>
          <w:bCs/>
          <w:sz w:val="24"/>
          <w:szCs w:val="32"/>
          <w:highlight w:val="none"/>
          <w:lang w:val="en-US" w:eastAsia="zh-CN"/>
        </w:rPr>
      </w:pPr>
    </w:p>
    <w:p w14:paraId="56F9C39B">
      <w:pPr>
        <w:pStyle w:val="2"/>
        <w:rPr>
          <w:rFonts w:hint="eastAsia" w:ascii="仿宋" w:hAnsi="仿宋" w:eastAsia="仿宋" w:cs="仿宋"/>
          <w:b/>
          <w:bCs/>
          <w:sz w:val="24"/>
          <w:szCs w:val="32"/>
          <w:highlight w:val="none"/>
          <w:lang w:val="en-US" w:eastAsia="zh-CN"/>
        </w:rPr>
      </w:pPr>
    </w:p>
    <w:p w14:paraId="239D9D78">
      <w:pPr>
        <w:pStyle w:val="2"/>
        <w:rPr>
          <w:rFonts w:hint="eastAsia" w:ascii="仿宋" w:hAnsi="仿宋" w:eastAsia="仿宋" w:cs="仿宋"/>
          <w:b/>
          <w:bCs/>
          <w:sz w:val="24"/>
          <w:szCs w:val="32"/>
          <w:highlight w:val="none"/>
          <w:lang w:val="en-US" w:eastAsia="zh-CN"/>
        </w:rPr>
      </w:pPr>
    </w:p>
    <w:p w14:paraId="6DBDBF1A">
      <w:pPr>
        <w:pStyle w:val="2"/>
        <w:rPr>
          <w:rFonts w:hint="eastAsia" w:ascii="仿宋" w:hAnsi="仿宋" w:eastAsia="仿宋" w:cs="仿宋"/>
          <w:b/>
          <w:bCs/>
          <w:sz w:val="24"/>
          <w:szCs w:val="32"/>
          <w:highlight w:val="none"/>
          <w:lang w:val="en-US" w:eastAsia="zh-CN"/>
        </w:rPr>
      </w:pPr>
    </w:p>
    <w:p w14:paraId="0D05C2F6">
      <w:pPr>
        <w:pStyle w:val="2"/>
        <w:rPr>
          <w:rFonts w:hint="eastAsia" w:ascii="仿宋" w:hAnsi="仿宋" w:eastAsia="仿宋" w:cs="仿宋"/>
          <w:b/>
          <w:bCs/>
          <w:sz w:val="24"/>
          <w:szCs w:val="32"/>
          <w:highlight w:val="none"/>
          <w:lang w:val="en-US" w:eastAsia="zh-CN"/>
        </w:rPr>
      </w:pPr>
    </w:p>
    <w:p w14:paraId="2E9F3184">
      <w:pPr>
        <w:pStyle w:val="2"/>
        <w:rPr>
          <w:rFonts w:hint="eastAsia" w:ascii="仿宋" w:hAnsi="仿宋" w:eastAsia="仿宋" w:cs="仿宋"/>
          <w:b/>
          <w:bCs/>
          <w:sz w:val="24"/>
          <w:szCs w:val="32"/>
          <w:highlight w:val="none"/>
          <w:lang w:val="en-US" w:eastAsia="zh-CN"/>
        </w:rPr>
      </w:pPr>
    </w:p>
    <w:p w14:paraId="400A3A55">
      <w:pPr>
        <w:pStyle w:val="2"/>
        <w:rPr>
          <w:rFonts w:hint="eastAsia" w:ascii="仿宋" w:hAnsi="仿宋" w:eastAsia="仿宋" w:cs="仿宋"/>
          <w:b/>
          <w:bCs/>
          <w:sz w:val="24"/>
          <w:szCs w:val="32"/>
          <w:highlight w:val="none"/>
          <w:lang w:val="en-US" w:eastAsia="zh-CN"/>
        </w:rPr>
      </w:pPr>
    </w:p>
    <w:p w14:paraId="166AC0F5">
      <w:pPr>
        <w:pStyle w:val="2"/>
        <w:rPr>
          <w:rFonts w:hint="eastAsia" w:ascii="仿宋" w:hAnsi="仿宋" w:eastAsia="仿宋" w:cs="仿宋"/>
          <w:b/>
          <w:bCs/>
          <w:sz w:val="24"/>
          <w:szCs w:val="32"/>
          <w:highlight w:val="none"/>
          <w:lang w:val="en-US" w:eastAsia="zh-CN"/>
        </w:rPr>
      </w:pPr>
    </w:p>
    <w:p w14:paraId="53AA27F3">
      <w:pPr>
        <w:pStyle w:val="2"/>
        <w:rPr>
          <w:rFonts w:hint="eastAsia" w:ascii="仿宋" w:hAnsi="仿宋" w:eastAsia="仿宋" w:cs="仿宋"/>
          <w:b/>
          <w:bCs/>
          <w:sz w:val="24"/>
          <w:szCs w:val="32"/>
          <w:highlight w:val="none"/>
          <w:lang w:val="en-US" w:eastAsia="zh-CN"/>
        </w:rPr>
      </w:pPr>
    </w:p>
    <w:p w14:paraId="76A1E74A">
      <w:pPr>
        <w:pStyle w:val="2"/>
        <w:rPr>
          <w:rFonts w:hint="eastAsia" w:ascii="仿宋" w:hAnsi="仿宋" w:eastAsia="仿宋" w:cs="仿宋"/>
          <w:b/>
          <w:bCs/>
          <w:sz w:val="24"/>
          <w:szCs w:val="32"/>
          <w:highlight w:val="none"/>
          <w:lang w:val="en-US" w:eastAsia="zh-CN"/>
        </w:rPr>
      </w:pPr>
    </w:p>
    <w:p w14:paraId="4E04B458">
      <w:pPr>
        <w:pStyle w:val="2"/>
        <w:rPr>
          <w:rFonts w:hint="eastAsia" w:ascii="仿宋" w:hAnsi="仿宋" w:eastAsia="仿宋" w:cs="仿宋"/>
          <w:b/>
          <w:bCs/>
          <w:sz w:val="24"/>
          <w:szCs w:val="32"/>
          <w:highlight w:val="none"/>
          <w:lang w:val="en-US" w:eastAsia="zh-CN"/>
        </w:rPr>
      </w:pPr>
    </w:p>
    <w:p w14:paraId="1CDBA1B0">
      <w:pPr>
        <w:pStyle w:val="2"/>
        <w:rPr>
          <w:rFonts w:hint="eastAsia" w:ascii="仿宋" w:hAnsi="仿宋" w:eastAsia="仿宋" w:cs="仿宋"/>
          <w:b/>
          <w:bCs/>
          <w:sz w:val="24"/>
          <w:szCs w:val="32"/>
          <w:highlight w:val="none"/>
          <w:lang w:val="en-US" w:eastAsia="zh-CN"/>
        </w:rPr>
      </w:pPr>
    </w:p>
    <w:p w14:paraId="7EB47C50">
      <w:pPr>
        <w:pStyle w:val="2"/>
        <w:rPr>
          <w:rFonts w:hint="eastAsia" w:ascii="仿宋" w:hAnsi="仿宋" w:eastAsia="仿宋" w:cs="仿宋"/>
          <w:b/>
          <w:bCs/>
          <w:sz w:val="24"/>
          <w:szCs w:val="32"/>
          <w:highlight w:val="none"/>
          <w:lang w:val="en-US" w:eastAsia="zh-CN"/>
        </w:rPr>
      </w:pPr>
    </w:p>
    <w:p w14:paraId="1589EA10">
      <w:pPr>
        <w:pStyle w:val="2"/>
        <w:rPr>
          <w:rFonts w:hint="eastAsia" w:ascii="仿宋" w:hAnsi="仿宋" w:eastAsia="仿宋" w:cs="仿宋"/>
          <w:b/>
          <w:bCs/>
          <w:sz w:val="24"/>
          <w:szCs w:val="32"/>
          <w:highlight w:val="none"/>
          <w:lang w:val="en-US" w:eastAsia="zh-CN"/>
        </w:rPr>
      </w:pPr>
    </w:p>
    <w:p w14:paraId="276464B9">
      <w:pPr>
        <w:pStyle w:val="2"/>
        <w:rPr>
          <w:rFonts w:hint="eastAsia" w:ascii="仿宋" w:hAnsi="仿宋" w:eastAsia="仿宋" w:cs="仿宋"/>
          <w:b/>
          <w:bCs/>
          <w:sz w:val="24"/>
          <w:szCs w:val="32"/>
          <w:highlight w:val="none"/>
          <w:lang w:val="en-US" w:eastAsia="zh-CN"/>
        </w:rPr>
      </w:pPr>
    </w:p>
    <w:p w14:paraId="4D874A7E">
      <w:pPr>
        <w:pStyle w:val="2"/>
        <w:rPr>
          <w:rFonts w:hint="eastAsia" w:ascii="仿宋" w:hAnsi="仿宋" w:eastAsia="仿宋" w:cs="仿宋"/>
          <w:b/>
          <w:bCs/>
          <w:sz w:val="24"/>
          <w:szCs w:val="32"/>
          <w:highlight w:val="none"/>
          <w:lang w:val="en-US" w:eastAsia="zh-CN"/>
        </w:rPr>
      </w:pPr>
    </w:p>
    <w:p w14:paraId="0655808F">
      <w:pPr>
        <w:pStyle w:val="2"/>
        <w:rPr>
          <w:rFonts w:hint="eastAsia" w:ascii="仿宋" w:hAnsi="仿宋" w:eastAsia="仿宋" w:cs="仿宋"/>
          <w:b/>
          <w:bCs/>
          <w:sz w:val="24"/>
          <w:szCs w:val="32"/>
          <w:highlight w:val="none"/>
          <w:lang w:val="en-US" w:eastAsia="zh-CN"/>
        </w:rPr>
      </w:pPr>
    </w:p>
    <w:p w14:paraId="0A2F2081">
      <w:pPr>
        <w:pStyle w:val="2"/>
        <w:rPr>
          <w:rFonts w:hint="eastAsia" w:ascii="仿宋" w:hAnsi="仿宋" w:eastAsia="仿宋" w:cs="仿宋"/>
          <w:b/>
          <w:bCs/>
          <w:sz w:val="24"/>
          <w:szCs w:val="32"/>
          <w:highlight w:val="none"/>
          <w:lang w:val="en-US" w:eastAsia="zh-CN"/>
        </w:rPr>
      </w:pPr>
    </w:p>
    <w:p w14:paraId="20723076">
      <w:pPr>
        <w:pStyle w:val="2"/>
        <w:rPr>
          <w:rFonts w:hint="eastAsia" w:ascii="仿宋" w:hAnsi="仿宋" w:eastAsia="仿宋" w:cs="仿宋"/>
          <w:b/>
          <w:bCs/>
          <w:sz w:val="24"/>
          <w:szCs w:val="32"/>
          <w:highlight w:val="none"/>
          <w:lang w:val="en-US" w:eastAsia="zh-CN"/>
        </w:rPr>
      </w:pPr>
    </w:p>
    <w:p w14:paraId="0D072F85">
      <w:pPr>
        <w:pStyle w:val="2"/>
        <w:rPr>
          <w:rFonts w:hint="eastAsia" w:ascii="仿宋" w:hAnsi="仿宋" w:eastAsia="仿宋" w:cs="仿宋"/>
          <w:b/>
          <w:bCs/>
          <w:sz w:val="24"/>
          <w:szCs w:val="32"/>
          <w:highlight w:val="none"/>
          <w:lang w:val="en-US" w:eastAsia="zh-CN"/>
        </w:rPr>
      </w:pPr>
    </w:p>
    <w:p w14:paraId="0D2167E0">
      <w:pPr>
        <w:pStyle w:val="2"/>
        <w:rPr>
          <w:rFonts w:hint="eastAsia" w:ascii="仿宋" w:hAnsi="仿宋" w:eastAsia="仿宋" w:cs="仿宋"/>
          <w:b/>
          <w:bCs/>
          <w:sz w:val="24"/>
          <w:szCs w:val="32"/>
          <w:highlight w:val="none"/>
          <w:lang w:val="en-US" w:eastAsia="zh-CN"/>
        </w:rPr>
      </w:pPr>
    </w:p>
    <w:p w14:paraId="4548DB9B">
      <w:pPr>
        <w:pStyle w:val="2"/>
        <w:rPr>
          <w:rFonts w:hint="eastAsia" w:ascii="仿宋" w:hAnsi="仿宋" w:eastAsia="仿宋" w:cs="仿宋"/>
          <w:b/>
          <w:bCs/>
          <w:sz w:val="24"/>
          <w:szCs w:val="32"/>
          <w:highlight w:val="none"/>
          <w:lang w:val="en-US" w:eastAsia="zh-CN"/>
        </w:rPr>
      </w:pPr>
    </w:p>
    <w:p w14:paraId="178380C1">
      <w:pPr>
        <w:pStyle w:val="2"/>
        <w:rPr>
          <w:rFonts w:hint="eastAsia" w:ascii="仿宋" w:hAnsi="仿宋" w:eastAsia="仿宋" w:cs="仿宋"/>
          <w:b/>
          <w:bCs/>
          <w:sz w:val="24"/>
          <w:szCs w:val="32"/>
          <w:highlight w:val="none"/>
          <w:lang w:val="en-US" w:eastAsia="zh-CN"/>
        </w:rPr>
      </w:pPr>
    </w:p>
    <w:p w14:paraId="693B1BC5">
      <w:pPr>
        <w:pStyle w:val="2"/>
        <w:rPr>
          <w:rFonts w:hint="eastAsia" w:ascii="仿宋" w:hAnsi="仿宋" w:eastAsia="仿宋" w:cs="仿宋"/>
          <w:b/>
          <w:bCs/>
          <w:sz w:val="24"/>
          <w:szCs w:val="32"/>
          <w:highlight w:val="none"/>
          <w:lang w:val="en-US" w:eastAsia="zh-CN"/>
        </w:rPr>
      </w:pPr>
    </w:p>
    <w:p w14:paraId="42B2F396">
      <w:pPr>
        <w:spacing w:before="61" w:line="219" w:lineRule="auto"/>
        <w:ind w:firstLine="482" w:firstLineChars="200"/>
        <w:rPr>
          <w:rFonts w:hint="eastAsia" w:ascii="仿宋" w:hAnsi="仿宋" w:eastAsia="仿宋" w:cs="仿宋"/>
          <w:b/>
          <w:bCs/>
          <w:sz w:val="24"/>
          <w:szCs w:val="32"/>
          <w:highlight w:val="none"/>
          <w:lang w:val="en-US" w:eastAsia="zh-CN"/>
        </w:rPr>
      </w:pPr>
    </w:p>
    <w:p w14:paraId="2BC42D9F">
      <w:pPr>
        <w:pStyle w:val="4"/>
        <w:keepNext/>
        <w:keepLines/>
        <w:pageBreakBefore w:val="0"/>
        <w:widowControl w:val="0"/>
        <w:numPr>
          <w:ilvl w:val="0"/>
          <w:numId w:val="0"/>
        </w:numPr>
        <w:kinsoku/>
        <w:wordWrap/>
        <w:overflowPunct/>
        <w:topLinePunct w:val="0"/>
        <w:autoSpaceDE/>
        <w:autoSpaceDN/>
        <w:bidi w:val="0"/>
        <w:adjustRightInd/>
        <w:snapToGrid/>
        <w:spacing w:before="220" w:after="220" w:line="480" w:lineRule="auto"/>
        <w:ind w:left="420" w:leftChars="0" w:hanging="420" w:firstLineChars="0"/>
        <w:textAlignment w:val="auto"/>
        <w:rPr>
          <w:rFonts w:hint="eastAsia" w:ascii="宋体" w:hAnsi="宋体" w:eastAsia="宋体" w:cs="宋体"/>
          <w:b/>
          <w:bCs/>
          <w:i w:val="0"/>
          <w:iCs w:val="0"/>
          <w:color w:val="auto"/>
          <w:kern w:val="44"/>
          <w:sz w:val="36"/>
          <w:szCs w:val="36"/>
          <w:highlight w:val="none"/>
          <w:lang w:val="en-US" w:eastAsia="zh-CN" w:bidi="ar-SA"/>
        </w:rPr>
      </w:pPr>
      <w:r>
        <w:rPr>
          <w:rFonts w:hint="eastAsia" w:ascii="宋体" w:hAnsi="宋体" w:eastAsia="宋体" w:cs="宋体"/>
          <w:b/>
          <w:bCs/>
          <w:i w:val="0"/>
          <w:iCs w:val="0"/>
          <w:color w:val="auto"/>
          <w:kern w:val="44"/>
          <w:sz w:val="36"/>
          <w:szCs w:val="36"/>
          <w:highlight w:val="none"/>
          <w:lang w:val="en-US" w:eastAsia="zh-CN" w:bidi="ar-SA"/>
        </w:rPr>
        <w:t>第四章 评审方法及标准</w:t>
      </w:r>
      <w:bookmarkEnd w:id="415"/>
      <w:bookmarkEnd w:id="416"/>
    </w:p>
    <w:p w14:paraId="229327AD">
      <w:pPr>
        <w:pStyle w:val="5"/>
        <w:keepNext w:val="0"/>
        <w:keepLines w:val="0"/>
        <w:pageBreakBefore w:val="0"/>
        <w:widowControl w:val="0"/>
        <w:numPr>
          <w:ilvl w:val="0"/>
          <w:numId w:val="0"/>
        </w:numPr>
        <w:kinsoku/>
        <w:wordWrap/>
        <w:overflowPunct/>
        <w:topLinePunct w:val="0"/>
        <w:autoSpaceDE/>
        <w:autoSpaceDN/>
        <w:bidi w:val="0"/>
        <w:adjustRightInd/>
        <w:snapToGrid/>
        <w:spacing w:before="120" w:after="120" w:line="440" w:lineRule="exact"/>
        <w:ind w:left="420" w:leftChars="0" w:hanging="420" w:firstLineChars="0"/>
        <w:jc w:val="both"/>
        <w:textAlignment w:val="auto"/>
        <w:rPr>
          <w:rFonts w:hint="eastAsia"/>
          <w:i w:val="0"/>
          <w:iCs w:val="0"/>
          <w:color w:val="auto"/>
          <w:sz w:val="28"/>
          <w:szCs w:val="28"/>
          <w:highlight w:val="none"/>
          <w:lang w:val="zh-CN" w:eastAsia="zh-CN"/>
        </w:rPr>
      </w:pPr>
      <w:bookmarkStart w:id="417" w:name="_Toc163493632"/>
      <w:bookmarkStart w:id="418" w:name="_Toc1780"/>
      <w:r>
        <w:rPr>
          <w:rFonts w:hint="eastAsia"/>
          <w:i w:val="0"/>
          <w:iCs w:val="0"/>
          <w:color w:val="auto"/>
          <w:sz w:val="28"/>
          <w:szCs w:val="28"/>
          <w:highlight w:val="none"/>
          <w:lang w:val="en-US" w:eastAsia="zh-CN"/>
        </w:rPr>
        <w:t>一、</w:t>
      </w:r>
      <w:r>
        <w:rPr>
          <w:rFonts w:hint="eastAsia"/>
          <w:i w:val="0"/>
          <w:iCs w:val="0"/>
          <w:color w:val="auto"/>
          <w:sz w:val="28"/>
          <w:szCs w:val="28"/>
          <w:highlight w:val="none"/>
          <w:lang w:val="zh-CN" w:eastAsia="zh-CN"/>
        </w:rPr>
        <w:t>评审方法</w:t>
      </w:r>
      <w:bookmarkEnd w:id="417"/>
      <w:bookmarkEnd w:id="418"/>
    </w:p>
    <w:p w14:paraId="2D06D7F9">
      <w:pPr>
        <w:pStyle w:val="38"/>
        <w:pageBreakBefore w:val="0"/>
        <w:kinsoku/>
        <w:overflowPunct/>
        <w:topLinePunct w:val="0"/>
        <w:autoSpaceDE/>
        <w:autoSpaceDN/>
        <w:bidi w:val="0"/>
        <w:spacing w:line="440" w:lineRule="exact"/>
        <w:ind w:firstLine="480"/>
        <w:jc w:val="both"/>
        <w:textAlignment w:val="auto"/>
        <w:rPr>
          <w:i w:val="0"/>
          <w:iCs w:val="0"/>
          <w:color w:val="auto"/>
          <w:highlight w:val="none"/>
        </w:rPr>
      </w:pPr>
      <w:r>
        <w:rPr>
          <w:rFonts w:hint="eastAsia"/>
          <w:i w:val="0"/>
          <w:iCs w:val="0"/>
          <w:color w:val="auto"/>
          <w:highlight w:val="none"/>
        </w:rPr>
        <w:t>本项目采用综合评分法。综合评分法是指经磋商确定最终采购需求和提交最后报价</w:t>
      </w:r>
      <w:r>
        <w:rPr>
          <w:rFonts w:hint="eastAsia"/>
          <w:b/>
          <w:bCs/>
          <w:i w:val="0"/>
          <w:iCs w:val="0"/>
          <w:color w:val="auto"/>
          <w:szCs w:val="24"/>
          <w:highlight w:val="none"/>
          <w:lang w:val="zh-CN"/>
        </w:rPr>
        <w:t>（因落实政府采购政策进行价格调整的，以调整后的价格计算）</w:t>
      </w:r>
      <w:r>
        <w:rPr>
          <w:rFonts w:hint="eastAsia"/>
          <w:i w:val="0"/>
          <w:iCs w:val="0"/>
          <w:color w:val="auto"/>
          <w:highlight w:val="none"/>
        </w:rPr>
        <w:t>的供应商的响应文件满足磋商文件全部实质性要求且按评审因素的量化指标评审得分最高的供应商为成交候选供应商的评审方法。</w:t>
      </w:r>
    </w:p>
    <w:p w14:paraId="04FD02C4">
      <w:pPr>
        <w:pStyle w:val="5"/>
        <w:keepNext w:val="0"/>
        <w:keepLines w:val="0"/>
        <w:pageBreakBefore w:val="0"/>
        <w:widowControl w:val="0"/>
        <w:numPr>
          <w:ilvl w:val="0"/>
          <w:numId w:val="0"/>
        </w:numPr>
        <w:kinsoku/>
        <w:wordWrap/>
        <w:overflowPunct/>
        <w:topLinePunct w:val="0"/>
        <w:autoSpaceDE/>
        <w:autoSpaceDN/>
        <w:bidi w:val="0"/>
        <w:adjustRightInd/>
        <w:snapToGrid/>
        <w:spacing w:before="120" w:after="120" w:line="440" w:lineRule="exact"/>
        <w:ind w:left="420" w:leftChars="0" w:hanging="420" w:firstLineChars="0"/>
        <w:jc w:val="both"/>
        <w:textAlignment w:val="auto"/>
        <w:rPr>
          <w:rFonts w:hint="eastAsia"/>
          <w:i w:val="0"/>
          <w:iCs w:val="0"/>
          <w:color w:val="auto"/>
          <w:sz w:val="28"/>
          <w:szCs w:val="28"/>
          <w:highlight w:val="none"/>
          <w:lang w:val="zh-CN" w:eastAsia="zh-CN"/>
        </w:rPr>
      </w:pPr>
      <w:bookmarkStart w:id="419" w:name="_Toc9851"/>
      <w:bookmarkStart w:id="420" w:name="_Toc163493633"/>
      <w:r>
        <w:rPr>
          <w:rFonts w:hint="eastAsia"/>
          <w:i w:val="0"/>
          <w:iCs w:val="0"/>
          <w:color w:val="auto"/>
          <w:sz w:val="28"/>
          <w:szCs w:val="28"/>
          <w:highlight w:val="none"/>
          <w:lang w:val="en-US" w:eastAsia="zh-CN"/>
        </w:rPr>
        <w:t>二、</w:t>
      </w:r>
      <w:r>
        <w:rPr>
          <w:rFonts w:hint="eastAsia"/>
          <w:i w:val="0"/>
          <w:iCs w:val="0"/>
          <w:color w:val="auto"/>
          <w:sz w:val="28"/>
          <w:szCs w:val="28"/>
          <w:highlight w:val="none"/>
          <w:lang w:val="zh-CN" w:eastAsia="zh-CN"/>
        </w:rPr>
        <w:t>评审程序</w:t>
      </w:r>
      <w:bookmarkEnd w:id="419"/>
      <w:bookmarkEnd w:id="420"/>
    </w:p>
    <w:p w14:paraId="601C089C">
      <w:pPr>
        <w:pStyle w:val="6"/>
        <w:keepNext/>
        <w:keepLines/>
        <w:pageBreakBefore w:val="0"/>
        <w:widowControl w:val="0"/>
        <w:numPr>
          <w:ilvl w:val="0"/>
          <w:numId w:val="0"/>
        </w:numPr>
        <w:kinsoku/>
        <w:wordWrap/>
        <w:overflowPunct/>
        <w:topLinePunct w:val="0"/>
        <w:autoSpaceDE/>
        <w:autoSpaceDN/>
        <w:bidi w:val="0"/>
        <w:adjustRightInd/>
        <w:snapToGrid/>
        <w:spacing w:before="80" w:after="8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zh-CN" w:eastAsia="zh-CN" w:bidi="ar-SA"/>
        </w:rPr>
      </w:pPr>
      <w:bookmarkStart w:id="421" w:name="_Toc163493634"/>
      <w:r>
        <w:rPr>
          <w:rFonts w:hint="eastAsia" w:ascii="宋体" w:hAnsi="宋体" w:eastAsia="宋体" w:cs="宋体"/>
          <w:b/>
          <w:bCs/>
          <w:i w:val="0"/>
          <w:iCs w:val="0"/>
          <w:color w:val="auto"/>
          <w:kern w:val="2"/>
          <w:sz w:val="24"/>
          <w:szCs w:val="24"/>
          <w:highlight w:val="none"/>
          <w:lang w:val="zh-CN" w:eastAsia="zh-CN" w:bidi="ar-SA"/>
        </w:rPr>
        <w:t>（一）资格审查和符合性审查</w:t>
      </w:r>
      <w:bookmarkEnd w:id="421"/>
    </w:p>
    <w:p w14:paraId="695BDBBC">
      <w:pPr>
        <w:pageBreakBefore w:val="0"/>
        <w:tabs>
          <w:tab w:val="left" w:pos="312"/>
        </w:tabs>
        <w:kinsoku/>
        <w:wordWrap w:val="0"/>
        <w:overflowPunct/>
        <w:topLinePunct w:val="0"/>
        <w:autoSpaceDE/>
        <w:autoSpaceDN/>
        <w:bidi w:val="0"/>
        <w:adjustRightInd w:val="0"/>
        <w:snapToGrid w:val="0"/>
        <w:spacing w:line="440" w:lineRule="exact"/>
        <w:ind w:firstLine="480" w:firstLineChars="200"/>
        <w:jc w:val="both"/>
        <w:textAlignment w:val="auto"/>
        <w:rPr>
          <w:rFonts w:hint="eastAsia"/>
          <w:i w:val="0"/>
          <w:iCs w:val="0"/>
          <w:color w:val="auto"/>
          <w:highlight w:val="none"/>
          <w:lang w:val="zh-CN"/>
        </w:rPr>
      </w:pPr>
      <w:r>
        <w:rPr>
          <w:rFonts w:hint="eastAsia"/>
          <w:i w:val="0"/>
          <w:iCs w:val="0"/>
          <w:color w:val="auto"/>
          <w:szCs w:val="24"/>
          <w:highlight w:val="none"/>
        </w:rPr>
        <w:t>1</w:t>
      </w:r>
      <w:r>
        <w:rPr>
          <w:i w:val="0"/>
          <w:iCs w:val="0"/>
          <w:color w:val="auto"/>
          <w:szCs w:val="24"/>
          <w:highlight w:val="none"/>
        </w:rPr>
        <w:t>.</w:t>
      </w:r>
      <w:r>
        <w:rPr>
          <w:rFonts w:hint="eastAsia"/>
          <w:i w:val="0"/>
          <w:iCs w:val="0"/>
          <w:color w:val="auto"/>
          <w:szCs w:val="24"/>
          <w:highlight w:val="none"/>
        </w:rPr>
        <w:t>磋商小组</w:t>
      </w:r>
      <w:r>
        <w:rPr>
          <w:rFonts w:hint="eastAsia" w:cs="宋体"/>
          <w:i w:val="0"/>
          <w:iCs w:val="0"/>
          <w:color w:val="auto"/>
          <w:highlight w:val="none"/>
        </w:rPr>
        <w:t>根据磋商文件规定的供应商资格条件、评</w:t>
      </w:r>
      <w:r>
        <w:rPr>
          <w:rFonts w:hint="eastAsia" w:cs="宋体"/>
          <w:i w:val="0"/>
          <w:iCs w:val="0"/>
          <w:color w:val="auto"/>
          <w:highlight w:val="none"/>
          <w:lang w:val="en-US" w:eastAsia="zh-CN"/>
        </w:rPr>
        <w:t>审</w:t>
      </w:r>
      <w:r>
        <w:rPr>
          <w:rFonts w:hint="eastAsia" w:cs="宋体"/>
          <w:i w:val="0"/>
          <w:iCs w:val="0"/>
          <w:color w:val="auto"/>
          <w:highlight w:val="none"/>
        </w:rPr>
        <w:t>成交的标准等事项，对供应商的响应文件进行评审。资格审查和符合性审查不符合磋商文件要求的响应文件，按</w:t>
      </w:r>
      <w:r>
        <w:rPr>
          <w:rFonts w:hint="eastAsia" w:cs="宋体"/>
          <w:b/>
          <w:bCs/>
          <w:i w:val="0"/>
          <w:iCs w:val="0"/>
          <w:color w:val="auto"/>
          <w:highlight w:val="none"/>
        </w:rPr>
        <w:t>无效文件</w:t>
      </w:r>
      <w:r>
        <w:rPr>
          <w:rFonts w:hint="eastAsia" w:cs="宋体"/>
          <w:i w:val="0"/>
          <w:iCs w:val="0"/>
          <w:color w:val="auto"/>
          <w:highlight w:val="none"/>
        </w:rPr>
        <w:t>处理，不进入磋商，并告知有关供应商</w:t>
      </w:r>
      <w:r>
        <w:rPr>
          <w:rFonts w:hint="eastAsia"/>
          <w:i w:val="0"/>
          <w:iCs w:val="0"/>
          <w:color w:val="auto"/>
          <w:highlight w:val="none"/>
          <w:lang w:val="zh-CN"/>
        </w:rPr>
        <w:t>。</w:t>
      </w:r>
    </w:p>
    <w:p w14:paraId="56C107CC">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rPr>
      </w:pPr>
      <w:r>
        <w:rPr>
          <w:rFonts w:hint="eastAsia"/>
          <w:i w:val="0"/>
          <w:iCs w:val="0"/>
          <w:color w:val="auto"/>
          <w:highlight w:val="none"/>
        </w:rPr>
        <w:t>2.</w:t>
      </w:r>
      <w:r>
        <w:rPr>
          <w:rFonts w:hint="eastAsia"/>
          <w:i w:val="0"/>
          <w:iCs w:val="0"/>
          <w:color w:val="auto"/>
          <w:highlight w:val="none"/>
          <w:lang w:val="en-US" w:eastAsia="zh-CN"/>
        </w:rPr>
        <w:t>通过</w:t>
      </w:r>
      <w:r>
        <w:rPr>
          <w:rFonts w:hint="eastAsia" w:cs="宋体"/>
          <w:i w:val="0"/>
          <w:iCs w:val="0"/>
          <w:color w:val="auto"/>
          <w:highlight w:val="none"/>
        </w:rPr>
        <w:t>资格性审查和符合性审查</w:t>
      </w:r>
      <w:r>
        <w:rPr>
          <w:rFonts w:hint="eastAsia" w:cs="宋体"/>
          <w:i w:val="0"/>
          <w:iCs w:val="0"/>
          <w:color w:val="auto"/>
          <w:highlight w:val="none"/>
          <w:lang w:val="en-US" w:eastAsia="zh-CN"/>
        </w:rPr>
        <w:t>的</w:t>
      </w:r>
      <w:r>
        <w:rPr>
          <w:rFonts w:hint="eastAsia"/>
          <w:i w:val="0"/>
          <w:iCs w:val="0"/>
          <w:color w:val="auto"/>
          <w:highlight w:val="none"/>
        </w:rPr>
        <w:t>有效</w:t>
      </w:r>
      <w:r>
        <w:rPr>
          <w:rFonts w:hint="eastAsia"/>
          <w:i w:val="0"/>
          <w:iCs w:val="0"/>
          <w:color w:val="auto"/>
          <w:highlight w:val="none"/>
          <w:lang w:eastAsia="zh-CN"/>
        </w:rPr>
        <w:t>供应商</w:t>
      </w:r>
      <w:r>
        <w:rPr>
          <w:rFonts w:hint="eastAsia"/>
          <w:i w:val="0"/>
          <w:iCs w:val="0"/>
          <w:color w:val="auto"/>
          <w:highlight w:val="none"/>
        </w:rPr>
        <w:t>不足3家的应当终止竞争性磋商采购活动，发布项目终止公告并说明原因，重新开展采购活动。</w:t>
      </w:r>
    </w:p>
    <w:p w14:paraId="2902B531">
      <w:pPr>
        <w:pStyle w:val="38"/>
        <w:pageBreakBefore w:val="0"/>
        <w:kinsoku/>
        <w:overflowPunct/>
        <w:topLinePunct w:val="0"/>
        <w:autoSpaceDE/>
        <w:autoSpaceDN/>
        <w:bidi w:val="0"/>
        <w:spacing w:line="440" w:lineRule="exact"/>
        <w:ind w:firstLine="480"/>
        <w:jc w:val="both"/>
        <w:textAlignment w:val="auto"/>
        <w:rPr>
          <w:rFonts w:hint="default" w:eastAsia="宋体"/>
          <w:i w:val="0"/>
          <w:iCs w:val="0"/>
          <w:color w:val="auto"/>
          <w:highlight w:val="none"/>
          <w:lang w:val="en-US" w:eastAsia="zh-CN"/>
        </w:rPr>
      </w:pPr>
      <w:r>
        <w:rPr>
          <w:rFonts w:hint="eastAsia"/>
          <w:i w:val="0"/>
          <w:iCs w:val="0"/>
          <w:color w:val="auto"/>
          <w:highlight w:val="none"/>
          <w:lang w:val="en-US" w:eastAsia="zh-CN"/>
        </w:rPr>
        <w:t>3.根据《财政部关于政府采购竞争性磋商采购方式管理暂行办法有关问题的补充通知》的要求，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6698329">
      <w:pPr>
        <w:pStyle w:val="6"/>
        <w:keepNext/>
        <w:keepLines/>
        <w:pageBreakBefore w:val="0"/>
        <w:widowControl w:val="0"/>
        <w:numPr>
          <w:ilvl w:val="0"/>
          <w:numId w:val="0"/>
        </w:numPr>
        <w:kinsoku/>
        <w:wordWrap/>
        <w:overflowPunct/>
        <w:topLinePunct w:val="0"/>
        <w:autoSpaceDE/>
        <w:autoSpaceDN/>
        <w:bidi w:val="0"/>
        <w:adjustRightInd/>
        <w:snapToGrid/>
        <w:spacing w:before="80" w:after="8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zh-CN" w:eastAsia="zh-CN" w:bidi="ar-SA"/>
        </w:rPr>
      </w:pPr>
      <w:bookmarkStart w:id="422" w:name="_Toc163493635"/>
      <w:bookmarkStart w:id="423" w:name="_Hlk158124046"/>
      <w:bookmarkStart w:id="424" w:name="_Toc102056244"/>
      <w:bookmarkStart w:id="425" w:name="_Toc102119879"/>
      <w:bookmarkStart w:id="426" w:name="_Toc102114946"/>
      <w:bookmarkStart w:id="427" w:name="_Toc102116048"/>
      <w:bookmarkStart w:id="428" w:name="_Toc102057744"/>
      <w:bookmarkStart w:id="429" w:name="_Toc102116178"/>
      <w:r>
        <w:rPr>
          <w:rFonts w:hint="eastAsia" w:ascii="宋体" w:hAnsi="宋体" w:eastAsia="宋体" w:cs="宋体"/>
          <w:b/>
          <w:bCs/>
          <w:i w:val="0"/>
          <w:iCs w:val="0"/>
          <w:color w:val="auto"/>
          <w:kern w:val="2"/>
          <w:sz w:val="24"/>
          <w:szCs w:val="24"/>
          <w:highlight w:val="none"/>
          <w:lang w:val="en-US" w:eastAsia="zh-CN" w:bidi="ar-SA"/>
        </w:rPr>
        <w:t>（二）</w:t>
      </w:r>
      <w:r>
        <w:rPr>
          <w:rFonts w:hint="eastAsia" w:ascii="宋体" w:hAnsi="宋体" w:eastAsia="宋体" w:cs="宋体"/>
          <w:b/>
          <w:bCs/>
          <w:i w:val="0"/>
          <w:iCs w:val="0"/>
          <w:color w:val="auto"/>
          <w:kern w:val="2"/>
          <w:sz w:val="24"/>
          <w:szCs w:val="24"/>
          <w:highlight w:val="none"/>
          <w:lang w:val="zh-CN" w:eastAsia="zh-CN" w:bidi="ar-SA"/>
        </w:rPr>
        <w:t>响应文件澄清</w:t>
      </w:r>
      <w:bookmarkEnd w:id="422"/>
    </w:p>
    <w:p w14:paraId="0F20A57B">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i w:val="0"/>
          <w:iCs w:val="0"/>
          <w:color w:val="auto"/>
          <w:highlight w:val="none"/>
        </w:rPr>
      </w:pPr>
      <w:r>
        <w:rPr>
          <w:rFonts w:hint="eastAsia" w:ascii="宋体" w:hAnsi="宋体" w:eastAsia="宋体"/>
          <w:i w:val="0"/>
          <w:iCs w:val="0"/>
          <w:color w:val="auto"/>
          <w:highlight w:val="none"/>
        </w:rPr>
        <w:t>1.</w:t>
      </w:r>
      <w:r>
        <w:rPr>
          <w:rFonts w:hint="eastAsia" w:ascii="宋体" w:hAnsi="宋体" w:eastAsia="宋体"/>
          <w:i w:val="0"/>
          <w:iCs w:val="0"/>
          <w:color w:val="auto"/>
          <w:highlight w:val="none"/>
          <w:lang w:val="en-US" w:eastAsia="zh-CN"/>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E33F4C8">
      <w:pPr>
        <w:pStyle w:val="38"/>
        <w:pageBreakBefore w:val="0"/>
        <w:kinsoku/>
        <w:overflowPunct/>
        <w:topLinePunct w:val="0"/>
        <w:autoSpaceDE/>
        <w:autoSpaceDN/>
        <w:bidi w:val="0"/>
        <w:spacing w:line="440" w:lineRule="exact"/>
        <w:ind w:firstLine="480"/>
        <w:jc w:val="both"/>
        <w:textAlignment w:val="auto"/>
        <w:rPr>
          <w:i w:val="0"/>
          <w:iCs w:val="0"/>
          <w:color w:val="auto"/>
          <w:highlight w:val="none"/>
        </w:rPr>
      </w:pPr>
      <w:r>
        <w:rPr>
          <w:rFonts w:hint="eastAsia" w:ascii="宋体" w:hAnsi="宋体" w:eastAsia="宋体"/>
          <w:i w:val="0"/>
          <w:iCs w:val="0"/>
          <w:color w:val="auto"/>
          <w:highlight w:val="none"/>
          <w:lang w:val="en-US" w:eastAsia="zh-CN"/>
        </w:rPr>
        <w:t>2.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bookmarkEnd w:id="423"/>
    <w:p w14:paraId="62BCCE37">
      <w:pPr>
        <w:pStyle w:val="6"/>
        <w:keepNext/>
        <w:keepLines/>
        <w:pageBreakBefore w:val="0"/>
        <w:widowControl w:val="0"/>
        <w:numPr>
          <w:ilvl w:val="0"/>
          <w:numId w:val="0"/>
        </w:numPr>
        <w:kinsoku/>
        <w:wordWrap/>
        <w:overflowPunct/>
        <w:topLinePunct w:val="0"/>
        <w:autoSpaceDE/>
        <w:autoSpaceDN/>
        <w:bidi w:val="0"/>
        <w:adjustRightInd/>
        <w:snapToGrid/>
        <w:spacing w:before="80" w:after="8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zh-CN" w:eastAsia="zh-CN" w:bidi="ar-SA"/>
        </w:rPr>
      </w:pPr>
      <w:bookmarkStart w:id="430" w:name="_Toc163493636"/>
      <w:r>
        <w:rPr>
          <w:rFonts w:hint="eastAsia" w:ascii="宋体" w:hAnsi="宋体" w:eastAsia="宋体" w:cs="宋体"/>
          <w:b/>
          <w:bCs/>
          <w:i w:val="0"/>
          <w:iCs w:val="0"/>
          <w:color w:val="auto"/>
          <w:kern w:val="2"/>
          <w:sz w:val="24"/>
          <w:szCs w:val="24"/>
          <w:highlight w:val="none"/>
          <w:lang w:val="en-US" w:eastAsia="zh-CN" w:bidi="ar-SA"/>
        </w:rPr>
        <w:t>（三）</w:t>
      </w:r>
      <w:r>
        <w:rPr>
          <w:rFonts w:hint="eastAsia" w:ascii="宋体" w:hAnsi="宋体" w:eastAsia="宋体" w:cs="宋体"/>
          <w:b/>
          <w:bCs/>
          <w:i w:val="0"/>
          <w:iCs w:val="0"/>
          <w:color w:val="auto"/>
          <w:kern w:val="2"/>
          <w:sz w:val="24"/>
          <w:szCs w:val="24"/>
          <w:highlight w:val="none"/>
          <w:lang w:val="zh-CN" w:eastAsia="zh-CN" w:bidi="ar-SA"/>
        </w:rPr>
        <w:t>磋商程序</w:t>
      </w:r>
      <w:bookmarkEnd w:id="430"/>
    </w:p>
    <w:p w14:paraId="25704857">
      <w:pPr>
        <w:pStyle w:val="38"/>
        <w:pageBreakBefore w:val="0"/>
        <w:kinsoku/>
        <w:overflowPunct/>
        <w:topLinePunct w:val="0"/>
        <w:autoSpaceDE/>
        <w:autoSpaceDN/>
        <w:bidi w:val="0"/>
        <w:spacing w:line="440" w:lineRule="exact"/>
        <w:ind w:firstLine="480"/>
        <w:jc w:val="both"/>
        <w:textAlignment w:val="auto"/>
        <w:rPr>
          <w:i w:val="0"/>
          <w:iCs w:val="0"/>
          <w:color w:val="auto"/>
          <w:highlight w:val="none"/>
        </w:rPr>
      </w:pPr>
      <w:r>
        <w:rPr>
          <w:rFonts w:hint="eastAsia"/>
          <w:i w:val="0"/>
          <w:iCs w:val="0"/>
          <w:color w:val="auto"/>
          <w:highlight w:val="none"/>
        </w:rPr>
        <w:t>磋商小组应当依据磋商文件规定的程序、评</w:t>
      </w:r>
      <w:r>
        <w:rPr>
          <w:rFonts w:hint="eastAsia"/>
          <w:i w:val="0"/>
          <w:iCs w:val="0"/>
          <w:color w:val="auto"/>
          <w:highlight w:val="none"/>
          <w:lang w:val="en-US" w:eastAsia="zh-CN"/>
        </w:rPr>
        <w:t>审</w:t>
      </w:r>
      <w:r>
        <w:rPr>
          <w:rFonts w:hint="eastAsia"/>
          <w:i w:val="0"/>
          <w:iCs w:val="0"/>
          <w:color w:val="auto"/>
          <w:highlight w:val="none"/>
        </w:rPr>
        <w:t>成交的标准等事项与</w:t>
      </w:r>
      <w:r>
        <w:rPr>
          <w:rFonts w:hint="eastAsia" w:cs="Helvetica"/>
          <w:i w:val="0"/>
          <w:iCs w:val="0"/>
          <w:color w:val="auto"/>
          <w:szCs w:val="24"/>
          <w:highlight w:val="none"/>
          <w:lang w:val="zh-CN"/>
        </w:rPr>
        <w:t>实质性</w:t>
      </w:r>
      <w:r>
        <w:rPr>
          <w:rFonts w:hint="eastAsia"/>
          <w:i w:val="0"/>
          <w:iCs w:val="0"/>
          <w:color w:val="auto"/>
          <w:highlight w:val="none"/>
        </w:rPr>
        <w:t>响应磋商文件要求的供应商</w:t>
      </w:r>
      <w:r>
        <w:rPr>
          <w:i w:val="0"/>
          <w:iCs w:val="0"/>
          <w:color w:val="auto"/>
          <w:highlight w:val="none"/>
        </w:rPr>
        <w:t>进行</w:t>
      </w:r>
      <w:r>
        <w:rPr>
          <w:rFonts w:hint="eastAsia"/>
          <w:i w:val="0"/>
          <w:iCs w:val="0"/>
          <w:color w:val="auto"/>
          <w:highlight w:val="none"/>
        </w:rPr>
        <w:t>磋商。</w:t>
      </w:r>
    </w:p>
    <w:p w14:paraId="58127574">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1.第一轮磋商</w:t>
      </w:r>
    </w:p>
    <w:p w14:paraId="5487B64E">
      <w:pPr>
        <w:pStyle w:val="38"/>
        <w:pageBreakBefore w:val="0"/>
        <w:kinsoku/>
        <w:overflowPunct/>
        <w:topLinePunct w:val="0"/>
        <w:autoSpaceDE/>
        <w:autoSpaceDN/>
        <w:bidi w:val="0"/>
        <w:spacing w:line="440" w:lineRule="exact"/>
        <w:ind w:firstLine="480"/>
        <w:jc w:val="both"/>
        <w:textAlignment w:val="auto"/>
        <w:rPr>
          <w:rFonts w:cs="宋体"/>
          <w:i w:val="0"/>
          <w:iCs w:val="0"/>
          <w:color w:val="auto"/>
          <w:szCs w:val="24"/>
          <w:highlight w:val="none"/>
        </w:rPr>
      </w:pPr>
      <w:r>
        <w:rPr>
          <w:rFonts w:hint="eastAsia"/>
          <w:i w:val="0"/>
          <w:iCs w:val="0"/>
          <w:color w:val="auto"/>
          <w:highlight w:val="none"/>
          <w:lang w:val="zh-CN"/>
        </w:rPr>
        <w:t>1</w:t>
      </w:r>
      <w:r>
        <w:rPr>
          <w:i w:val="0"/>
          <w:iCs w:val="0"/>
          <w:color w:val="auto"/>
          <w:highlight w:val="none"/>
          <w:lang w:val="zh-CN"/>
        </w:rPr>
        <w:t>.1</w:t>
      </w:r>
      <w:r>
        <w:rPr>
          <w:rFonts w:hint="eastAsia"/>
          <w:i w:val="0"/>
          <w:iCs w:val="0"/>
          <w:color w:val="auto"/>
          <w:highlight w:val="none"/>
          <w:lang w:val="zh-CN"/>
        </w:rPr>
        <w:t>磋商小组将按照系统随机的顺序决定供应商的磋商顺序，并集中与单一供应商分别进行磋商</w:t>
      </w:r>
      <w:r>
        <w:rPr>
          <w:rFonts w:hint="eastAsia" w:cs="宋体"/>
          <w:i w:val="0"/>
          <w:iCs w:val="0"/>
          <w:color w:val="auto"/>
          <w:szCs w:val="24"/>
          <w:highlight w:val="none"/>
        </w:rPr>
        <w:t>。</w:t>
      </w:r>
    </w:p>
    <w:p w14:paraId="0F00BF74">
      <w:pPr>
        <w:pStyle w:val="38"/>
        <w:pageBreakBefore w:val="0"/>
        <w:kinsoku/>
        <w:overflowPunct/>
        <w:topLinePunct w:val="0"/>
        <w:autoSpaceDE/>
        <w:autoSpaceDN/>
        <w:bidi w:val="0"/>
        <w:spacing w:line="440" w:lineRule="exact"/>
        <w:ind w:firstLine="480"/>
        <w:jc w:val="both"/>
        <w:textAlignment w:val="auto"/>
        <w:rPr>
          <w:rFonts w:cs="宋体"/>
          <w:i w:val="0"/>
          <w:iCs w:val="0"/>
          <w:color w:val="auto"/>
          <w:szCs w:val="24"/>
          <w:highlight w:val="none"/>
        </w:rPr>
      </w:pPr>
      <w:r>
        <w:rPr>
          <w:rFonts w:hint="eastAsia" w:cs="宋体"/>
          <w:i w:val="0"/>
          <w:iCs w:val="0"/>
          <w:color w:val="auto"/>
          <w:szCs w:val="24"/>
          <w:highlight w:val="none"/>
        </w:rPr>
        <w:t>1</w:t>
      </w:r>
      <w:r>
        <w:rPr>
          <w:rFonts w:cs="宋体"/>
          <w:i w:val="0"/>
          <w:iCs w:val="0"/>
          <w:color w:val="auto"/>
          <w:szCs w:val="24"/>
          <w:highlight w:val="none"/>
        </w:rPr>
        <w:t>.2</w:t>
      </w:r>
      <w:r>
        <w:rPr>
          <w:rFonts w:hint="eastAsia" w:cs="宋体"/>
          <w:i w:val="0"/>
          <w:iCs w:val="0"/>
          <w:color w:val="auto"/>
          <w:szCs w:val="24"/>
          <w:highlight w:val="none"/>
        </w:rPr>
        <w:t>磋商小组所有成员应当对照磋商文件和响应文件就采购需求、质量和服务等内容集中与单一供应商分别进行磋商，并给予所有参加磋商的供应商平等的磋商机会。在磋商中，磋商的任何一方不得透露与磋商有关的其他供应商的技术资料、价格和其他信息。</w:t>
      </w:r>
    </w:p>
    <w:p w14:paraId="442E05D1">
      <w:pPr>
        <w:pStyle w:val="38"/>
        <w:pageBreakBefore w:val="0"/>
        <w:kinsoku/>
        <w:overflowPunct/>
        <w:topLinePunct w:val="0"/>
        <w:autoSpaceDE/>
        <w:autoSpaceDN/>
        <w:bidi w:val="0"/>
        <w:spacing w:line="440" w:lineRule="exact"/>
        <w:ind w:firstLine="480"/>
        <w:jc w:val="both"/>
        <w:textAlignment w:val="auto"/>
        <w:rPr>
          <w:rFonts w:hint="eastAsia" w:eastAsia="宋体" w:cs="宋体"/>
          <w:i w:val="0"/>
          <w:iCs w:val="0"/>
          <w:color w:val="auto"/>
          <w:szCs w:val="24"/>
          <w:highlight w:val="none"/>
          <w:lang w:eastAsia="zh-CN"/>
        </w:rPr>
      </w:pPr>
      <w:r>
        <w:rPr>
          <w:rFonts w:hint="eastAsia" w:cs="宋体"/>
          <w:i w:val="0"/>
          <w:iCs w:val="0"/>
          <w:color w:val="auto"/>
          <w:szCs w:val="24"/>
          <w:highlight w:val="none"/>
        </w:rPr>
        <w:t>1</w:t>
      </w:r>
      <w:r>
        <w:rPr>
          <w:rFonts w:cs="宋体"/>
          <w:i w:val="0"/>
          <w:iCs w:val="0"/>
          <w:color w:val="auto"/>
          <w:szCs w:val="24"/>
          <w:highlight w:val="none"/>
        </w:rPr>
        <w:t>.3</w:t>
      </w:r>
      <w:r>
        <w:rPr>
          <w:rFonts w:hint="eastAsia" w:cs="宋体"/>
          <w:i w:val="0"/>
          <w:iCs w:val="0"/>
          <w:color w:val="auto"/>
          <w:szCs w:val="24"/>
          <w:highlight w:val="none"/>
        </w:rPr>
        <w:t>磋商过程中，磋商小组可以根据磋商文件和磋商情况实质性变动采购需求中的技术、服务要求以及合同草案条款，但不得变动磋商文件中的其他内容。实质性变动的内容，须经采购人代表确认。</w:t>
      </w:r>
    </w:p>
    <w:p w14:paraId="6C10B4DE">
      <w:pPr>
        <w:pStyle w:val="38"/>
        <w:pageBreakBefore w:val="0"/>
        <w:kinsoku/>
        <w:overflowPunct/>
        <w:topLinePunct w:val="0"/>
        <w:autoSpaceDE/>
        <w:autoSpaceDN/>
        <w:bidi w:val="0"/>
        <w:spacing w:line="440" w:lineRule="exact"/>
        <w:ind w:firstLine="480"/>
        <w:jc w:val="both"/>
        <w:textAlignment w:val="auto"/>
        <w:rPr>
          <w:rFonts w:hint="eastAsia" w:cs="宋体"/>
          <w:i w:val="0"/>
          <w:iCs w:val="0"/>
          <w:color w:val="auto"/>
          <w:szCs w:val="24"/>
          <w:highlight w:val="none"/>
        </w:rPr>
      </w:pPr>
      <w:r>
        <w:rPr>
          <w:rFonts w:hint="eastAsia" w:cs="宋体"/>
          <w:i w:val="0"/>
          <w:iCs w:val="0"/>
          <w:color w:val="auto"/>
          <w:szCs w:val="24"/>
          <w:highlight w:val="none"/>
        </w:rPr>
        <w:t>1</w:t>
      </w:r>
      <w:r>
        <w:rPr>
          <w:rFonts w:cs="宋体"/>
          <w:i w:val="0"/>
          <w:iCs w:val="0"/>
          <w:color w:val="auto"/>
          <w:szCs w:val="24"/>
          <w:highlight w:val="none"/>
        </w:rPr>
        <w:t>.4</w:t>
      </w:r>
      <w:r>
        <w:rPr>
          <w:rFonts w:hint="eastAsia" w:cs="宋体"/>
          <w:i w:val="0"/>
          <w:iCs w:val="0"/>
          <w:color w:val="auto"/>
          <w:szCs w:val="24"/>
          <w:highlight w:val="none"/>
        </w:rPr>
        <w:t>对磋商文件作出的实质性变动的内容是磋商文件的有效组成部分。磋商小组应将磋商文件的变动情况以书面</w:t>
      </w:r>
      <w:r>
        <w:rPr>
          <w:rFonts w:hint="eastAsia" w:cs="宋体"/>
          <w:i w:val="0"/>
          <w:iCs w:val="0"/>
          <w:color w:val="auto"/>
          <w:szCs w:val="24"/>
          <w:highlight w:val="none"/>
          <w:lang w:val="en-US" w:eastAsia="zh-CN"/>
        </w:rPr>
        <w:t>形</w:t>
      </w:r>
      <w:r>
        <w:rPr>
          <w:rFonts w:hint="eastAsia" w:cs="宋体"/>
          <w:i w:val="0"/>
          <w:iCs w:val="0"/>
          <w:color w:val="auto"/>
          <w:szCs w:val="24"/>
          <w:highlight w:val="none"/>
        </w:rPr>
        <w:t>式通知所有参加磋商的供应商。</w:t>
      </w:r>
    </w:p>
    <w:p w14:paraId="4485D0C5">
      <w:pPr>
        <w:pStyle w:val="38"/>
        <w:pageBreakBefore w:val="0"/>
        <w:kinsoku/>
        <w:overflowPunct/>
        <w:topLinePunct w:val="0"/>
        <w:autoSpaceDE/>
        <w:autoSpaceDN/>
        <w:bidi w:val="0"/>
        <w:spacing w:line="440" w:lineRule="exact"/>
        <w:ind w:firstLine="480"/>
        <w:jc w:val="both"/>
        <w:textAlignment w:val="auto"/>
        <w:rPr>
          <w:rFonts w:hint="eastAsia" w:cs="宋体"/>
          <w:i w:val="0"/>
          <w:iCs w:val="0"/>
          <w:color w:val="auto"/>
          <w:szCs w:val="24"/>
          <w:highlight w:val="none"/>
        </w:rPr>
      </w:pPr>
      <w:r>
        <w:rPr>
          <w:rFonts w:hint="eastAsia" w:cs="宋体"/>
          <w:i w:val="0"/>
          <w:iCs w:val="0"/>
          <w:color w:val="auto"/>
          <w:szCs w:val="24"/>
          <w:highlight w:val="none"/>
        </w:rPr>
        <w:t>1</w:t>
      </w:r>
      <w:r>
        <w:rPr>
          <w:rFonts w:cs="宋体"/>
          <w:i w:val="0"/>
          <w:iCs w:val="0"/>
          <w:color w:val="auto"/>
          <w:szCs w:val="24"/>
          <w:highlight w:val="none"/>
        </w:rPr>
        <w:t>.5</w:t>
      </w:r>
      <w:r>
        <w:rPr>
          <w:rFonts w:hint="eastAsia" w:cs="宋体"/>
          <w:i w:val="0"/>
          <w:iCs w:val="0"/>
          <w:color w:val="auto"/>
          <w:szCs w:val="24"/>
          <w:highlight w:val="none"/>
        </w:rPr>
        <w:t>供应商应当按照磋商文件的变动情况和磋商小组的要求在规定的时间内重新提交响应文件，并由其法定代表人或授权代表签字或者加盖公章。由授权代表签字的，应当附法定代表人授权书。供应商为自然人的，应当由本人签字并附身份证明。逾时不提交的，视同退出磋商。</w:t>
      </w:r>
    </w:p>
    <w:p w14:paraId="35729E92">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2.多轮磋商</w:t>
      </w:r>
    </w:p>
    <w:p w14:paraId="2A72D776">
      <w:pPr>
        <w:pStyle w:val="38"/>
        <w:pageBreakBefore w:val="0"/>
        <w:kinsoku/>
        <w:overflowPunct/>
        <w:topLinePunct w:val="0"/>
        <w:autoSpaceDE/>
        <w:autoSpaceDN/>
        <w:bidi w:val="0"/>
        <w:spacing w:line="440" w:lineRule="exact"/>
        <w:ind w:firstLine="480"/>
        <w:jc w:val="both"/>
        <w:textAlignment w:val="auto"/>
        <w:rPr>
          <w:i w:val="0"/>
          <w:iCs w:val="0"/>
          <w:color w:val="auto"/>
          <w:highlight w:val="none"/>
        </w:rPr>
      </w:pPr>
      <w:r>
        <w:rPr>
          <w:i w:val="0"/>
          <w:iCs w:val="0"/>
          <w:color w:val="auto"/>
          <w:highlight w:val="none"/>
        </w:rPr>
        <w:t>2.1</w:t>
      </w:r>
      <w:r>
        <w:rPr>
          <w:rFonts w:hint="eastAsia"/>
          <w:i w:val="0"/>
          <w:iCs w:val="0"/>
          <w:color w:val="auto"/>
          <w:highlight w:val="none"/>
        </w:rPr>
        <w:t>磋商文件中不能详细列明采购标的的技术、服务要求，需经磋商由供应商提供最终设计方案或解决方案的项目，磋商小组可以根据采购人对采购需求的确认情况，进行多轮磋商，直到采购人代表最终确认采购需求为止。</w:t>
      </w:r>
    </w:p>
    <w:p w14:paraId="3BEABF49">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rPr>
      </w:pPr>
      <w:r>
        <w:rPr>
          <w:rFonts w:hint="eastAsia"/>
          <w:i w:val="0"/>
          <w:iCs w:val="0"/>
          <w:color w:val="auto"/>
          <w:highlight w:val="none"/>
        </w:rPr>
        <w:t>2</w:t>
      </w:r>
      <w:r>
        <w:rPr>
          <w:i w:val="0"/>
          <w:iCs w:val="0"/>
          <w:color w:val="auto"/>
          <w:highlight w:val="none"/>
        </w:rPr>
        <w:t>.</w:t>
      </w:r>
      <w:r>
        <w:rPr>
          <w:rFonts w:hint="eastAsia"/>
          <w:i w:val="0"/>
          <w:iCs w:val="0"/>
          <w:color w:val="auto"/>
          <w:highlight w:val="none"/>
          <w:lang w:val="en-US" w:eastAsia="zh-CN"/>
        </w:rPr>
        <w:t>2</w:t>
      </w:r>
      <w:r>
        <w:rPr>
          <w:rFonts w:hint="eastAsia"/>
          <w:i w:val="0"/>
          <w:iCs w:val="0"/>
          <w:color w:val="auto"/>
          <w:highlight w:val="none"/>
        </w:rPr>
        <w:t>磋商程序同第一轮磋商。</w:t>
      </w:r>
    </w:p>
    <w:p w14:paraId="6290F33F">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rPr>
      </w:pPr>
      <w:r>
        <w:rPr>
          <w:rFonts w:hint="eastAsia" w:cs="宋体"/>
          <w:color w:val="auto"/>
          <w:sz w:val="24"/>
          <w:szCs w:val="24"/>
          <w:highlight w:val="none"/>
          <w:lang w:val="en-US" w:eastAsia="zh-CN"/>
        </w:rPr>
        <w:t>2.3本项目磋商轮次及磋商顺序详“供应商须知前附表”。</w:t>
      </w:r>
    </w:p>
    <w:p w14:paraId="5EA74ED6">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3.最后报价</w:t>
      </w:r>
    </w:p>
    <w:p w14:paraId="35B6180E">
      <w:pPr>
        <w:pStyle w:val="38"/>
        <w:pageBreakBefore w:val="0"/>
        <w:kinsoku/>
        <w:overflowPunct/>
        <w:topLinePunct w:val="0"/>
        <w:autoSpaceDE/>
        <w:autoSpaceDN/>
        <w:bidi w:val="0"/>
        <w:spacing w:line="440" w:lineRule="exact"/>
        <w:ind w:firstLine="480"/>
        <w:jc w:val="both"/>
        <w:textAlignment w:val="auto"/>
        <w:rPr>
          <w:i w:val="0"/>
          <w:iCs w:val="0"/>
          <w:color w:val="auto"/>
          <w:highlight w:val="none"/>
        </w:rPr>
      </w:pPr>
      <w:r>
        <w:rPr>
          <w:rFonts w:hint="eastAsia"/>
          <w:i w:val="0"/>
          <w:iCs w:val="0"/>
          <w:color w:val="auto"/>
          <w:highlight w:val="none"/>
        </w:rPr>
        <w:t>3</w:t>
      </w:r>
      <w:r>
        <w:rPr>
          <w:i w:val="0"/>
          <w:iCs w:val="0"/>
          <w:color w:val="auto"/>
          <w:highlight w:val="none"/>
        </w:rPr>
        <w:t>.1</w:t>
      </w:r>
      <w:r>
        <w:rPr>
          <w:rFonts w:hint="eastAsia"/>
          <w:i w:val="0"/>
          <w:iCs w:val="0"/>
          <w:color w:val="auto"/>
          <w:highlight w:val="none"/>
        </w:rPr>
        <w:t>磋商文件中能够详细列明采购标的的技术、服务要求的，磋商结束后，磋商小组应当要求所有</w:t>
      </w:r>
      <w:r>
        <w:rPr>
          <w:rFonts w:hint="eastAsia"/>
          <w:i w:val="0"/>
          <w:iCs w:val="0"/>
          <w:color w:val="auto"/>
          <w:highlight w:val="none"/>
          <w:lang w:val="en-US" w:eastAsia="zh-CN"/>
        </w:rPr>
        <w:t>实质性响应</w:t>
      </w:r>
      <w:r>
        <w:rPr>
          <w:rFonts w:hint="eastAsia"/>
          <w:i w:val="0"/>
          <w:iCs w:val="0"/>
          <w:color w:val="auto"/>
          <w:highlight w:val="none"/>
        </w:rPr>
        <w:t>的供应商，在规定时间内，以书面的方式经授权代表签字（或加盖公章）后提交最后报价，提交最后报价的供应商不得少于3家</w:t>
      </w:r>
      <w:r>
        <w:rPr>
          <w:rFonts w:hint="eastAsia"/>
          <w:i w:val="0"/>
          <w:iCs w:val="0"/>
          <w:color w:val="auto"/>
          <w:szCs w:val="24"/>
          <w:highlight w:val="none"/>
          <w:lang w:val="zh-CN"/>
        </w:rPr>
        <w:t>（</w:t>
      </w:r>
      <w:r>
        <w:rPr>
          <w:rFonts w:hint="eastAsia"/>
          <w:i w:val="0"/>
          <w:iCs w:val="0"/>
          <w:color w:val="auto"/>
          <w:highlight w:val="none"/>
        </w:rPr>
        <w:t>市场竞争不充分的科研项目，以及需要扶持的科技成果转化项目可以为</w:t>
      </w:r>
      <w:r>
        <w:rPr>
          <w:i w:val="0"/>
          <w:iCs w:val="0"/>
          <w:color w:val="auto"/>
          <w:highlight w:val="none"/>
        </w:rPr>
        <w:t>2家</w:t>
      </w:r>
      <w:r>
        <w:rPr>
          <w:rFonts w:hint="eastAsia"/>
          <w:i w:val="0"/>
          <w:iCs w:val="0"/>
          <w:color w:val="auto"/>
          <w:highlight w:val="none"/>
        </w:rPr>
        <w:t>，</w:t>
      </w:r>
      <w:r>
        <w:rPr>
          <w:rFonts w:hint="eastAsia"/>
          <w:i w:val="0"/>
          <w:iCs w:val="0"/>
          <w:snapToGrid w:val="0"/>
          <w:color w:val="auto"/>
          <w:highlight w:val="none"/>
        </w:rPr>
        <w:t>政府购买服务项目[含政府和社会资本合作项目]，在采购过程中符合要求的供应商[社会资本]只有2家的</w:t>
      </w:r>
      <w:r>
        <w:rPr>
          <w:rFonts w:hint="eastAsia"/>
          <w:i w:val="0"/>
          <w:iCs w:val="0"/>
          <w:color w:val="auto"/>
          <w:highlight w:val="none"/>
        </w:rPr>
        <w:t>可以为</w:t>
      </w:r>
      <w:r>
        <w:rPr>
          <w:i w:val="0"/>
          <w:iCs w:val="0"/>
          <w:color w:val="auto"/>
          <w:highlight w:val="none"/>
        </w:rPr>
        <w:t>2家</w:t>
      </w:r>
      <w:r>
        <w:rPr>
          <w:i w:val="0"/>
          <w:iCs w:val="0"/>
          <w:color w:val="auto"/>
          <w:szCs w:val="24"/>
          <w:highlight w:val="none"/>
          <w:lang w:val="zh-CN"/>
        </w:rPr>
        <w:t>）</w:t>
      </w:r>
      <w:r>
        <w:rPr>
          <w:rFonts w:hint="eastAsia"/>
          <w:i w:val="0"/>
          <w:iCs w:val="0"/>
          <w:color w:val="auto"/>
          <w:highlight w:val="none"/>
        </w:rPr>
        <w:t>。</w:t>
      </w:r>
    </w:p>
    <w:p w14:paraId="4DD25757">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rPr>
      </w:pPr>
      <w:r>
        <w:rPr>
          <w:i w:val="0"/>
          <w:iCs w:val="0"/>
          <w:color w:val="auto"/>
          <w:highlight w:val="none"/>
        </w:rPr>
        <w:t>3.2</w:t>
      </w:r>
      <w:r>
        <w:rPr>
          <w:rFonts w:hint="eastAsia"/>
          <w:i w:val="0"/>
          <w:iCs w:val="0"/>
          <w:color w:val="auto"/>
          <w:highlight w:val="none"/>
        </w:rPr>
        <w:t>磋商文件中不能详细列明采购标的的技术、服务要求，需经磋商由供应商提供最</w:t>
      </w:r>
      <w:r>
        <w:rPr>
          <w:rFonts w:hint="eastAsia"/>
          <w:i w:val="0"/>
          <w:iCs w:val="0"/>
          <w:color w:val="auto"/>
          <w:highlight w:val="none"/>
          <w:lang w:val="en-US" w:eastAsia="zh-CN"/>
        </w:rPr>
        <w:t>终</w:t>
      </w:r>
      <w:r>
        <w:rPr>
          <w:rFonts w:hint="eastAsia"/>
          <w:i w:val="0"/>
          <w:iCs w:val="0"/>
          <w:color w:val="auto"/>
          <w:highlight w:val="none"/>
        </w:rPr>
        <w:t>设计方案或解决方案的，磋商结束后，磋商小组应当按照少数服从多数的原则投票推荐3家以上供应商的设计方案或者解决方案，并要求其在规定时间内提交最后报价。</w:t>
      </w:r>
    </w:p>
    <w:p w14:paraId="09774700">
      <w:pPr>
        <w:pStyle w:val="38"/>
        <w:pageBreakBefore w:val="0"/>
        <w:kinsoku/>
        <w:overflowPunct/>
        <w:topLinePunct w:val="0"/>
        <w:autoSpaceDE/>
        <w:autoSpaceDN/>
        <w:bidi w:val="0"/>
        <w:spacing w:line="440" w:lineRule="exact"/>
        <w:ind w:firstLine="480"/>
        <w:jc w:val="both"/>
        <w:textAlignment w:val="auto"/>
        <w:rPr>
          <w:rFonts w:ascii="宋体" w:hAnsi="宋体" w:eastAsia="宋体"/>
          <w:i w:val="0"/>
          <w:iCs w:val="0"/>
          <w:color w:val="auto"/>
          <w:highlight w:val="none"/>
        </w:rPr>
      </w:pPr>
      <w:r>
        <w:rPr>
          <w:i w:val="0"/>
          <w:iCs w:val="0"/>
          <w:color w:val="auto"/>
          <w:highlight w:val="none"/>
        </w:rPr>
        <w:t>3.</w:t>
      </w:r>
      <w:r>
        <w:rPr>
          <w:rFonts w:hint="eastAsia"/>
          <w:i w:val="0"/>
          <w:iCs w:val="0"/>
          <w:color w:val="auto"/>
          <w:highlight w:val="none"/>
          <w:lang w:val="en-US" w:eastAsia="zh-CN"/>
        </w:rPr>
        <w:t>3</w:t>
      </w:r>
      <w:r>
        <w:rPr>
          <w:rFonts w:hint="eastAsia"/>
          <w:i w:val="0"/>
          <w:iCs w:val="0"/>
          <w:color w:val="auto"/>
          <w:highlight w:val="none"/>
        </w:rPr>
        <w:t>最后报价是供应商响应文件的有效组成部分。逾时不提交的，视同退出</w:t>
      </w:r>
      <w:r>
        <w:rPr>
          <w:rFonts w:hint="eastAsia" w:ascii="宋体" w:hAnsi="宋体" w:eastAsia="宋体"/>
          <w:i w:val="0"/>
          <w:iCs w:val="0"/>
          <w:color w:val="auto"/>
          <w:highlight w:val="none"/>
        </w:rPr>
        <w:t>磋商。</w:t>
      </w:r>
    </w:p>
    <w:p w14:paraId="533364E4">
      <w:pPr>
        <w:pStyle w:val="38"/>
        <w:pageBreakBefore w:val="0"/>
        <w:kinsoku/>
        <w:overflowPunct/>
        <w:topLinePunct w:val="0"/>
        <w:autoSpaceDE/>
        <w:autoSpaceDN/>
        <w:bidi w:val="0"/>
        <w:spacing w:line="440" w:lineRule="exact"/>
        <w:ind w:firstLine="480"/>
        <w:jc w:val="both"/>
        <w:textAlignment w:val="auto"/>
        <w:rPr>
          <w:rFonts w:ascii="宋体" w:hAnsi="宋体" w:eastAsia="宋体"/>
          <w:i w:val="0"/>
          <w:iCs w:val="0"/>
          <w:color w:val="auto"/>
          <w:highlight w:val="none"/>
          <w:lang w:val="zh-CN"/>
        </w:rPr>
      </w:pPr>
      <w:r>
        <w:rPr>
          <w:rFonts w:hint="eastAsia" w:ascii="宋体" w:hAnsi="宋体" w:eastAsia="宋体"/>
          <w:i w:val="0"/>
          <w:iCs w:val="0"/>
          <w:color w:val="auto"/>
          <w:highlight w:val="none"/>
          <w:lang w:val="zh-CN"/>
        </w:rPr>
        <w:t>最后</w:t>
      </w:r>
      <w:r>
        <w:rPr>
          <w:rFonts w:ascii="宋体" w:hAnsi="宋体" w:eastAsia="宋体"/>
          <w:i w:val="0"/>
          <w:iCs w:val="0"/>
          <w:color w:val="auto"/>
          <w:highlight w:val="none"/>
          <w:lang w:val="zh-CN"/>
        </w:rPr>
        <w:t>报价出现</w:t>
      </w:r>
      <w:r>
        <w:rPr>
          <w:rFonts w:hint="eastAsia" w:ascii="宋体" w:hAnsi="宋体" w:eastAsia="宋体"/>
          <w:i w:val="0"/>
          <w:iCs w:val="0"/>
          <w:color w:val="auto"/>
          <w:highlight w:val="none"/>
          <w:lang w:val="zh-CN"/>
        </w:rPr>
        <w:t>前后不一致的</w:t>
      </w:r>
      <w:r>
        <w:rPr>
          <w:rFonts w:ascii="宋体" w:hAnsi="宋体" w:eastAsia="宋体"/>
          <w:i w:val="0"/>
          <w:iCs w:val="0"/>
          <w:color w:val="auto"/>
          <w:highlight w:val="none"/>
          <w:lang w:val="zh-CN"/>
        </w:rPr>
        <w:t>，按照下列规定修正：</w:t>
      </w:r>
    </w:p>
    <w:p w14:paraId="72CA4125">
      <w:pPr>
        <w:pStyle w:val="38"/>
        <w:pageBreakBefore w:val="0"/>
        <w:kinsoku/>
        <w:overflowPunct/>
        <w:topLinePunct w:val="0"/>
        <w:autoSpaceDE/>
        <w:autoSpaceDN/>
        <w:bidi w:val="0"/>
        <w:spacing w:line="440" w:lineRule="exact"/>
        <w:ind w:firstLine="480"/>
        <w:jc w:val="both"/>
        <w:textAlignment w:val="auto"/>
        <w:rPr>
          <w:rFonts w:ascii="宋体" w:hAnsi="宋体" w:eastAsia="宋体"/>
          <w:i w:val="0"/>
          <w:iCs w:val="0"/>
          <w:color w:val="auto"/>
          <w:highlight w:val="none"/>
          <w:lang w:val="zh-CN"/>
        </w:rPr>
      </w:pPr>
      <w:r>
        <w:rPr>
          <w:rFonts w:hint="eastAsia" w:ascii="宋体" w:hAnsi="宋体" w:eastAsia="宋体"/>
          <w:i w:val="0"/>
          <w:iCs w:val="0"/>
          <w:color w:val="auto"/>
          <w:highlight w:val="none"/>
          <w:lang w:val="zh-CN"/>
        </w:rPr>
        <w:t>（1）</w:t>
      </w:r>
      <w:r>
        <w:rPr>
          <w:rFonts w:ascii="宋体" w:hAnsi="宋体" w:eastAsia="宋体"/>
          <w:i w:val="0"/>
          <w:iCs w:val="0"/>
          <w:color w:val="auto"/>
          <w:highlight w:val="none"/>
          <w:lang w:val="zh-CN"/>
        </w:rPr>
        <w:t>大写金额和小写金额不一致的，以大写金额为准</w:t>
      </w:r>
      <w:r>
        <w:rPr>
          <w:rFonts w:hint="eastAsia" w:ascii="宋体" w:hAnsi="宋体" w:eastAsia="宋体"/>
          <w:i w:val="0"/>
          <w:iCs w:val="0"/>
          <w:color w:val="auto"/>
          <w:highlight w:val="none"/>
          <w:lang w:val="zh-CN"/>
        </w:rPr>
        <w:t>；</w:t>
      </w:r>
    </w:p>
    <w:p w14:paraId="0B7186A4">
      <w:pPr>
        <w:pStyle w:val="38"/>
        <w:pageBreakBefore w:val="0"/>
        <w:kinsoku/>
        <w:overflowPunct/>
        <w:topLinePunct w:val="0"/>
        <w:autoSpaceDE/>
        <w:autoSpaceDN/>
        <w:bidi w:val="0"/>
        <w:spacing w:line="440" w:lineRule="exact"/>
        <w:ind w:firstLine="480"/>
        <w:jc w:val="both"/>
        <w:textAlignment w:val="auto"/>
        <w:rPr>
          <w:rFonts w:ascii="宋体" w:hAnsi="宋体" w:eastAsia="宋体"/>
          <w:i w:val="0"/>
          <w:iCs w:val="0"/>
          <w:color w:val="auto"/>
          <w:highlight w:val="none"/>
          <w:lang w:val="zh-CN"/>
        </w:rPr>
      </w:pPr>
      <w:r>
        <w:rPr>
          <w:rFonts w:hint="eastAsia" w:ascii="宋体" w:hAnsi="宋体" w:eastAsia="宋体"/>
          <w:i w:val="0"/>
          <w:iCs w:val="0"/>
          <w:color w:val="auto"/>
          <w:highlight w:val="none"/>
          <w:lang w:val="zh-CN"/>
        </w:rPr>
        <w:t>（2）</w:t>
      </w:r>
      <w:r>
        <w:rPr>
          <w:rFonts w:ascii="宋体" w:hAnsi="宋体" w:eastAsia="宋体"/>
          <w:i w:val="0"/>
          <w:iCs w:val="0"/>
          <w:color w:val="auto"/>
          <w:highlight w:val="none"/>
          <w:lang w:val="zh-CN"/>
        </w:rPr>
        <w:t>单价金额</w:t>
      </w:r>
      <w:r>
        <w:rPr>
          <w:rFonts w:ascii="宋体" w:hAnsi="宋体" w:eastAsia="宋体"/>
          <w:i w:val="0"/>
          <w:iCs w:val="0"/>
          <w:color w:val="auto"/>
          <w:highlight w:val="none"/>
        </w:rPr>
        <w:t>小数点</w:t>
      </w:r>
      <w:r>
        <w:rPr>
          <w:rFonts w:ascii="宋体" w:hAnsi="宋体" w:eastAsia="宋体"/>
          <w:i w:val="0"/>
          <w:iCs w:val="0"/>
          <w:color w:val="auto"/>
          <w:highlight w:val="none"/>
          <w:lang w:val="zh-CN"/>
        </w:rPr>
        <w:t>或百分比有明显错位的，以</w:t>
      </w:r>
      <w:r>
        <w:rPr>
          <w:rFonts w:hint="eastAsia" w:ascii="宋体" w:hAnsi="宋体" w:eastAsia="宋体"/>
          <w:i w:val="0"/>
          <w:iCs w:val="0"/>
          <w:color w:val="auto"/>
          <w:highlight w:val="none"/>
          <w:lang w:val="zh-CN"/>
        </w:rPr>
        <w:t>最后报价表</w:t>
      </w:r>
      <w:r>
        <w:rPr>
          <w:rFonts w:ascii="宋体" w:hAnsi="宋体" w:eastAsia="宋体"/>
          <w:i w:val="0"/>
          <w:iCs w:val="0"/>
          <w:color w:val="auto"/>
          <w:highlight w:val="none"/>
          <w:lang w:val="zh-CN"/>
        </w:rPr>
        <w:t>的总价为准，并修改单价</w:t>
      </w:r>
      <w:r>
        <w:rPr>
          <w:rFonts w:hint="eastAsia" w:ascii="宋体" w:hAnsi="宋体" w:eastAsia="宋体"/>
          <w:i w:val="0"/>
          <w:iCs w:val="0"/>
          <w:color w:val="auto"/>
          <w:highlight w:val="none"/>
          <w:lang w:val="zh-CN"/>
        </w:rPr>
        <w:t>；</w:t>
      </w:r>
    </w:p>
    <w:p w14:paraId="42B19880">
      <w:pPr>
        <w:pStyle w:val="38"/>
        <w:pageBreakBefore w:val="0"/>
        <w:kinsoku/>
        <w:overflowPunct/>
        <w:topLinePunct w:val="0"/>
        <w:autoSpaceDE/>
        <w:autoSpaceDN/>
        <w:bidi w:val="0"/>
        <w:spacing w:line="440" w:lineRule="exact"/>
        <w:ind w:firstLine="480"/>
        <w:jc w:val="both"/>
        <w:textAlignment w:val="auto"/>
        <w:rPr>
          <w:rFonts w:ascii="宋体" w:hAnsi="宋体" w:eastAsia="宋体"/>
          <w:i w:val="0"/>
          <w:iCs w:val="0"/>
          <w:color w:val="auto"/>
          <w:highlight w:val="none"/>
          <w:lang w:val="zh-CN"/>
        </w:rPr>
      </w:pPr>
      <w:r>
        <w:rPr>
          <w:rFonts w:hint="eastAsia" w:ascii="宋体" w:hAnsi="宋体" w:eastAsia="宋体"/>
          <w:i w:val="0"/>
          <w:iCs w:val="0"/>
          <w:color w:val="auto"/>
          <w:highlight w:val="none"/>
          <w:lang w:val="zh-CN"/>
        </w:rPr>
        <w:t>（3）</w:t>
      </w:r>
      <w:r>
        <w:rPr>
          <w:rFonts w:ascii="宋体" w:hAnsi="宋体" w:eastAsia="宋体"/>
          <w:i w:val="0"/>
          <w:iCs w:val="0"/>
          <w:color w:val="auto"/>
          <w:highlight w:val="none"/>
          <w:lang w:val="zh-CN"/>
        </w:rPr>
        <w:t>总价金额与按单价汇总金额不一致的，以单价金额计算结果为准</w:t>
      </w:r>
      <w:r>
        <w:rPr>
          <w:rFonts w:hint="eastAsia" w:ascii="宋体" w:hAnsi="宋体" w:eastAsia="宋体"/>
          <w:i w:val="0"/>
          <w:iCs w:val="0"/>
          <w:color w:val="auto"/>
          <w:highlight w:val="none"/>
          <w:lang w:val="zh-CN"/>
        </w:rPr>
        <w:t>；</w:t>
      </w:r>
    </w:p>
    <w:p w14:paraId="5F94F616">
      <w:pPr>
        <w:pStyle w:val="38"/>
        <w:pageBreakBefore w:val="0"/>
        <w:kinsoku/>
        <w:overflowPunct/>
        <w:topLinePunct w:val="0"/>
        <w:autoSpaceDE/>
        <w:autoSpaceDN/>
        <w:bidi w:val="0"/>
        <w:spacing w:line="440" w:lineRule="exact"/>
        <w:ind w:firstLine="480"/>
        <w:jc w:val="both"/>
        <w:textAlignment w:val="auto"/>
        <w:rPr>
          <w:rFonts w:ascii="宋体" w:hAnsi="宋体" w:eastAsia="宋体"/>
          <w:i w:val="0"/>
          <w:iCs w:val="0"/>
          <w:color w:val="auto"/>
          <w:highlight w:val="none"/>
          <w:lang w:val="zh-CN"/>
        </w:rPr>
      </w:pPr>
      <w:r>
        <w:rPr>
          <w:rFonts w:hint="eastAsia" w:ascii="宋体" w:hAnsi="宋体" w:eastAsia="宋体"/>
          <w:i w:val="0"/>
          <w:iCs w:val="0"/>
          <w:color w:val="auto"/>
          <w:highlight w:val="none"/>
          <w:lang w:val="zh-CN"/>
        </w:rPr>
        <w:t>（4）</w:t>
      </w:r>
      <w:r>
        <w:rPr>
          <w:rFonts w:ascii="宋体" w:hAnsi="宋体" w:eastAsia="宋体"/>
          <w:i w:val="0"/>
          <w:iCs w:val="0"/>
          <w:color w:val="auto"/>
          <w:highlight w:val="none"/>
          <w:lang w:val="zh-CN"/>
        </w:rPr>
        <w:t>同时出现</w:t>
      </w:r>
      <w:r>
        <w:rPr>
          <w:rFonts w:ascii="宋体" w:hAnsi="宋体" w:eastAsia="宋体"/>
          <w:i w:val="0"/>
          <w:iCs w:val="0"/>
          <w:color w:val="auto"/>
          <w:highlight w:val="none"/>
        </w:rPr>
        <w:t>两种</w:t>
      </w:r>
      <w:r>
        <w:rPr>
          <w:rFonts w:ascii="宋体" w:hAnsi="宋体" w:eastAsia="宋体"/>
          <w:i w:val="0"/>
          <w:iCs w:val="0"/>
          <w:color w:val="auto"/>
          <w:highlight w:val="none"/>
          <w:lang w:val="zh-CN"/>
        </w:rPr>
        <w:t>以上不一致的，按照前款规定的顺序修正</w:t>
      </w:r>
      <w:r>
        <w:rPr>
          <w:rFonts w:hint="eastAsia" w:ascii="宋体" w:hAnsi="宋体" w:eastAsia="宋体"/>
          <w:i w:val="0"/>
          <w:iCs w:val="0"/>
          <w:color w:val="auto"/>
          <w:highlight w:val="none"/>
          <w:lang w:val="zh-CN"/>
        </w:rPr>
        <w:t>；</w:t>
      </w:r>
    </w:p>
    <w:p w14:paraId="3881C343">
      <w:pPr>
        <w:pStyle w:val="38"/>
        <w:pageBreakBefore w:val="0"/>
        <w:kinsoku/>
        <w:overflowPunct/>
        <w:topLinePunct w:val="0"/>
        <w:autoSpaceDE/>
        <w:autoSpaceDN/>
        <w:bidi w:val="0"/>
        <w:spacing w:line="440" w:lineRule="exact"/>
        <w:ind w:firstLine="480"/>
        <w:jc w:val="both"/>
        <w:textAlignment w:val="auto"/>
        <w:rPr>
          <w:rFonts w:ascii="宋体" w:hAnsi="宋体" w:eastAsia="宋体"/>
          <w:i w:val="0"/>
          <w:iCs w:val="0"/>
          <w:color w:val="auto"/>
          <w:highlight w:val="none"/>
        </w:rPr>
      </w:pPr>
      <w:r>
        <w:rPr>
          <w:rFonts w:hint="eastAsia" w:ascii="宋体" w:hAnsi="宋体" w:eastAsia="宋体"/>
          <w:i w:val="0"/>
          <w:iCs w:val="0"/>
          <w:color w:val="auto"/>
          <w:highlight w:val="none"/>
          <w:lang w:val="zh-CN"/>
        </w:rPr>
        <w:t>（5）</w:t>
      </w:r>
      <w:r>
        <w:rPr>
          <w:rFonts w:ascii="宋体" w:hAnsi="宋体" w:eastAsia="宋体"/>
          <w:i w:val="0"/>
          <w:iCs w:val="0"/>
          <w:color w:val="auto"/>
          <w:highlight w:val="none"/>
          <w:lang w:val="zh-CN"/>
        </w:rPr>
        <w:t>修正后的报价</w:t>
      </w:r>
      <w:r>
        <w:rPr>
          <w:rFonts w:hint="eastAsia" w:ascii="宋体" w:hAnsi="宋体" w:eastAsia="宋体"/>
          <w:i w:val="0"/>
          <w:iCs w:val="0"/>
          <w:color w:val="auto"/>
          <w:highlight w:val="none"/>
          <w:lang w:val="zh-CN"/>
        </w:rPr>
        <w:t>应通过书面方式</w:t>
      </w:r>
      <w:r>
        <w:rPr>
          <w:rFonts w:ascii="宋体" w:hAnsi="宋体" w:eastAsia="宋体"/>
          <w:i w:val="0"/>
          <w:iCs w:val="0"/>
          <w:color w:val="auto"/>
          <w:highlight w:val="none"/>
          <w:lang w:val="zh-CN"/>
        </w:rPr>
        <w:t>通知</w:t>
      </w:r>
      <w:r>
        <w:rPr>
          <w:rFonts w:hint="eastAsia" w:ascii="宋体" w:hAnsi="宋体" w:eastAsia="宋体"/>
          <w:i w:val="0"/>
          <w:iCs w:val="0"/>
          <w:color w:val="auto"/>
          <w:highlight w:val="none"/>
          <w:lang w:val="zh-CN"/>
        </w:rPr>
        <w:t>供应商，由</w:t>
      </w:r>
      <w:r>
        <w:rPr>
          <w:rFonts w:ascii="宋体" w:hAnsi="宋体" w:eastAsia="宋体"/>
          <w:i w:val="0"/>
          <w:iCs w:val="0"/>
          <w:color w:val="auto"/>
          <w:highlight w:val="none"/>
          <w:lang w:val="zh-CN"/>
        </w:rPr>
        <w:t>供应商</w:t>
      </w:r>
      <w:r>
        <w:rPr>
          <w:rFonts w:hint="eastAsia" w:ascii="宋体" w:hAnsi="宋体" w:eastAsia="宋体"/>
          <w:i w:val="0"/>
          <w:iCs w:val="0"/>
          <w:color w:val="auto"/>
          <w:highlight w:val="none"/>
          <w:lang w:val="zh-CN"/>
        </w:rPr>
        <w:t>授权代表签字（或加盖公章）</w:t>
      </w:r>
      <w:r>
        <w:rPr>
          <w:rFonts w:ascii="宋体" w:hAnsi="宋体" w:eastAsia="宋体"/>
          <w:i w:val="0"/>
          <w:iCs w:val="0"/>
          <w:color w:val="auto"/>
          <w:highlight w:val="none"/>
          <w:lang w:val="zh-CN"/>
        </w:rPr>
        <w:t>确认后产生约束力，供应商不确认的，</w:t>
      </w:r>
      <w:r>
        <w:rPr>
          <w:rFonts w:hint="eastAsia" w:ascii="宋体" w:hAnsi="宋体" w:eastAsia="宋体"/>
          <w:i w:val="0"/>
          <w:iCs w:val="0"/>
          <w:color w:val="auto"/>
          <w:highlight w:val="none"/>
          <w:lang w:val="zh-CN"/>
        </w:rPr>
        <w:t>按照</w:t>
      </w:r>
      <w:r>
        <w:rPr>
          <w:rFonts w:ascii="宋体" w:hAnsi="宋体" w:eastAsia="宋体"/>
          <w:i w:val="0"/>
          <w:iCs w:val="0"/>
          <w:color w:val="auto"/>
          <w:highlight w:val="none"/>
          <w:lang w:val="zh-CN"/>
        </w:rPr>
        <w:t>无效</w:t>
      </w:r>
      <w:r>
        <w:rPr>
          <w:rFonts w:hint="eastAsia" w:ascii="宋体" w:hAnsi="宋体" w:eastAsia="宋体"/>
          <w:i w:val="0"/>
          <w:iCs w:val="0"/>
          <w:color w:val="auto"/>
          <w:highlight w:val="none"/>
          <w:lang w:val="zh-CN"/>
        </w:rPr>
        <w:t>响应处理</w:t>
      </w:r>
      <w:r>
        <w:rPr>
          <w:rFonts w:ascii="宋体" w:hAnsi="宋体" w:eastAsia="宋体"/>
          <w:i w:val="0"/>
          <w:iCs w:val="0"/>
          <w:color w:val="auto"/>
          <w:highlight w:val="none"/>
          <w:lang w:val="zh-CN"/>
        </w:rPr>
        <w:t>。</w:t>
      </w:r>
    </w:p>
    <w:p w14:paraId="7752AB45">
      <w:pPr>
        <w:pageBreakBefore w:val="0"/>
        <w:tabs>
          <w:tab w:val="left" w:pos="993"/>
        </w:tabs>
        <w:kinsoku/>
        <w:wordWrap w:val="0"/>
        <w:overflowPunct/>
        <w:topLinePunct w:val="0"/>
        <w:autoSpaceDE/>
        <w:autoSpaceDN/>
        <w:bidi w:val="0"/>
        <w:adjustRightInd w:val="0"/>
        <w:snapToGrid w:val="0"/>
        <w:spacing w:line="440" w:lineRule="exact"/>
        <w:ind w:firstLine="480" w:firstLineChars="200"/>
        <w:jc w:val="both"/>
        <w:textAlignment w:val="auto"/>
        <w:rPr>
          <w:i w:val="0"/>
          <w:iCs w:val="0"/>
          <w:color w:val="auto"/>
          <w:highlight w:val="none"/>
        </w:rPr>
      </w:pPr>
      <w:r>
        <w:rPr>
          <w:rFonts w:hint="eastAsia" w:ascii="宋体" w:hAnsi="宋体" w:eastAsia="宋体"/>
          <w:i w:val="0"/>
          <w:iCs w:val="0"/>
          <w:color w:val="auto"/>
          <w:highlight w:val="none"/>
          <w:lang w:val="en-US" w:eastAsia="zh-CN"/>
        </w:rPr>
        <w:t>3.4已提交响应文件的供应商，在提交最后报价之前，可以根据磋商情况退出磋商，退出磋商供应商的磋商保证金</w:t>
      </w:r>
      <w:r>
        <w:rPr>
          <w:rFonts w:hint="eastAsia"/>
          <w:i w:val="0"/>
          <w:iCs w:val="0"/>
          <w:color w:val="auto"/>
          <w:highlight w:val="none"/>
          <w:lang w:val="en-US" w:eastAsia="zh-CN"/>
        </w:rPr>
        <w:t>可予以</w:t>
      </w:r>
      <w:r>
        <w:rPr>
          <w:rFonts w:hint="eastAsia" w:ascii="宋体" w:hAnsi="宋体" w:eastAsia="宋体"/>
          <w:i w:val="0"/>
          <w:iCs w:val="0"/>
          <w:color w:val="auto"/>
          <w:highlight w:val="none"/>
          <w:lang w:val="en-US" w:eastAsia="zh-CN"/>
        </w:rPr>
        <w:t>退还</w:t>
      </w:r>
      <w:r>
        <w:rPr>
          <w:i w:val="0"/>
          <w:iCs w:val="0"/>
          <w:color w:val="auto"/>
          <w:szCs w:val="24"/>
          <w:highlight w:val="none"/>
          <w:lang w:val="zh-CN"/>
        </w:rPr>
        <w:t>。</w:t>
      </w:r>
    </w:p>
    <w:p w14:paraId="5FC40C75">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31" w:name="_Toc102057745"/>
      <w:bookmarkStart w:id="432" w:name="_Toc102116049"/>
      <w:bookmarkStart w:id="433" w:name="_Toc102119880"/>
      <w:bookmarkStart w:id="434" w:name="_Toc102056245"/>
      <w:bookmarkStart w:id="435" w:name="_Toc102114947"/>
      <w:bookmarkStart w:id="436" w:name="_Toc102116179"/>
      <w:r>
        <w:rPr>
          <w:rFonts w:hint="eastAsia" w:ascii="宋体" w:hAnsi="宋体" w:eastAsia="宋体" w:cs="宋体"/>
          <w:b/>
          <w:bCs/>
          <w:i w:val="0"/>
          <w:iCs w:val="0"/>
          <w:color w:val="auto"/>
          <w:kern w:val="2"/>
          <w:sz w:val="24"/>
          <w:szCs w:val="24"/>
          <w:highlight w:val="none"/>
          <w:lang w:val="en-US" w:eastAsia="zh-CN" w:bidi="ar-SA"/>
        </w:rPr>
        <w:t>4.商务技术评审</w:t>
      </w:r>
    </w:p>
    <w:p w14:paraId="6A847D15">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lang w:val="zh-CN"/>
        </w:rPr>
      </w:pPr>
      <w:r>
        <w:rPr>
          <w:rFonts w:hint="eastAsia"/>
          <w:i w:val="0"/>
          <w:iCs w:val="0"/>
          <w:color w:val="auto"/>
          <w:highlight w:val="none"/>
          <w:lang w:val="zh-CN"/>
        </w:rPr>
        <w:t>4</w:t>
      </w:r>
      <w:r>
        <w:rPr>
          <w:i w:val="0"/>
          <w:iCs w:val="0"/>
          <w:color w:val="auto"/>
          <w:highlight w:val="none"/>
          <w:lang w:val="zh-CN"/>
        </w:rPr>
        <w:t>.1</w:t>
      </w:r>
      <w:r>
        <w:rPr>
          <w:rFonts w:hint="eastAsia"/>
          <w:i w:val="0"/>
          <w:iCs w:val="0"/>
          <w:color w:val="auto"/>
          <w:highlight w:val="none"/>
          <w:lang w:val="zh-CN"/>
        </w:rPr>
        <w:t>经磋商确定最终采购需求和提交最后报价的供应商后，由磋商小组采用综合评分法对提交最后报价的供应商的响应文件和最后报价进行综合评分。</w:t>
      </w:r>
    </w:p>
    <w:bookmarkEnd w:id="424"/>
    <w:bookmarkEnd w:id="425"/>
    <w:bookmarkEnd w:id="426"/>
    <w:bookmarkEnd w:id="427"/>
    <w:bookmarkEnd w:id="428"/>
    <w:bookmarkEnd w:id="429"/>
    <w:bookmarkEnd w:id="431"/>
    <w:bookmarkEnd w:id="432"/>
    <w:bookmarkEnd w:id="433"/>
    <w:bookmarkEnd w:id="434"/>
    <w:bookmarkEnd w:id="435"/>
    <w:bookmarkEnd w:id="436"/>
    <w:p w14:paraId="76125A1A">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37" w:name="_Toc102056247"/>
      <w:bookmarkStart w:id="438" w:name="_Toc102116051"/>
      <w:bookmarkStart w:id="439" w:name="_Toc102057747"/>
      <w:bookmarkStart w:id="440" w:name="_Toc102119882"/>
      <w:bookmarkStart w:id="441" w:name="_Toc102116181"/>
      <w:bookmarkStart w:id="442" w:name="_Toc102114949"/>
      <w:r>
        <w:rPr>
          <w:rFonts w:hint="eastAsia" w:ascii="宋体" w:hAnsi="宋体" w:eastAsia="宋体" w:cs="宋体"/>
          <w:b/>
          <w:bCs/>
          <w:i w:val="0"/>
          <w:iCs w:val="0"/>
          <w:color w:val="auto"/>
          <w:kern w:val="2"/>
          <w:sz w:val="24"/>
          <w:szCs w:val="24"/>
          <w:highlight w:val="none"/>
          <w:lang w:val="en-US" w:eastAsia="zh-CN" w:bidi="ar-SA"/>
        </w:rPr>
        <w:t>5.报价评</w:t>
      </w:r>
      <w:bookmarkEnd w:id="437"/>
      <w:bookmarkEnd w:id="438"/>
      <w:bookmarkEnd w:id="439"/>
      <w:bookmarkEnd w:id="440"/>
      <w:bookmarkEnd w:id="441"/>
      <w:bookmarkEnd w:id="442"/>
      <w:r>
        <w:rPr>
          <w:rFonts w:hint="eastAsia" w:ascii="宋体" w:hAnsi="宋体" w:eastAsia="宋体" w:cs="宋体"/>
          <w:b/>
          <w:bCs/>
          <w:i w:val="0"/>
          <w:iCs w:val="0"/>
          <w:color w:val="auto"/>
          <w:kern w:val="2"/>
          <w:sz w:val="24"/>
          <w:szCs w:val="24"/>
          <w:highlight w:val="none"/>
          <w:lang w:val="en-US" w:eastAsia="zh-CN" w:bidi="ar-SA"/>
        </w:rPr>
        <w:t>审</w:t>
      </w:r>
    </w:p>
    <w:p w14:paraId="599FEB14">
      <w:pPr>
        <w:pStyle w:val="38"/>
        <w:pageBreakBefore w:val="0"/>
        <w:kinsoku/>
        <w:overflowPunct/>
        <w:topLinePunct w:val="0"/>
        <w:autoSpaceDE/>
        <w:autoSpaceDN/>
        <w:bidi w:val="0"/>
        <w:spacing w:line="440" w:lineRule="exact"/>
        <w:ind w:firstLine="480"/>
        <w:jc w:val="both"/>
        <w:textAlignment w:val="auto"/>
        <w:rPr>
          <w:bCs/>
          <w:i w:val="0"/>
          <w:iCs w:val="0"/>
          <w:color w:val="auto"/>
          <w:szCs w:val="21"/>
          <w:highlight w:val="none"/>
          <w:lang w:val="zh-CN"/>
        </w:rPr>
      </w:pPr>
      <w:r>
        <w:rPr>
          <w:rFonts w:hint="eastAsia"/>
          <w:i w:val="0"/>
          <w:iCs w:val="0"/>
          <w:color w:val="auto"/>
          <w:highlight w:val="none"/>
          <w:lang w:val="zh-CN"/>
        </w:rPr>
        <w:t>5</w:t>
      </w:r>
      <w:r>
        <w:rPr>
          <w:i w:val="0"/>
          <w:iCs w:val="0"/>
          <w:color w:val="auto"/>
          <w:highlight w:val="none"/>
          <w:lang w:val="zh-CN"/>
        </w:rPr>
        <w:t>.1</w:t>
      </w:r>
      <w:r>
        <w:rPr>
          <w:rFonts w:hint="eastAsia"/>
          <w:i w:val="0"/>
          <w:iCs w:val="0"/>
          <w:color w:val="auto"/>
          <w:highlight w:val="none"/>
          <w:lang w:val="zh-CN"/>
        </w:rPr>
        <w:t>报价合理性说明：磋商</w:t>
      </w:r>
      <w:r>
        <w:rPr>
          <w:i w:val="0"/>
          <w:iCs w:val="0"/>
          <w:color w:val="auto"/>
          <w:highlight w:val="none"/>
          <w:lang w:val="zh-CN"/>
        </w:rPr>
        <w:t>小组认为供应商的</w:t>
      </w:r>
      <w:r>
        <w:rPr>
          <w:rFonts w:hint="eastAsia"/>
          <w:i w:val="0"/>
          <w:iCs w:val="0"/>
          <w:color w:val="auto"/>
          <w:highlight w:val="none"/>
          <w:lang w:val="zh-CN"/>
        </w:rPr>
        <w:t>最后</w:t>
      </w:r>
      <w:r>
        <w:rPr>
          <w:i w:val="0"/>
          <w:iCs w:val="0"/>
          <w:color w:val="auto"/>
          <w:highlight w:val="none"/>
          <w:lang w:val="zh-CN"/>
        </w:rPr>
        <w:t>报价明显低于其他供应商</w:t>
      </w:r>
      <w:r>
        <w:rPr>
          <w:rFonts w:hint="eastAsia"/>
          <w:i w:val="0"/>
          <w:iCs w:val="0"/>
          <w:color w:val="auto"/>
          <w:highlight w:val="none"/>
          <w:lang w:val="zh-CN"/>
        </w:rPr>
        <w:t>最后</w:t>
      </w:r>
      <w:r>
        <w:rPr>
          <w:i w:val="0"/>
          <w:iCs w:val="0"/>
          <w:color w:val="auto"/>
          <w:highlight w:val="none"/>
          <w:lang w:val="zh-CN"/>
        </w:rPr>
        <w:t>报价，有可能影响</w:t>
      </w:r>
      <w:r>
        <w:rPr>
          <w:rFonts w:hint="eastAsia"/>
          <w:i w:val="0"/>
          <w:iCs w:val="0"/>
          <w:color w:val="auto"/>
          <w:highlight w:val="none"/>
          <w:lang w:val="en-US" w:eastAsia="zh-CN"/>
        </w:rPr>
        <w:t>服务</w:t>
      </w:r>
      <w:r>
        <w:rPr>
          <w:i w:val="0"/>
          <w:iCs w:val="0"/>
          <w:color w:val="auto"/>
          <w:highlight w:val="none"/>
          <w:lang w:val="zh-CN"/>
        </w:rPr>
        <w:t>质量或者不能诚信履约的，应当要求其</w:t>
      </w:r>
      <w:r>
        <w:rPr>
          <w:rFonts w:hint="eastAsia"/>
          <w:i w:val="0"/>
          <w:iCs w:val="0"/>
          <w:color w:val="auto"/>
          <w:highlight w:val="none"/>
          <w:lang w:val="zh-CN"/>
        </w:rPr>
        <w:t>在</w:t>
      </w:r>
      <w:r>
        <w:rPr>
          <w:i w:val="0"/>
          <w:iCs w:val="0"/>
          <w:color w:val="auto"/>
          <w:highlight w:val="none"/>
          <w:lang w:val="zh-CN"/>
        </w:rPr>
        <w:t>合理的时间内提供说明，必要时提交相关证明材料；供应商不能证明其</w:t>
      </w:r>
      <w:r>
        <w:rPr>
          <w:rFonts w:hint="eastAsia"/>
          <w:i w:val="0"/>
          <w:iCs w:val="0"/>
          <w:color w:val="auto"/>
          <w:highlight w:val="none"/>
          <w:lang w:val="zh-CN"/>
        </w:rPr>
        <w:t>最后</w:t>
      </w:r>
      <w:r>
        <w:rPr>
          <w:i w:val="0"/>
          <w:iCs w:val="0"/>
          <w:color w:val="auto"/>
          <w:highlight w:val="none"/>
          <w:lang w:val="zh-CN"/>
        </w:rPr>
        <w:t>报价合理性的，</w:t>
      </w:r>
      <w:r>
        <w:rPr>
          <w:rFonts w:hint="eastAsia"/>
          <w:i w:val="0"/>
          <w:iCs w:val="0"/>
          <w:color w:val="auto"/>
          <w:highlight w:val="none"/>
          <w:lang w:val="zh-CN"/>
        </w:rPr>
        <w:t>磋商</w:t>
      </w:r>
      <w:r>
        <w:rPr>
          <w:i w:val="0"/>
          <w:iCs w:val="0"/>
          <w:color w:val="auto"/>
          <w:highlight w:val="none"/>
          <w:lang w:val="zh-CN"/>
        </w:rPr>
        <w:t>小组</w:t>
      </w:r>
      <w:r>
        <w:rPr>
          <w:rFonts w:hint="eastAsia"/>
          <w:i w:val="0"/>
          <w:iCs w:val="0"/>
          <w:color w:val="auto"/>
          <w:highlight w:val="none"/>
          <w:lang w:val="zh-CN"/>
        </w:rPr>
        <w:t>应当将其作</w:t>
      </w:r>
      <w:r>
        <w:rPr>
          <w:b/>
          <w:i w:val="0"/>
          <w:iCs w:val="0"/>
          <w:color w:val="auto"/>
          <w:highlight w:val="none"/>
          <w:lang w:val="zh-CN"/>
        </w:rPr>
        <w:t>无效</w:t>
      </w:r>
      <w:r>
        <w:rPr>
          <w:rFonts w:hint="eastAsia"/>
          <w:b/>
          <w:i w:val="0"/>
          <w:iCs w:val="0"/>
          <w:color w:val="auto"/>
          <w:highlight w:val="none"/>
          <w:lang w:val="zh-CN"/>
        </w:rPr>
        <w:t>响应</w:t>
      </w:r>
      <w:r>
        <w:rPr>
          <w:b/>
          <w:i w:val="0"/>
          <w:iCs w:val="0"/>
          <w:color w:val="auto"/>
          <w:highlight w:val="none"/>
          <w:lang w:val="zh-CN"/>
        </w:rPr>
        <w:t>处理</w:t>
      </w:r>
      <w:r>
        <w:rPr>
          <w:i w:val="0"/>
          <w:iCs w:val="0"/>
          <w:color w:val="auto"/>
          <w:highlight w:val="none"/>
          <w:lang w:val="zh-CN"/>
        </w:rPr>
        <w:t>。</w:t>
      </w:r>
    </w:p>
    <w:p w14:paraId="550260FE">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i w:val="0"/>
          <w:iCs w:val="0"/>
          <w:color w:val="auto"/>
          <w:highlight w:val="none"/>
          <w:lang w:val="en-US" w:eastAsia="zh-CN"/>
        </w:rPr>
      </w:pPr>
      <w:r>
        <w:rPr>
          <w:rFonts w:hint="eastAsia" w:ascii="宋体" w:hAnsi="宋体" w:eastAsia="宋体"/>
          <w:i w:val="0"/>
          <w:iCs w:val="0"/>
          <w:color w:val="auto"/>
          <w:highlight w:val="none"/>
          <w:lang w:val="en-US" w:eastAsia="zh-CN"/>
        </w:rPr>
        <w:t>5.1.1供应商应根据答疑内容在规定的时间内提供说明和成本清单等相关证明材料，磋商小组认定相关证明材料对此报价的说明或者证明材料可以佐证此报价的服务质量和具有诚信履约能力，予以通过审查；</w:t>
      </w:r>
    </w:p>
    <w:p w14:paraId="5B535568">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i w:val="0"/>
          <w:iCs w:val="0"/>
          <w:color w:val="auto"/>
          <w:highlight w:val="none"/>
          <w:lang w:val="en-US" w:eastAsia="zh-CN"/>
        </w:rPr>
      </w:pPr>
      <w:r>
        <w:rPr>
          <w:rFonts w:hint="eastAsia" w:ascii="宋体" w:hAnsi="宋体" w:eastAsia="宋体"/>
          <w:i w:val="0"/>
          <w:iCs w:val="0"/>
          <w:color w:val="auto"/>
          <w:highlight w:val="none"/>
          <w:lang w:val="en-US" w:eastAsia="zh-CN"/>
        </w:rPr>
        <w:t>5.1.2供应商提供的说明或者证明材料必须按照国家财务会计制度的规定要求，逐项就供应商提供的货物和服务的主营业务成本、税收及附加、销售费用、管理费用、财务费用等成本构成事项详细陈述，并由法定代表人或者其授权代表签字确认并加盖公章；</w:t>
      </w:r>
    </w:p>
    <w:p w14:paraId="267F6C00">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i w:val="0"/>
          <w:iCs w:val="0"/>
          <w:color w:val="auto"/>
          <w:highlight w:val="none"/>
          <w:lang w:val="en-US" w:eastAsia="zh-CN"/>
        </w:rPr>
      </w:pPr>
      <w:r>
        <w:rPr>
          <w:rFonts w:hint="eastAsia" w:ascii="宋体" w:hAnsi="宋体" w:eastAsia="宋体"/>
          <w:i w:val="0"/>
          <w:iCs w:val="0"/>
          <w:color w:val="auto"/>
          <w:highlight w:val="none"/>
          <w:lang w:val="en-US" w:eastAsia="zh-CN"/>
        </w:rPr>
        <w:t>5.1.3供应商不能合理说明或者不能提供相关证明材料的，由磋商小组认定该供应商以低于成本报价竞标，有可能影响服务质量或者不能诚信履约，应当</w:t>
      </w:r>
      <w:r>
        <w:rPr>
          <w:rFonts w:hint="eastAsia"/>
          <w:i w:val="0"/>
          <w:iCs w:val="0"/>
          <w:color w:val="auto"/>
          <w:highlight w:val="none"/>
          <w:lang w:val="zh-CN"/>
        </w:rPr>
        <w:t>将其作为</w:t>
      </w:r>
      <w:r>
        <w:rPr>
          <w:b/>
          <w:i w:val="0"/>
          <w:iCs w:val="0"/>
          <w:color w:val="auto"/>
          <w:highlight w:val="none"/>
          <w:lang w:val="zh-CN"/>
        </w:rPr>
        <w:t>无效</w:t>
      </w:r>
      <w:r>
        <w:rPr>
          <w:rFonts w:hint="eastAsia"/>
          <w:b/>
          <w:i w:val="0"/>
          <w:iCs w:val="0"/>
          <w:color w:val="auto"/>
          <w:highlight w:val="none"/>
          <w:lang w:val="zh-CN"/>
        </w:rPr>
        <w:t>响应</w:t>
      </w:r>
      <w:r>
        <w:rPr>
          <w:b/>
          <w:i w:val="0"/>
          <w:iCs w:val="0"/>
          <w:color w:val="auto"/>
          <w:highlight w:val="none"/>
          <w:lang w:val="zh-CN"/>
        </w:rPr>
        <w:t>处理</w:t>
      </w:r>
      <w:r>
        <w:rPr>
          <w:rFonts w:hint="eastAsia" w:ascii="宋体" w:hAnsi="宋体" w:eastAsia="宋体"/>
          <w:i w:val="0"/>
          <w:iCs w:val="0"/>
          <w:color w:val="auto"/>
          <w:highlight w:val="none"/>
          <w:lang w:val="en-US" w:eastAsia="zh-CN"/>
        </w:rPr>
        <w:t>；</w:t>
      </w:r>
    </w:p>
    <w:p w14:paraId="7FB6F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i w:val="0"/>
          <w:iCs w:val="0"/>
          <w:color w:val="auto"/>
          <w:highlight w:val="none"/>
          <w:lang w:val="en-US" w:eastAsia="zh-CN"/>
        </w:rPr>
      </w:pPr>
      <w:r>
        <w:rPr>
          <w:rFonts w:hint="eastAsia" w:ascii="宋体" w:hAnsi="宋体" w:eastAsia="宋体"/>
          <w:i w:val="0"/>
          <w:iCs w:val="0"/>
          <w:color w:val="auto"/>
          <w:highlight w:val="none"/>
          <w:lang w:val="en-US" w:eastAsia="zh-CN"/>
        </w:rPr>
        <w:t>5.1.4供应商也可以有预见性地准备好上述要求的书面说明和相关证明材料并加盖公章。</w:t>
      </w:r>
    </w:p>
    <w:p w14:paraId="4B874288">
      <w:pPr>
        <w:pStyle w:val="38"/>
        <w:rPr>
          <w:color w:val="auto"/>
          <w:highlight w:val="none"/>
        </w:rPr>
      </w:pPr>
      <w:r>
        <w:rPr>
          <w:rFonts w:hint="eastAsia"/>
          <w:color w:val="auto"/>
          <w:highlight w:val="none"/>
          <w:lang w:val="en-US" w:eastAsia="zh-CN"/>
        </w:rPr>
        <w:t>5.1.5</w:t>
      </w:r>
      <w:r>
        <w:rPr>
          <w:rFonts w:hint="eastAsia" w:ascii="宋体" w:hAnsi="宋体" w:eastAsia="宋体"/>
          <w:color w:val="auto"/>
          <w:highlight w:val="none"/>
          <w:lang w:val="en-US" w:eastAsia="zh-CN"/>
        </w:rPr>
        <w:t>服务项目的价格分值占总分值的比重不得低于</w:t>
      </w:r>
      <w:r>
        <w:rPr>
          <w:rFonts w:hint="default" w:ascii="宋体" w:hAnsi="宋体" w:eastAsia="宋体"/>
          <w:color w:val="auto"/>
          <w:highlight w:val="none"/>
          <w:lang w:val="en-US" w:eastAsia="zh-CN"/>
        </w:rPr>
        <w:t>10%。</w:t>
      </w:r>
      <w:r>
        <w:rPr>
          <w:rFonts w:hint="eastAsia"/>
          <w:color w:val="auto"/>
          <w:highlight w:val="none"/>
          <w:lang w:val="en-US" w:eastAsia="zh-CN"/>
        </w:rPr>
        <w:t>执行国家统一定价标准和采用固定价格采购的项目，其价格不列为评审因素。</w:t>
      </w:r>
      <w:r>
        <w:rPr>
          <w:color w:val="auto"/>
          <w:highlight w:val="none"/>
        </w:rPr>
        <w:t>价格分应当采用低价优先法计算，即满足招标文件要求且投标价格最低的投标报价为评标基准价，其价格分为满分。</w:t>
      </w:r>
    </w:p>
    <w:p w14:paraId="4B8AD520">
      <w:pPr>
        <w:pStyle w:val="38"/>
        <w:rPr>
          <w:color w:val="auto"/>
          <w:highlight w:val="none"/>
        </w:rPr>
      </w:pPr>
      <w:r>
        <w:rPr>
          <w:rFonts w:hint="eastAsia"/>
          <w:color w:val="auto"/>
          <w:highlight w:val="none"/>
          <w:lang w:val="en-US" w:eastAsia="zh-CN"/>
        </w:rPr>
        <w:t>5.1.6</w:t>
      </w:r>
      <w:r>
        <w:rPr>
          <w:rFonts w:hint="eastAsia"/>
          <w:iCs/>
          <w:color w:val="auto"/>
          <w:spacing w:val="-6"/>
          <w:sz w:val="24"/>
          <w:highlight w:val="none"/>
        </w:rPr>
        <w:t>除算术修正和落实政府采购政策的价格扣除外，不对投标报价进行调整；</w:t>
      </w:r>
    </w:p>
    <w:p w14:paraId="653E05C0">
      <w:pPr>
        <w:pStyle w:val="38"/>
        <w:rPr>
          <w:color w:val="auto"/>
          <w:highlight w:val="none"/>
        </w:rPr>
      </w:pPr>
      <w:r>
        <w:rPr>
          <w:rFonts w:hint="eastAsia"/>
          <w:color w:val="auto"/>
          <w:highlight w:val="none"/>
          <w:lang w:val="en-US" w:eastAsia="zh-CN"/>
        </w:rPr>
        <w:t>5.1.7</w:t>
      </w:r>
      <w:r>
        <w:rPr>
          <w:color w:val="auto"/>
          <w:highlight w:val="none"/>
        </w:rPr>
        <w:t>价</w:t>
      </w:r>
      <w:r>
        <w:rPr>
          <w:rFonts w:hint="eastAsia"/>
          <w:color w:val="auto"/>
          <w:highlight w:val="none"/>
        </w:rPr>
        <w:t>格</w:t>
      </w:r>
      <w:r>
        <w:rPr>
          <w:rFonts w:hint="eastAsia"/>
          <w:color w:val="auto"/>
          <w:highlight w:val="none"/>
          <w:lang w:eastAsia="zh-CN"/>
        </w:rPr>
        <w:t>分值</w:t>
      </w:r>
      <w:r>
        <w:rPr>
          <w:rFonts w:hint="eastAsia"/>
          <w:color w:val="auto"/>
          <w:highlight w:val="none"/>
        </w:rPr>
        <w:t>见本章</w:t>
      </w:r>
      <w:r>
        <w:rPr>
          <w:rFonts w:hint="eastAsia"/>
          <w:color w:val="auto"/>
          <w:highlight w:val="none"/>
          <w:lang w:eastAsia="zh-CN"/>
        </w:rPr>
        <w:t>“三、评审标准”</w:t>
      </w:r>
      <w:r>
        <w:rPr>
          <w:color w:val="auto"/>
          <w:highlight w:val="none"/>
        </w:rPr>
        <w:t>。</w:t>
      </w:r>
    </w:p>
    <w:p w14:paraId="71DBF3BA">
      <w:pPr>
        <w:pStyle w:val="38"/>
        <w:shd w:val="clear" w:color="auto" w:fill="auto"/>
        <w:rPr>
          <w:rFonts w:hint="eastAsia" w:cs="宋体"/>
          <w:color w:val="auto"/>
          <w:sz w:val="24"/>
          <w:szCs w:val="24"/>
          <w:highlight w:val="none"/>
          <w:shd w:val="clear" w:color="auto" w:fill="auto"/>
          <w:lang w:val="en-US" w:eastAsia="zh-CN"/>
        </w:rPr>
      </w:pPr>
      <w:r>
        <w:rPr>
          <w:rFonts w:hint="eastAsia"/>
          <w:color w:val="auto"/>
          <w:highlight w:val="none"/>
          <w:lang w:val="en-US" w:eastAsia="zh-CN"/>
        </w:rPr>
        <w:t>5.1.8</w:t>
      </w:r>
      <w:r>
        <w:rPr>
          <w:rFonts w:hint="eastAsia" w:cs="宋体"/>
          <w:color w:val="auto"/>
          <w:sz w:val="24"/>
          <w:szCs w:val="24"/>
          <w:highlight w:val="none"/>
          <w:shd w:val="clear" w:color="auto" w:fill="auto"/>
          <w:lang w:val="en-US" w:eastAsia="zh-CN"/>
        </w:rPr>
        <w:t>异常低价投标（响应）审查</w:t>
      </w:r>
    </w:p>
    <w:p w14:paraId="70F65445">
      <w:pPr>
        <w:pStyle w:val="38"/>
        <w:shd w:val="clear" w:color="auto" w:fill="auto"/>
        <w:rPr>
          <w:rFonts w:hint="eastAsia" w:cs="宋体"/>
          <w:color w:val="auto"/>
          <w:sz w:val="24"/>
          <w:szCs w:val="24"/>
          <w:highlight w:val="none"/>
          <w:shd w:val="clear" w:color="auto" w:fill="auto"/>
          <w:lang w:val="en-US" w:eastAsia="zh-CN"/>
        </w:rPr>
      </w:pPr>
      <w:r>
        <w:rPr>
          <w:rFonts w:hint="eastAsia" w:cs="宋体"/>
          <w:color w:val="auto"/>
          <w:sz w:val="24"/>
          <w:szCs w:val="24"/>
          <w:highlight w:val="none"/>
          <w:shd w:val="clear" w:color="auto" w:fill="auto"/>
          <w:lang w:val="en-US" w:eastAsia="zh-CN"/>
        </w:rPr>
        <w:t>1、审查依据</w:t>
      </w:r>
    </w:p>
    <w:p w14:paraId="1E9E12C8">
      <w:pPr>
        <w:pStyle w:val="38"/>
        <w:shd w:val="clear" w:color="auto" w:fill="auto"/>
        <w:rPr>
          <w:rFonts w:hint="eastAsia" w:ascii="宋体" w:hAnsi="宋体" w:eastAsia="宋体"/>
          <w:i w:val="0"/>
          <w:iCs w:val="0"/>
          <w:color w:val="auto"/>
          <w:highlight w:val="none"/>
          <w:lang w:val="en-US" w:eastAsia="zh-CN"/>
        </w:rPr>
      </w:pPr>
      <w:r>
        <w:rPr>
          <w:rFonts w:hint="eastAsia" w:cs="宋体"/>
          <w:color w:val="auto"/>
          <w:sz w:val="24"/>
          <w:szCs w:val="24"/>
          <w:highlight w:val="none"/>
          <w:shd w:val="clear" w:color="auto" w:fill="auto"/>
          <w:lang w:val="en-US" w:eastAsia="zh-CN"/>
        </w:rPr>
        <w:t>依据《中华人民共和国政府采购法》《中华人民共和国政府采购法实施条例》及财政部2026年2号文件《关于推动解决政府采购异常低价问题的通知》等相关规定，本项目评审委员会对投标（响应）报价开展异常低价审查工作。</w:t>
      </w:r>
    </w:p>
    <w:p w14:paraId="3EC465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sz w:val="24"/>
          <w:szCs w:val="24"/>
          <w:highlight w:val="none"/>
          <w:lang w:val="en-US" w:eastAsia="zh-CN"/>
        </w:rPr>
      </w:pPr>
      <w:r>
        <w:rPr>
          <w:rFonts w:hint="eastAsia" w:ascii="宋体" w:hAnsi="宋体" w:eastAsia="宋体" w:cs="宋体"/>
          <w:color w:val="auto"/>
          <w:sz w:val="24"/>
          <w:szCs w:val="24"/>
          <w:highlight w:val="none"/>
          <w:lang w:val="zh-CN"/>
        </w:rPr>
        <w:t>5.2</w:t>
      </w:r>
      <w:r>
        <w:rPr>
          <w:rFonts w:hint="eastAsia"/>
          <w:color w:val="auto"/>
          <w:sz w:val="24"/>
          <w:szCs w:val="24"/>
          <w:highlight w:val="none"/>
          <w:lang w:val="en-US" w:eastAsia="zh-CN"/>
        </w:rPr>
        <w:t>.</w:t>
      </w:r>
      <w:r>
        <w:rPr>
          <w:rFonts w:hint="eastAsia"/>
          <w:b/>
          <w:bCs/>
          <w:color w:val="auto"/>
          <w:sz w:val="24"/>
          <w:szCs w:val="24"/>
          <w:highlight w:val="none"/>
        </w:rPr>
        <w:t>政府采购异常低价审查</w:t>
      </w:r>
    </w:p>
    <w:p w14:paraId="2B7A66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rPr>
      </w:pPr>
      <w:r>
        <w:rPr>
          <w:rFonts w:hint="eastAsia"/>
          <w:color w:val="auto"/>
          <w:sz w:val="24"/>
          <w:szCs w:val="24"/>
          <w:highlight w:val="none"/>
          <w:lang w:val="en-US" w:eastAsia="zh-CN"/>
        </w:rPr>
        <w:t>5.2.1</w:t>
      </w:r>
      <w:r>
        <w:rPr>
          <w:rFonts w:hint="eastAsia"/>
          <w:color w:val="auto"/>
          <w:sz w:val="24"/>
          <w:szCs w:val="24"/>
          <w:highlight w:val="none"/>
        </w:rPr>
        <w:t>政府采购评审中出现下列情形之一的，评审委员会应当启动异常低价投标（响应）审查程序：</w:t>
      </w:r>
    </w:p>
    <w:p w14:paraId="20481B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投标（响应）报价低于全部通过符合性审查供应商投标（响应）报价平均值50%的，即投标（响应）报价&lt;全部通过符合性审查供应商投标（响应）报价平均值×50%；</w:t>
      </w:r>
    </w:p>
    <w:p w14:paraId="1FB0E5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投标（响应）报价低于通过符合性审查的次低报价供应商投标（响应）报价50%的，即投标（响应）报价&lt;通过符合性审查的次低报价供应商投标（响应）报价×50%；</w:t>
      </w:r>
    </w:p>
    <w:p w14:paraId="3E23C0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投标（响应）报价低于采购项目最高限价45%的，即投标（响应）报价&lt;采购项目最高限价×45%；</w:t>
      </w:r>
    </w:p>
    <w:p w14:paraId="1AB091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评审委员会基于专业判断，认为供应商报价过低，有可能影响产品质量或者不能诚信履约的其他情形。</w:t>
      </w:r>
    </w:p>
    <w:p w14:paraId="701466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rPr>
      </w:pPr>
      <w:r>
        <w:rPr>
          <w:rFonts w:hint="eastAsia"/>
          <w:color w:val="auto"/>
          <w:sz w:val="24"/>
          <w:szCs w:val="24"/>
          <w:highlight w:val="none"/>
          <w:lang w:val="en-US" w:eastAsia="zh-CN"/>
        </w:rPr>
        <w:t>5.2.2</w:t>
      </w:r>
      <w:r>
        <w:rPr>
          <w:rFonts w:hint="eastAsia"/>
          <w:color w:val="auto"/>
          <w:sz w:val="24"/>
          <w:szCs w:val="24"/>
          <w:highlight w:val="none"/>
        </w:rPr>
        <w:t>评审委员会启动异常低价投标（响应）审查后，属于前述第</w:t>
      </w: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项至第</w:t>
      </w: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7047CA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rPr>
      </w:pPr>
      <w:r>
        <w:rPr>
          <w:rFonts w:hint="eastAsia"/>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497299A">
      <w:pPr>
        <w:pStyle w:val="38"/>
        <w:shd w:val="clear" w:color="auto" w:fill="auto"/>
        <w:rPr>
          <w:rFonts w:hint="eastAsia" w:cs="宋体"/>
          <w:color w:val="auto"/>
          <w:sz w:val="24"/>
          <w:szCs w:val="24"/>
          <w:highlight w:val="none"/>
          <w:shd w:val="clear" w:color="auto" w:fill="auto"/>
          <w:lang w:val="en-US" w:eastAsia="zh-CN"/>
        </w:rPr>
      </w:pPr>
      <w:r>
        <w:rPr>
          <w:rFonts w:hint="eastAsia" w:cs="宋体"/>
          <w:color w:val="auto"/>
          <w:sz w:val="24"/>
          <w:szCs w:val="24"/>
          <w:highlight w:val="none"/>
          <w:shd w:val="clear" w:color="auto" w:fill="auto"/>
          <w:lang w:val="en-US" w:eastAsia="zh-CN"/>
        </w:rPr>
        <w:t>供应商未按要求提交说明及证明材料，或提交的材料无法有效证明报价合理性的，评审委员会将其投标（响应）作无效处理。</w:t>
      </w:r>
    </w:p>
    <w:p w14:paraId="126FDBEC">
      <w:pPr>
        <w:pStyle w:val="38"/>
        <w:shd w:val="clear" w:color="auto" w:fill="auto"/>
        <w:rPr>
          <w:rFonts w:hint="eastAsia"/>
          <w:color w:val="auto"/>
          <w:sz w:val="24"/>
          <w:szCs w:val="24"/>
          <w:highlight w:val="none"/>
        </w:rPr>
      </w:pPr>
      <w:r>
        <w:rPr>
          <w:rFonts w:hint="eastAsia" w:cs="宋体"/>
          <w:color w:val="auto"/>
          <w:sz w:val="24"/>
          <w:szCs w:val="24"/>
          <w:highlight w:val="none"/>
          <w:shd w:val="clear" w:color="auto" w:fill="auto"/>
          <w:lang w:val="en-US" w:eastAsia="zh-CN"/>
        </w:rPr>
        <w:t>异常低价审查的全过程及结论，由评审委员会如实记入评审报告，随采购项目档案一并存档备查。</w:t>
      </w:r>
    </w:p>
    <w:p w14:paraId="29BBADB8">
      <w:pPr>
        <w:pStyle w:val="38"/>
        <w:pageBreakBefore w:val="0"/>
        <w:kinsoku/>
        <w:overflowPunct/>
        <w:topLinePunct w:val="0"/>
        <w:autoSpaceDE/>
        <w:autoSpaceDN/>
        <w:bidi w:val="0"/>
        <w:spacing w:line="440" w:lineRule="exact"/>
        <w:ind w:firstLine="480"/>
        <w:jc w:val="both"/>
        <w:textAlignment w:val="auto"/>
        <w:rPr>
          <w:i w:val="0"/>
          <w:iCs w:val="0"/>
          <w:color w:val="auto"/>
          <w:highlight w:val="none"/>
          <w:lang w:val="zh-CN"/>
        </w:rPr>
      </w:pPr>
      <w:r>
        <w:rPr>
          <w:rFonts w:hint="eastAsia"/>
          <w:b/>
          <w:bCs/>
          <w:i w:val="0"/>
          <w:iCs w:val="0"/>
          <w:color w:val="auto"/>
          <w:highlight w:val="none"/>
          <w:lang w:val="zh-CN"/>
        </w:rPr>
        <w:t>5</w:t>
      </w:r>
      <w:r>
        <w:rPr>
          <w:b/>
          <w:bCs/>
          <w:i w:val="0"/>
          <w:iCs w:val="0"/>
          <w:color w:val="auto"/>
          <w:highlight w:val="none"/>
          <w:lang w:val="zh-CN"/>
        </w:rPr>
        <w:t>.</w:t>
      </w:r>
      <w:r>
        <w:rPr>
          <w:rFonts w:hint="eastAsia"/>
          <w:b/>
          <w:bCs/>
          <w:i w:val="0"/>
          <w:iCs w:val="0"/>
          <w:color w:val="auto"/>
          <w:highlight w:val="none"/>
          <w:lang w:val="en-US" w:eastAsia="zh-CN"/>
        </w:rPr>
        <w:t>3</w:t>
      </w:r>
      <w:r>
        <w:rPr>
          <w:rFonts w:hint="eastAsia"/>
          <w:b/>
          <w:bCs/>
          <w:i w:val="0"/>
          <w:iCs w:val="0"/>
          <w:color w:val="auto"/>
          <w:highlight w:val="none"/>
          <w:lang w:val="zh-CN"/>
        </w:rPr>
        <w:t>价格扣除：</w:t>
      </w:r>
      <w:r>
        <w:rPr>
          <w:i w:val="0"/>
          <w:iCs w:val="0"/>
          <w:color w:val="auto"/>
          <w:highlight w:val="none"/>
          <w:lang w:val="zh-CN"/>
        </w:rPr>
        <w:t xml:space="preserve"> </w:t>
      </w:r>
    </w:p>
    <w:p w14:paraId="0FF61E16">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非专门面向中小企业的采购项目或采购包，对符合规定的小微企业（监狱企业、残疾人福利性单位、联合体各方均为小微企业的联合体、符合小微企业划分标准的个体工商户视同小微企业）报价按照竞争性磋商文件“供应商须知前附表”中的规定扣除，对小微企业中的监狱企业、残疾人福利性单位的报价按照本竞争性磋商文件“供应商须知前附表”中的规定扣除，用扣除后的价格参与评审，采购产品纳入创新产品应用示范推荐目录内企业、采购产品获得节能产品或环境标志产品认证证书的供应商按照本竞争性磋商文件“供应商须知前附表”中的规定给予评审优惠。</w:t>
      </w:r>
    </w:p>
    <w:p w14:paraId="50331EBA">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参加政府采购活动的小微企业（含节能环保、创新产品企业）未提供“中小企业声明函”的；监狱企业未提供“监狱企业证明文件”的；残疾人福利性单位未提供“残疾人福利性单位声明函”的；不得享受相应的价格扣除优惠。组成联合体或者接受分包的小微企业与联合体内其他企业、分包企业之间存在直接控股、管理关系的，不得享受价格扣除优惠。</w:t>
      </w:r>
    </w:p>
    <w:p w14:paraId="218856DA">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（3）组成联合体或者接受分包的小微企业与联合体内其他企业、分包企业</w:t>
      </w:r>
      <w:r>
        <w:rPr>
          <w:rFonts w:hint="default" w:ascii="宋体" w:hAnsi="宋体" w:eastAsia="宋体" w:cs="宋体"/>
          <w:color w:val="auto"/>
          <w:sz w:val="24"/>
          <w:szCs w:val="24"/>
          <w:highlight w:val="none"/>
          <w:lang w:val="en-US" w:eastAsia="zh-CN"/>
        </w:rPr>
        <w:t>之间存在直接控股、管理关系的，不享受价格扣除优惠政策。</w:t>
      </w:r>
    </w:p>
    <w:p w14:paraId="4DBC983D">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（4）价格扣除比例对小型企业和微型企业同等对待，不作区分。</w:t>
      </w:r>
    </w:p>
    <w:p w14:paraId="6CE351D8">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（5）专门面向中小企业、预留部分采购份额面向中小企业采购的项目或采购包，评审时不再进行价格扣除。</w:t>
      </w:r>
    </w:p>
    <w:p w14:paraId="0789524D">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（6）若供应商同时属于小型或微型企业、监狱企业、残疾人福利性单位中的两种及以上，将不重复享受小微企业价格扣减的优惠政策。</w:t>
      </w:r>
    </w:p>
    <w:p w14:paraId="5B9B4680">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5.</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价格分采用低价优先法计算，即满足磋商文件要求且最后报价最低的供应商的价格为磋商基准价，其价格分为满分。其他供应商的价格分统一按照下列公式计算：</w:t>
      </w:r>
    </w:p>
    <w:p w14:paraId="1490583B">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磋商报价得分=（磋商基准价/最后磋商报价）×</w:t>
      </w:r>
      <w:r>
        <w:rPr>
          <w:rFonts w:hint="eastAsia" w:ascii="宋体" w:hAnsi="宋体" w:eastAsia="宋体" w:cs="宋体"/>
          <w:color w:val="auto"/>
          <w:sz w:val="24"/>
          <w:szCs w:val="24"/>
          <w:highlight w:val="none"/>
          <w:lang w:val="en-US" w:eastAsia="zh-CN"/>
        </w:rPr>
        <w:t>价格分值</w:t>
      </w:r>
    </w:p>
    <w:p w14:paraId="4D4BCB4A">
      <w:pPr>
        <w:pStyle w:val="38"/>
        <w:pageBreakBefore w:val="0"/>
        <w:kinsoku/>
        <w:overflowPunct/>
        <w:topLinePunct w:val="0"/>
        <w:autoSpaceDE/>
        <w:autoSpaceDN/>
        <w:bidi w:val="0"/>
        <w:spacing w:line="440" w:lineRule="exact"/>
        <w:ind w:firstLine="480"/>
        <w:jc w:val="both"/>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项目评审过程中，不得去掉最后报价中的最高报价和最低报价。计算方法详见本章“三、评审标准”中的具体计算公式。</w:t>
      </w:r>
    </w:p>
    <w:p w14:paraId="27413B3F">
      <w:pPr>
        <w:pStyle w:val="38"/>
        <w:keepNext w:val="0"/>
        <w:keepLines w:val="0"/>
        <w:pageBreakBefore w:val="0"/>
        <w:widowControl w:val="0"/>
        <w:kinsoku/>
        <w:overflowPunct/>
        <w:topLinePunct w:val="0"/>
        <w:autoSpaceDE/>
        <w:autoSpaceDN/>
        <w:bidi w:val="0"/>
        <w:adjustRightInd/>
        <w:jc w:val="both"/>
        <w:textAlignment w:val="auto"/>
        <w:rPr>
          <w:rFonts w:hint="eastAsia"/>
          <w:snapToGrid w:val="0"/>
          <w:color w:val="auto"/>
          <w:sz w:val="24"/>
          <w:highlight w:val="none"/>
          <w:lang w:val="en-US" w:eastAsia="zh-CN"/>
        </w:rPr>
      </w:pPr>
      <w:bookmarkStart w:id="443" w:name="_Toc102116053"/>
      <w:bookmarkStart w:id="444" w:name="_Toc102056249"/>
      <w:bookmarkStart w:id="445" w:name="_Toc102116183"/>
      <w:bookmarkStart w:id="446" w:name="_Toc102114951"/>
      <w:bookmarkStart w:id="447" w:name="_Toc102119884"/>
      <w:bookmarkStart w:id="448" w:name="_Toc102057749"/>
      <w:bookmarkStart w:id="449" w:name="_Toc102119885"/>
      <w:bookmarkStart w:id="450" w:name="_Toc102114952"/>
      <w:bookmarkStart w:id="451" w:name="_Toc102057750"/>
      <w:bookmarkStart w:id="452" w:name="_Toc102116054"/>
      <w:bookmarkStart w:id="453" w:name="_Toc102056250"/>
      <w:bookmarkStart w:id="454" w:name="_Toc102116184"/>
      <w:r>
        <w:rPr>
          <w:rFonts w:hint="eastAsia" w:eastAsia="宋体"/>
          <w:snapToGrid w:val="0"/>
          <w:color w:val="auto"/>
          <w:sz w:val="24"/>
          <w:highlight w:val="none"/>
          <w:lang w:val="en-US" w:eastAsia="zh-CN"/>
        </w:rPr>
        <w:t>5.</w:t>
      </w:r>
      <w:r>
        <w:rPr>
          <w:rFonts w:hint="eastAsia"/>
          <w:snapToGrid w:val="0"/>
          <w:color w:val="auto"/>
          <w:sz w:val="24"/>
          <w:highlight w:val="none"/>
          <w:lang w:val="en-US" w:eastAsia="zh-CN"/>
        </w:rPr>
        <w:t>5供应商对其提供的产品出具《关于符合本国产品标准的声明函》（样式见附件1，以下简称《声明函》）或财政部会同有关部门规定的有关证明文件。出具符合要求的《声明函》或有关证明文件的，该产品视为本国产品。</w:t>
      </w:r>
    </w:p>
    <w:p w14:paraId="0E7DCA4D">
      <w:pPr>
        <w:pStyle w:val="38"/>
        <w:jc w:val="both"/>
        <w:rPr>
          <w:rFonts w:hint="eastAsia"/>
          <w:snapToGrid w:val="0"/>
          <w:color w:val="auto"/>
          <w:sz w:val="24"/>
          <w:highlight w:val="none"/>
          <w:lang w:val="en-US" w:eastAsia="zh-CN"/>
        </w:rPr>
      </w:pPr>
      <w:r>
        <w:rPr>
          <w:rFonts w:hint="eastAsia"/>
          <w:snapToGrid w:val="0"/>
          <w:color w:val="auto"/>
          <w:sz w:val="24"/>
          <w:highlight w:val="none"/>
          <w:lang w:val="en-US" w:eastAsia="zh-CN"/>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6D16B19">
      <w:pPr>
        <w:pStyle w:val="38"/>
        <w:jc w:val="both"/>
        <w:rPr>
          <w:rFonts w:hint="eastAsia" w:ascii="宋体" w:hAnsi="宋体" w:eastAsia="宋体" w:cs="宋体"/>
          <w:snapToGrid w:val="0"/>
          <w:color w:val="auto"/>
          <w:sz w:val="24"/>
          <w:szCs w:val="24"/>
          <w:highlight w:val="none"/>
          <w:lang w:val="en-US" w:eastAsia="zh-CN"/>
        </w:rPr>
      </w:pPr>
      <w:r>
        <w:rPr>
          <w:rFonts w:hint="eastAsia"/>
          <w:snapToGrid w:val="0"/>
          <w:color w:val="auto"/>
          <w:sz w:val="24"/>
          <w:highlight w:val="none"/>
          <w:lang w:val="en-US" w:eastAsia="zh-CN"/>
        </w:rPr>
        <w:t>5.6</w:t>
      </w:r>
      <w:r>
        <w:rPr>
          <w:rFonts w:hint="eastAsia" w:eastAsia="宋体"/>
          <w:snapToGrid w:val="0"/>
          <w:color w:val="auto"/>
          <w:sz w:val="24"/>
          <w:highlight w:val="none"/>
          <w:lang w:val="en-US" w:eastAsia="zh-CN"/>
        </w:rPr>
        <w:t>采购标的仅包含单一产品时，政府采购活动中既有本国产品又有非本国产品参与竞争的，供应商对其提供的产品出具《关于符合本国产品标准的声明函》，依法对本国产品给予价格评审优惠，对本国产品的报价给予20%的价格扣除，用扣除后的价格参与评审。</w:t>
      </w:r>
    </w:p>
    <w:p w14:paraId="3FD80912">
      <w:pPr>
        <w:pStyle w:val="38"/>
        <w:keepNext w:val="0"/>
        <w:keepLines w:val="0"/>
        <w:pageBreakBefore w:val="0"/>
        <w:widowControl w:val="0"/>
        <w:kinsoku/>
        <w:overflowPunct/>
        <w:topLinePunct w:val="0"/>
        <w:autoSpaceDE/>
        <w:autoSpaceDN/>
        <w:bidi w:val="0"/>
        <w:adjustRightInd/>
        <w:jc w:val="both"/>
        <w:textAlignment w:val="auto"/>
        <w:rPr>
          <w:rFonts w:hint="eastAsia" w:eastAsia="宋体"/>
          <w:snapToGrid w:val="0"/>
          <w:color w:val="auto"/>
          <w:sz w:val="24"/>
          <w:highlight w:val="none"/>
          <w:lang w:val="en-US" w:eastAsia="zh-CN"/>
        </w:rPr>
      </w:pPr>
      <w:r>
        <w:rPr>
          <w:rFonts w:hint="eastAsia" w:eastAsia="宋体"/>
          <w:snapToGrid w:val="0"/>
          <w:color w:val="auto"/>
          <w:sz w:val="24"/>
          <w:highlight w:val="none"/>
          <w:lang w:val="en-US" w:eastAsia="zh-CN"/>
        </w:rPr>
        <w:t>5.</w:t>
      </w:r>
      <w:r>
        <w:rPr>
          <w:rFonts w:hint="eastAsia"/>
          <w:snapToGrid w:val="0"/>
          <w:color w:val="auto"/>
          <w:sz w:val="24"/>
          <w:highlight w:val="none"/>
          <w:lang w:val="en-US" w:eastAsia="zh-CN"/>
        </w:rPr>
        <w:t>7</w:t>
      </w:r>
      <w:r>
        <w:rPr>
          <w:rFonts w:hint="eastAsia" w:eastAsia="宋体"/>
          <w:snapToGrid w:val="0"/>
          <w:color w:val="auto"/>
          <w:sz w:val="24"/>
          <w:highlight w:val="none"/>
          <w:lang w:val="en-US" w:eastAsia="zh-CN"/>
        </w:rPr>
        <w:t>采购标的中含有多种产品，政府采购活动中既有本国产品又有非本国产品参与竞争的，供应商为该采购项目或者采购包提供的符合本国产品标准的产品成本之和占该供应商提供的全部产品成本之和的比例达到80%以上时，且供应商在投标（响应）文件中对此作出承诺，出具《本国产品成本占比承诺函》（样式见附件2，以下简称《承诺函》），则依法对该供应商提供的全部产品给予价格评审优惠，即对该供应商提供的全部产品的总报价给予20%的价格扣除，用扣除后的价格参与评审。若供应商所投产品均符合本国产品标准，且已提供《声明函》，可不填写《承诺函》。</w:t>
      </w:r>
    </w:p>
    <w:p w14:paraId="036BF25B">
      <w:pPr>
        <w:pStyle w:val="38"/>
        <w:jc w:val="both"/>
        <w:rPr>
          <w:rFonts w:hint="eastAsia"/>
          <w:snapToGrid w:val="0"/>
          <w:color w:val="auto"/>
          <w:sz w:val="24"/>
          <w:highlight w:val="none"/>
          <w:lang w:val="en-US" w:eastAsia="zh-CN"/>
        </w:rPr>
      </w:pPr>
      <w:r>
        <w:rPr>
          <w:rFonts w:hint="eastAsia" w:eastAsia="宋体"/>
          <w:snapToGrid w:val="0"/>
          <w:color w:val="auto"/>
          <w:sz w:val="24"/>
          <w:highlight w:val="none"/>
          <w:lang w:val="en-US" w:eastAsia="zh-CN"/>
        </w:rPr>
        <w:t>5.</w:t>
      </w:r>
      <w:r>
        <w:rPr>
          <w:rFonts w:hint="eastAsia"/>
          <w:snapToGrid w:val="0"/>
          <w:color w:val="auto"/>
          <w:sz w:val="24"/>
          <w:highlight w:val="none"/>
          <w:lang w:val="en-US" w:eastAsia="zh-CN"/>
        </w:rPr>
        <w:t>8对于仅有本国产品参与竞争的政府采购项目，本国产品不享受价格扣除评审优惠。</w:t>
      </w:r>
    </w:p>
    <w:p w14:paraId="595BE5EC">
      <w:pPr>
        <w:pStyle w:val="38"/>
        <w:jc w:val="both"/>
        <w:rPr>
          <w:rFonts w:hint="eastAsia" w:eastAsia="宋体"/>
          <w:snapToGrid w:val="0"/>
          <w:color w:val="auto"/>
          <w:sz w:val="24"/>
          <w:highlight w:val="none"/>
          <w:lang w:val="en-US" w:eastAsia="zh-CN"/>
        </w:rPr>
      </w:pPr>
      <w:r>
        <w:rPr>
          <w:rFonts w:hint="eastAsia"/>
          <w:snapToGrid w:val="0"/>
          <w:color w:val="auto"/>
          <w:sz w:val="24"/>
          <w:highlight w:val="none"/>
          <w:lang w:val="en-US" w:eastAsia="zh-CN"/>
        </w:rPr>
        <w:t>5.9</w:t>
      </w:r>
      <w:r>
        <w:rPr>
          <w:rFonts w:hint="eastAsia" w:eastAsia="宋体"/>
          <w:snapToGrid w:val="0"/>
          <w:color w:val="auto"/>
          <w:sz w:val="24"/>
          <w:highlight w:val="none"/>
          <w:lang w:val="en-US" w:eastAsia="zh-CN"/>
        </w:rPr>
        <w:t>评审委员会应对《声明函》的完整性、准确性进行审查，对含义不明确、同类事项与投标（响应）文件表述不一致或者有明显文字错误等情况的，应当以书面形式要求供应商作出必要的澄清、说明或者补正。经澄清、说明或者补正的《声明函》仍然不符合要求的，供应商提供的相关产品视为不符合本国产品标准。</w:t>
      </w:r>
    </w:p>
    <w:p w14:paraId="0DC40381">
      <w:pPr>
        <w:pStyle w:val="38"/>
        <w:jc w:val="both"/>
        <w:rPr>
          <w:rFonts w:hint="eastAsia" w:eastAsia="宋体"/>
          <w:snapToGrid w:val="0"/>
          <w:color w:val="auto"/>
          <w:sz w:val="24"/>
          <w:highlight w:val="none"/>
          <w:lang w:val="en-US" w:eastAsia="zh-CN"/>
        </w:rPr>
      </w:pPr>
      <w:r>
        <w:rPr>
          <w:rFonts w:hint="eastAsia" w:eastAsia="宋体"/>
          <w:snapToGrid w:val="0"/>
          <w:color w:val="auto"/>
          <w:sz w:val="24"/>
          <w:highlight w:val="none"/>
          <w:lang w:val="en-US" w:eastAsia="zh-CN"/>
        </w:rPr>
        <w:t>对医疗器械产品，</w:t>
      </w:r>
      <w:r>
        <w:rPr>
          <w:rFonts w:hint="eastAsia"/>
          <w:snapToGrid w:val="0"/>
          <w:color w:val="auto"/>
          <w:sz w:val="24"/>
          <w:highlight w:val="none"/>
          <w:lang w:val="en-US" w:eastAsia="zh-CN"/>
        </w:rPr>
        <w:t>提供</w:t>
      </w:r>
      <w:r>
        <w:rPr>
          <w:rFonts w:hint="eastAsia" w:eastAsia="宋体"/>
          <w:snapToGrid w:val="0"/>
          <w:color w:val="auto"/>
          <w:sz w:val="24"/>
          <w:highlight w:val="none"/>
          <w:lang w:val="en-US" w:eastAsia="zh-CN"/>
        </w:rPr>
        <w:t>取得药品监督管理部门授予的准字号医疗器械注册证的，</w:t>
      </w:r>
      <w:r>
        <w:rPr>
          <w:rFonts w:hint="eastAsia"/>
          <w:snapToGrid w:val="0"/>
          <w:color w:val="auto"/>
          <w:sz w:val="24"/>
          <w:highlight w:val="none"/>
          <w:lang w:val="en-US" w:eastAsia="zh-CN"/>
        </w:rPr>
        <w:t>视为符合本国产品标准，无须填写</w:t>
      </w:r>
      <w:r>
        <w:rPr>
          <w:rFonts w:hint="eastAsia" w:eastAsia="宋体"/>
          <w:snapToGrid w:val="0"/>
          <w:color w:val="auto"/>
          <w:sz w:val="24"/>
          <w:highlight w:val="none"/>
          <w:lang w:val="en-US" w:eastAsia="zh-CN"/>
        </w:rPr>
        <w:t>《声明函》</w:t>
      </w:r>
      <w:r>
        <w:rPr>
          <w:rFonts w:hint="eastAsia"/>
          <w:snapToGrid w:val="0"/>
          <w:color w:val="auto"/>
          <w:sz w:val="24"/>
          <w:highlight w:val="none"/>
          <w:lang w:val="en-US" w:eastAsia="zh-CN"/>
        </w:rPr>
        <w:t>，</w:t>
      </w:r>
      <w:r>
        <w:rPr>
          <w:rFonts w:hint="eastAsia" w:ascii="宋体" w:hAnsi="宋体" w:eastAsia="宋体" w:cs="宋体"/>
          <w:color w:val="auto"/>
          <w:sz w:val="24"/>
          <w:szCs w:val="24"/>
          <w:highlight w:val="none"/>
          <w:lang w:val="en-US" w:eastAsia="zh-CN"/>
        </w:rPr>
        <w:t>报价给予20%的价格扣除，用扣除后的价格参与评审</w:t>
      </w:r>
      <w:r>
        <w:rPr>
          <w:rFonts w:hint="eastAsia" w:cs="宋体"/>
          <w:color w:val="auto"/>
          <w:sz w:val="24"/>
          <w:szCs w:val="24"/>
          <w:highlight w:val="none"/>
          <w:lang w:val="en-US" w:eastAsia="zh-CN"/>
        </w:rPr>
        <w:t>。</w:t>
      </w:r>
    </w:p>
    <w:p w14:paraId="43A45B44">
      <w:pPr>
        <w:pStyle w:val="38"/>
        <w:jc w:val="both"/>
        <w:rPr>
          <w:rFonts w:hint="eastAsia" w:eastAsia="宋体"/>
          <w:snapToGrid w:val="0"/>
          <w:color w:val="auto"/>
          <w:sz w:val="24"/>
          <w:highlight w:val="none"/>
          <w:lang w:val="en-US" w:eastAsia="zh-CN"/>
        </w:rPr>
      </w:pPr>
      <w:r>
        <w:rPr>
          <w:rFonts w:hint="eastAsia" w:eastAsia="宋体"/>
          <w:snapToGrid w:val="0"/>
          <w:color w:val="auto"/>
          <w:sz w:val="24"/>
          <w:highlight w:val="none"/>
          <w:lang w:val="en-US" w:eastAsia="zh-CN"/>
        </w:rPr>
        <w:t>5.</w:t>
      </w:r>
      <w:r>
        <w:rPr>
          <w:rFonts w:hint="eastAsia"/>
          <w:snapToGrid w:val="0"/>
          <w:color w:val="auto"/>
          <w:sz w:val="24"/>
          <w:highlight w:val="none"/>
          <w:lang w:val="en-US" w:eastAsia="zh-CN"/>
        </w:rPr>
        <w:t>10</w:t>
      </w:r>
      <w:r>
        <w:rPr>
          <w:rFonts w:hint="eastAsia" w:eastAsia="宋体"/>
          <w:snapToGrid w:val="0"/>
          <w:color w:val="auto"/>
          <w:sz w:val="24"/>
          <w:highlight w:val="none"/>
          <w:lang w:val="en-US" w:eastAsia="zh-CN"/>
        </w:rPr>
        <w:t>对于非专门面向中小企业的采购项目，既有本国产品也有非本国产品参与竞争，且提供本国产品的供应商同时为小微企业的，对该供应商的产品同时给予支持本国产品和小微企业产品的价格评审优惠。在供应商原始报价基础上计算，用扣除后的价格参与评审。</w:t>
      </w:r>
    </w:p>
    <w:p w14:paraId="008BD8F0">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6.计分办法</w:t>
      </w:r>
      <w:bookmarkEnd w:id="443"/>
      <w:bookmarkEnd w:id="444"/>
      <w:bookmarkEnd w:id="445"/>
      <w:bookmarkEnd w:id="446"/>
      <w:bookmarkEnd w:id="447"/>
      <w:bookmarkEnd w:id="448"/>
      <w:r>
        <w:rPr>
          <w:rFonts w:hint="eastAsia" w:ascii="宋体" w:hAnsi="宋体" w:eastAsia="宋体" w:cs="宋体"/>
          <w:b/>
          <w:bCs/>
          <w:i w:val="0"/>
          <w:iCs w:val="0"/>
          <w:color w:val="auto"/>
          <w:kern w:val="2"/>
          <w:sz w:val="24"/>
          <w:szCs w:val="24"/>
          <w:highlight w:val="none"/>
          <w:lang w:val="en-US" w:eastAsia="zh-CN" w:bidi="ar-SA"/>
        </w:rPr>
        <w:t>及复核</w:t>
      </w:r>
    </w:p>
    <w:p w14:paraId="140E5EC0">
      <w:pPr>
        <w:pStyle w:val="38"/>
        <w:pageBreakBefore w:val="0"/>
        <w:kinsoku/>
        <w:overflowPunct/>
        <w:topLinePunct w:val="0"/>
        <w:autoSpaceDE/>
        <w:autoSpaceDN/>
        <w:bidi w:val="0"/>
        <w:spacing w:line="440" w:lineRule="exact"/>
        <w:ind w:firstLine="480"/>
        <w:jc w:val="both"/>
        <w:textAlignment w:val="auto"/>
        <w:rPr>
          <w:i w:val="0"/>
          <w:iCs w:val="0"/>
          <w:color w:val="auto"/>
          <w:kern w:val="0"/>
          <w:highlight w:val="none"/>
          <w:lang w:val="zh-CN"/>
        </w:rPr>
      </w:pPr>
      <w:r>
        <w:rPr>
          <w:rFonts w:hint="eastAsia"/>
          <w:i w:val="0"/>
          <w:iCs w:val="0"/>
          <w:color w:val="auto"/>
          <w:highlight w:val="none"/>
          <w:lang w:val="zh-CN"/>
        </w:rPr>
        <w:t>6</w:t>
      </w:r>
      <w:r>
        <w:rPr>
          <w:i w:val="0"/>
          <w:iCs w:val="0"/>
          <w:color w:val="auto"/>
          <w:highlight w:val="none"/>
          <w:lang w:val="zh-CN"/>
        </w:rPr>
        <w:t>.1</w:t>
      </w:r>
      <w:r>
        <w:rPr>
          <w:rFonts w:hint="eastAsia"/>
          <w:i w:val="0"/>
          <w:iCs w:val="0"/>
          <w:color w:val="auto"/>
          <w:highlight w:val="none"/>
          <w:lang w:val="zh-CN"/>
        </w:rPr>
        <w:t>评审过程中，各项分值一般精确到小数点后两位，评审得分应当为商务评分、技术评分、报价评分之和。磋商小组各成员应当汇总每个供应商的得分。</w:t>
      </w:r>
    </w:p>
    <w:p w14:paraId="79AFA293">
      <w:pPr>
        <w:pStyle w:val="38"/>
        <w:pageBreakBefore w:val="0"/>
        <w:kinsoku/>
        <w:overflowPunct/>
        <w:topLinePunct w:val="0"/>
        <w:autoSpaceDE/>
        <w:autoSpaceDN/>
        <w:bidi w:val="0"/>
        <w:spacing w:line="440" w:lineRule="exact"/>
        <w:ind w:firstLine="480"/>
        <w:jc w:val="both"/>
        <w:textAlignment w:val="auto"/>
        <w:rPr>
          <w:i w:val="0"/>
          <w:iCs w:val="0"/>
          <w:color w:val="auto"/>
          <w:highlight w:val="none"/>
          <w:lang w:val="zh-CN"/>
        </w:rPr>
      </w:pPr>
      <w:r>
        <w:rPr>
          <w:rFonts w:hint="eastAsia"/>
          <w:i w:val="0"/>
          <w:iCs w:val="0"/>
          <w:color w:val="auto"/>
          <w:highlight w:val="none"/>
          <w:lang w:val="zh-CN"/>
        </w:rPr>
        <w:t>6</w:t>
      </w:r>
      <w:r>
        <w:rPr>
          <w:i w:val="0"/>
          <w:iCs w:val="0"/>
          <w:color w:val="auto"/>
          <w:highlight w:val="none"/>
          <w:lang w:val="zh-CN"/>
        </w:rPr>
        <w:t>.2</w:t>
      </w:r>
      <w:r>
        <w:rPr>
          <w:rFonts w:hint="eastAsia"/>
          <w:i w:val="0"/>
          <w:iCs w:val="0"/>
          <w:color w:val="auto"/>
          <w:highlight w:val="none"/>
          <w:lang w:val="zh-CN"/>
        </w:rPr>
        <w:t>评审结果汇总完成后，采购代理机构应当对评审结果进行复核。经复核发现存在以下情形之一的，磋商小组应当当场修改评审结果，并在评审报告中记载：</w:t>
      </w:r>
    </w:p>
    <w:p w14:paraId="764A520B">
      <w:pPr>
        <w:pStyle w:val="38"/>
        <w:pageBreakBefore w:val="0"/>
        <w:kinsoku/>
        <w:overflowPunct/>
        <w:topLinePunct w:val="0"/>
        <w:autoSpaceDE/>
        <w:autoSpaceDN/>
        <w:bidi w:val="0"/>
        <w:spacing w:line="440" w:lineRule="exact"/>
        <w:ind w:firstLine="480"/>
        <w:jc w:val="both"/>
        <w:textAlignment w:val="auto"/>
        <w:rPr>
          <w:rFonts w:cs="Times New Roman"/>
          <w:i w:val="0"/>
          <w:iCs w:val="0"/>
          <w:color w:val="auto"/>
          <w:szCs w:val="20"/>
          <w:highlight w:val="none"/>
          <w:lang w:val="zh-CN"/>
        </w:rPr>
      </w:pPr>
      <w:r>
        <w:rPr>
          <w:rFonts w:hint="eastAsia"/>
          <w:i w:val="0"/>
          <w:iCs w:val="0"/>
          <w:color w:val="auto"/>
          <w:highlight w:val="none"/>
          <w:lang w:val="zh-CN"/>
        </w:rPr>
        <w:t>（1）</w:t>
      </w:r>
      <w:r>
        <w:rPr>
          <w:rFonts w:hint="eastAsia"/>
          <w:i w:val="0"/>
          <w:iCs w:val="0"/>
          <w:color w:val="auto"/>
          <w:highlight w:val="none"/>
          <w:lang w:val="zh-CN" w:eastAsia="zh-CN"/>
        </w:rPr>
        <w:t>资格性检查认定错误</w:t>
      </w:r>
      <w:r>
        <w:rPr>
          <w:rFonts w:hint="eastAsia"/>
          <w:i w:val="0"/>
          <w:iCs w:val="0"/>
          <w:color w:val="auto"/>
          <w:highlight w:val="none"/>
          <w:lang w:val="zh-CN"/>
        </w:rPr>
        <w:t xml:space="preserve">的； </w:t>
      </w:r>
    </w:p>
    <w:p w14:paraId="04B77BBF">
      <w:pPr>
        <w:pStyle w:val="38"/>
        <w:pageBreakBefore w:val="0"/>
        <w:kinsoku/>
        <w:overflowPunct/>
        <w:topLinePunct w:val="0"/>
        <w:autoSpaceDE/>
        <w:autoSpaceDN/>
        <w:bidi w:val="0"/>
        <w:spacing w:line="440" w:lineRule="exact"/>
        <w:ind w:firstLine="480"/>
        <w:jc w:val="both"/>
        <w:textAlignment w:val="auto"/>
        <w:rPr>
          <w:rFonts w:cs="Times New Roman"/>
          <w:i w:val="0"/>
          <w:iCs w:val="0"/>
          <w:color w:val="auto"/>
          <w:szCs w:val="20"/>
          <w:highlight w:val="none"/>
          <w:lang w:val="zh-CN"/>
        </w:rPr>
      </w:pPr>
      <w:r>
        <w:rPr>
          <w:rFonts w:hint="eastAsia"/>
          <w:i w:val="0"/>
          <w:iCs w:val="0"/>
          <w:color w:val="auto"/>
          <w:highlight w:val="none"/>
          <w:lang w:val="zh-CN"/>
        </w:rPr>
        <w:t>（</w:t>
      </w:r>
      <w:r>
        <w:rPr>
          <w:rFonts w:hint="eastAsia"/>
          <w:i w:val="0"/>
          <w:iCs w:val="0"/>
          <w:color w:val="auto"/>
          <w:highlight w:val="none"/>
          <w:lang w:val="en-US" w:eastAsia="zh-CN"/>
        </w:rPr>
        <w:t>2</w:t>
      </w:r>
      <w:r>
        <w:rPr>
          <w:rFonts w:hint="eastAsia"/>
          <w:i w:val="0"/>
          <w:iCs w:val="0"/>
          <w:color w:val="auto"/>
          <w:highlight w:val="none"/>
          <w:lang w:val="zh-CN"/>
        </w:rPr>
        <w:t xml:space="preserve">）分值汇总计算错误的； </w:t>
      </w:r>
    </w:p>
    <w:p w14:paraId="743EF636">
      <w:pPr>
        <w:pStyle w:val="38"/>
        <w:pageBreakBefore w:val="0"/>
        <w:kinsoku/>
        <w:overflowPunct/>
        <w:topLinePunct w:val="0"/>
        <w:autoSpaceDE/>
        <w:autoSpaceDN/>
        <w:bidi w:val="0"/>
        <w:spacing w:line="440" w:lineRule="exact"/>
        <w:ind w:firstLine="480"/>
        <w:jc w:val="both"/>
        <w:textAlignment w:val="auto"/>
        <w:rPr>
          <w:i w:val="0"/>
          <w:iCs w:val="0"/>
          <w:color w:val="auto"/>
          <w:highlight w:val="none"/>
          <w:lang w:val="zh-CN"/>
        </w:rPr>
      </w:pPr>
      <w:r>
        <w:rPr>
          <w:rFonts w:hint="eastAsia"/>
          <w:i w:val="0"/>
          <w:iCs w:val="0"/>
          <w:color w:val="auto"/>
          <w:highlight w:val="none"/>
          <w:lang w:val="zh-CN"/>
        </w:rPr>
        <w:t>（</w:t>
      </w:r>
      <w:r>
        <w:rPr>
          <w:rFonts w:hint="eastAsia"/>
          <w:i w:val="0"/>
          <w:iCs w:val="0"/>
          <w:color w:val="auto"/>
          <w:highlight w:val="none"/>
          <w:lang w:val="en-US" w:eastAsia="zh-CN"/>
        </w:rPr>
        <w:t>3</w:t>
      </w:r>
      <w:r>
        <w:rPr>
          <w:rFonts w:hint="eastAsia"/>
          <w:i w:val="0"/>
          <w:iCs w:val="0"/>
          <w:color w:val="auto"/>
          <w:highlight w:val="none"/>
          <w:lang w:val="zh-CN"/>
        </w:rPr>
        <w:t>）分项评分超出评分标准范围的；</w:t>
      </w:r>
    </w:p>
    <w:p w14:paraId="36B5499B">
      <w:pPr>
        <w:pStyle w:val="38"/>
        <w:pageBreakBefore w:val="0"/>
        <w:kinsoku/>
        <w:overflowPunct/>
        <w:topLinePunct w:val="0"/>
        <w:autoSpaceDE/>
        <w:autoSpaceDN/>
        <w:bidi w:val="0"/>
        <w:spacing w:line="440" w:lineRule="exact"/>
        <w:ind w:firstLine="480"/>
        <w:jc w:val="both"/>
        <w:textAlignment w:val="auto"/>
        <w:rPr>
          <w:i w:val="0"/>
          <w:iCs w:val="0"/>
          <w:color w:val="auto"/>
          <w:highlight w:val="none"/>
          <w:lang w:val="zh-CN"/>
        </w:rPr>
      </w:pPr>
      <w:r>
        <w:rPr>
          <w:rFonts w:hint="eastAsia"/>
          <w:i w:val="0"/>
          <w:iCs w:val="0"/>
          <w:color w:val="auto"/>
          <w:highlight w:val="none"/>
          <w:lang w:val="zh-CN"/>
        </w:rPr>
        <w:t>（</w:t>
      </w:r>
      <w:r>
        <w:rPr>
          <w:rFonts w:hint="eastAsia"/>
          <w:i w:val="0"/>
          <w:iCs w:val="0"/>
          <w:color w:val="auto"/>
          <w:highlight w:val="none"/>
          <w:lang w:val="en-US" w:eastAsia="zh-CN"/>
        </w:rPr>
        <w:t>4</w:t>
      </w:r>
      <w:r>
        <w:rPr>
          <w:rFonts w:hint="eastAsia"/>
          <w:i w:val="0"/>
          <w:iCs w:val="0"/>
          <w:color w:val="auto"/>
          <w:highlight w:val="none"/>
          <w:lang w:val="zh-CN"/>
        </w:rPr>
        <w:t>）</w:t>
      </w:r>
      <w:r>
        <w:rPr>
          <w:rFonts w:hint="eastAsia" w:cs="Helvetica"/>
          <w:i w:val="0"/>
          <w:iCs w:val="0"/>
          <w:color w:val="auto"/>
          <w:szCs w:val="24"/>
          <w:highlight w:val="none"/>
          <w:lang w:val="zh-CN"/>
        </w:rPr>
        <w:t>磋商小组</w:t>
      </w:r>
      <w:r>
        <w:rPr>
          <w:rFonts w:hint="eastAsia"/>
          <w:i w:val="0"/>
          <w:iCs w:val="0"/>
          <w:color w:val="auto"/>
          <w:highlight w:val="none"/>
          <w:lang w:val="zh-CN"/>
        </w:rPr>
        <w:t>成员对客观</w:t>
      </w:r>
      <w:r>
        <w:rPr>
          <w:rFonts w:hint="eastAsia"/>
          <w:i w:val="0"/>
          <w:iCs w:val="0"/>
          <w:color w:val="auto"/>
          <w:highlight w:val="none"/>
          <w:lang w:val="en-US" w:eastAsia="zh-CN"/>
        </w:rPr>
        <w:t>分</w:t>
      </w:r>
      <w:r>
        <w:rPr>
          <w:rFonts w:hint="eastAsia"/>
          <w:i w:val="0"/>
          <w:iCs w:val="0"/>
          <w:color w:val="auto"/>
          <w:highlight w:val="none"/>
          <w:lang w:val="zh-CN"/>
        </w:rPr>
        <w:t>评分不一致的；</w:t>
      </w:r>
    </w:p>
    <w:p w14:paraId="63A49419">
      <w:pPr>
        <w:pStyle w:val="38"/>
        <w:pageBreakBefore w:val="0"/>
        <w:kinsoku/>
        <w:overflowPunct/>
        <w:topLinePunct w:val="0"/>
        <w:autoSpaceDE/>
        <w:autoSpaceDN/>
        <w:bidi w:val="0"/>
        <w:spacing w:line="440" w:lineRule="exact"/>
        <w:ind w:firstLine="480"/>
        <w:jc w:val="both"/>
        <w:textAlignment w:val="auto"/>
        <w:rPr>
          <w:i w:val="0"/>
          <w:iCs w:val="0"/>
          <w:color w:val="auto"/>
          <w:highlight w:val="none"/>
          <w:lang w:val="zh-CN"/>
        </w:rPr>
      </w:pPr>
      <w:r>
        <w:rPr>
          <w:rFonts w:hint="eastAsia"/>
          <w:i w:val="0"/>
          <w:iCs w:val="0"/>
          <w:color w:val="auto"/>
          <w:highlight w:val="none"/>
          <w:lang w:val="zh-CN"/>
        </w:rPr>
        <w:t>（</w:t>
      </w:r>
      <w:r>
        <w:rPr>
          <w:rFonts w:hint="eastAsia"/>
          <w:i w:val="0"/>
          <w:iCs w:val="0"/>
          <w:color w:val="auto"/>
          <w:highlight w:val="none"/>
          <w:lang w:val="en-US" w:eastAsia="zh-CN"/>
        </w:rPr>
        <w:t>5</w:t>
      </w:r>
      <w:r>
        <w:rPr>
          <w:rFonts w:hint="eastAsia"/>
          <w:i w:val="0"/>
          <w:iCs w:val="0"/>
          <w:color w:val="auto"/>
          <w:highlight w:val="none"/>
          <w:lang w:val="zh-CN"/>
        </w:rPr>
        <w:t>）经</w:t>
      </w:r>
      <w:r>
        <w:rPr>
          <w:rFonts w:hint="eastAsia" w:cs="Helvetica"/>
          <w:i w:val="0"/>
          <w:iCs w:val="0"/>
          <w:color w:val="auto"/>
          <w:szCs w:val="24"/>
          <w:highlight w:val="none"/>
          <w:lang w:val="zh-CN"/>
        </w:rPr>
        <w:t>磋商小组</w:t>
      </w:r>
      <w:r>
        <w:rPr>
          <w:rFonts w:hint="eastAsia" w:cs="Helvetica"/>
          <w:i w:val="0"/>
          <w:iCs w:val="0"/>
          <w:color w:val="auto"/>
          <w:szCs w:val="24"/>
          <w:highlight w:val="none"/>
          <w:lang w:val="en-US" w:eastAsia="zh-CN"/>
        </w:rPr>
        <w:t>一致</w:t>
      </w:r>
      <w:r>
        <w:rPr>
          <w:rFonts w:hint="eastAsia"/>
          <w:i w:val="0"/>
          <w:iCs w:val="0"/>
          <w:color w:val="auto"/>
          <w:highlight w:val="none"/>
          <w:lang w:val="zh-CN"/>
        </w:rPr>
        <w:t>认定评分畸高、畸低的。</w:t>
      </w:r>
    </w:p>
    <w:p w14:paraId="1D44D39C">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lang w:val="zh-CN"/>
        </w:rPr>
      </w:pPr>
      <w:r>
        <w:rPr>
          <w:rFonts w:hint="eastAsia"/>
          <w:i w:val="0"/>
          <w:iCs w:val="0"/>
          <w:color w:val="auto"/>
          <w:highlight w:val="none"/>
          <w:lang w:val="zh-CN"/>
        </w:rPr>
        <w:t>6</w:t>
      </w:r>
      <w:r>
        <w:rPr>
          <w:i w:val="0"/>
          <w:iCs w:val="0"/>
          <w:color w:val="auto"/>
          <w:highlight w:val="none"/>
          <w:lang w:val="zh-CN"/>
        </w:rPr>
        <w:t>.3</w:t>
      </w:r>
      <w:r>
        <w:rPr>
          <w:rFonts w:hint="eastAsia"/>
          <w:i w:val="0"/>
          <w:iCs w:val="0"/>
          <w:color w:val="auto"/>
          <w:highlight w:val="none"/>
          <w:lang w:val="zh-CN"/>
        </w:rPr>
        <w:t>各供应商的最终得分为磋商小组所有成员对各供应商评审得分汇总后的算术平均值。</w:t>
      </w:r>
    </w:p>
    <w:p w14:paraId="55AB0F43">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lang w:val="en-US" w:eastAsia="zh-CN"/>
        </w:rPr>
      </w:pPr>
      <w:r>
        <w:rPr>
          <w:rFonts w:hint="eastAsia"/>
          <w:i w:val="0"/>
          <w:iCs w:val="0"/>
          <w:color w:val="auto"/>
          <w:highlight w:val="none"/>
          <w:lang w:val="en-US" w:eastAsia="zh-CN"/>
        </w:rPr>
        <w:t>6.4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p w14:paraId="259D1C36">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lang w:val="en-US" w:eastAsia="zh-CN"/>
        </w:rPr>
      </w:pPr>
      <w:r>
        <w:rPr>
          <w:rFonts w:hint="eastAsia"/>
          <w:i w:val="0"/>
          <w:iCs w:val="0"/>
          <w:color w:val="auto"/>
          <w:highlight w:val="none"/>
          <w:lang w:val="en-US" w:eastAsia="zh-CN"/>
        </w:rPr>
        <w:t>6.5采购人或者采购代理机构不得通过对样品进行检测、对供应商进行考察等方式改变评审结果。</w:t>
      </w:r>
    </w:p>
    <w:p w14:paraId="3A7D4D4E">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7.评审报告</w:t>
      </w:r>
      <w:bookmarkEnd w:id="449"/>
      <w:bookmarkEnd w:id="450"/>
      <w:bookmarkEnd w:id="451"/>
      <w:bookmarkEnd w:id="452"/>
      <w:bookmarkEnd w:id="453"/>
      <w:bookmarkEnd w:id="454"/>
    </w:p>
    <w:p w14:paraId="77CE3C71">
      <w:pPr>
        <w:pStyle w:val="38"/>
        <w:pageBreakBefore w:val="0"/>
        <w:kinsoku/>
        <w:overflowPunct/>
        <w:topLinePunct w:val="0"/>
        <w:autoSpaceDE/>
        <w:autoSpaceDN/>
        <w:bidi w:val="0"/>
        <w:spacing w:line="440" w:lineRule="exact"/>
        <w:ind w:firstLine="480"/>
        <w:jc w:val="both"/>
        <w:textAlignment w:val="auto"/>
        <w:rPr>
          <w:rFonts w:cs="Helvetica"/>
          <w:i w:val="0"/>
          <w:iCs w:val="0"/>
          <w:color w:val="auto"/>
          <w:szCs w:val="24"/>
          <w:highlight w:val="none"/>
          <w:lang w:val="zh-CN"/>
        </w:rPr>
      </w:pPr>
      <w:r>
        <w:rPr>
          <w:rFonts w:hint="eastAsia" w:cs="Helvetica"/>
          <w:i w:val="0"/>
          <w:iCs w:val="0"/>
          <w:color w:val="auto"/>
          <w:szCs w:val="24"/>
          <w:highlight w:val="none"/>
          <w:lang w:val="en-US" w:eastAsia="zh-CN"/>
        </w:rPr>
        <w:t>7</w:t>
      </w:r>
      <w:r>
        <w:rPr>
          <w:rFonts w:cs="Helvetica"/>
          <w:i w:val="0"/>
          <w:iCs w:val="0"/>
          <w:color w:val="auto"/>
          <w:szCs w:val="24"/>
          <w:highlight w:val="none"/>
          <w:lang w:val="zh-CN"/>
        </w:rPr>
        <w:t>.1</w:t>
      </w:r>
      <w:r>
        <w:rPr>
          <w:rFonts w:hint="eastAsia" w:cs="Helvetica"/>
          <w:i w:val="0"/>
          <w:iCs w:val="0"/>
          <w:color w:val="auto"/>
          <w:szCs w:val="24"/>
          <w:highlight w:val="none"/>
          <w:lang w:val="zh-CN"/>
        </w:rPr>
        <w:t>磋商小组</w:t>
      </w:r>
      <w:r>
        <w:rPr>
          <w:rFonts w:hint="eastAsia"/>
          <w:i w:val="0"/>
          <w:iCs w:val="0"/>
          <w:color w:val="auto"/>
          <w:highlight w:val="none"/>
        </w:rPr>
        <w:t>从质量和服务均能满足磋商文件实质性要求的供应商中，按照</w:t>
      </w:r>
      <w:r>
        <w:rPr>
          <w:rFonts w:hint="eastAsia"/>
          <w:i w:val="0"/>
          <w:iCs w:val="0"/>
          <w:color w:val="auto"/>
          <w:highlight w:val="none"/>
          <w:lang w:val="en-US" w:eastAsia="zh-CN"/>
        </w:rPr>
        <w:t>评审</w:t>
      </w:r>
      <w:r>
        <w:rPr>
          <w:rFonts w:hint="eastAsia"/>
          <w:i w:val="0"/>
          <w:iCs w:val="0"/>
          <w:color w:val="auto"/>
          <w:highlight w:val="none"/>
        </w:rPr>
        <w:t>得分由高到低的顺序推荐3名</w:t>
      </w:r>
      <w:r>
        <w:rPr>
          <w:rFonts w:hint="eastAsia"/>
          <w:i w:val="0"/>
          <w:iCs w:val="0"/>
          <w:color w:val="auto"/>
          <w:szCs w:val="24"/>
          <w:highlight w:val="none"/>
          <w:lang w:val="zh-CN"/>
        </w:rPr>
        <w:t>（</w:t>
      </w:r>
      <w:r>
        <w:rPr>
          <w:rFonts w:hint="eastAsia"/>
          <w:i w:val="0"/>
          <w:iCs w:val="0"/>
          <w:color w:val="auto"/>
          <w:highlight w:val="none"/>
        </w:rPr>
        <w:t>市场竞争不充分的科研项目，以及需要扶持的科技成果转化项目可以为</w:t>
      </w:r>
      <w:r>
        <w:rPr>
          <w:i w:val="0"/>
          <w:iCs w:val="0"/>
          <w:color w:val="auto"/>
          <w:highlight w:val="none"/>
        </w:rPr>
        <w:t>2家</w:t>
      </w:r>
      <w:r>
        <w:rPr>
          <w:rFonts w:hint="eastAsia"/>
          <w:i w:val="0"/>
          <w:iCs w:val="0"/>
          <w:color w:val="auto"/>
          <w:highlight w:val="none"/>
        </w:rPr>
        <w:t>，</w:t>
      </w:r>
      <w:r>
        <w:rPr>
          <w:rFonts w:hint="eastAsia"/>
          <w:i w:val="0"/>
          <w:iCs w:val="0"/>
          <w:snapToGrid w:val="0"/>
          <w:color w:val="auto"/>
          <w:highlight w:val="none"/>
        </w:rPr>
        <w:t>政府购买服务项目[含政府和社会资本合作项目]，在采购过程中符合要求的供应商[社会资本]只有2家的</w:t>
      </w:r>
      <w:r>
        <w:rPr>
          <w:rFonts w:hint="eastAsia"/>
          <w:i w:val="0"/>
          <w:iCs w:val="0"/>
          <w:color w:val="auto"/>
          <w:highlight w:val="none"/>
        </w:rPr>
        <w:t>可以为</w:t>
      </w:r>
      <w:r>
        <w:rPr>
          <w:i w:val="0"/>
          <w:iCs w:val="0"/>
          <w:color w:val="auto"/>
          <w:highlight w:val="none"/>
        </w:rPr>
        <w:t>2家</w:t>
      </w:r>
      <w:r>
        <w:rPr>
          <w:i w:val="0"/>
          <w:iCs w:val="0"/>
          <w:color w:val="auto"/>
          <w:szCs w:val="24"/>
          <w:highlight w:val="none"/>
          <w:lang w:val="zh-CN"/>
        </w:rPr>
        <w:t>）</w:t>
      </w:r>
      <w:r>
        <w:rPr>
          <w:rFonts w:hint="eastAsia"/>
          <w:i w:val="0"/>
          <w:iCs w:val="0"/>
          <w:color w:val="auto"/>
          <w:highlight w:val="none"/>
        </w:rPr>
        <w:t>以上</w:t>
      </w:r>
      <w:r>
        <w:rPr>
          <w:rFonts w:hint="eastAsia" w:cs="Helvetica"/>
          <w:i w:val="0"/>
          <w:iCs w:val="0"/>
          <w:color w:val="auto"/>
          <w:szCs w:val="24"/>
          <w:highlight w:val="none"/>
          <w:lang w:val="zh-CN"/>
        </w:rPr>
        <w:t>成交</w:t>
      </w:r>
      <w:r>
        <w:rPr>
          <w:rFonts w:hint="eastAsia"/>
          <w:i w:val="0"/>
          <w:iCs w:val="0"/>
          <w:color w:val="auto"/>
          <w:highlight w:val="none"/>
        </w:rPr>
        <w:t>候选供应商。评审得</w:t>
      </w:r>
      <w:r>
        <w:rPr>
          <w:i w:val="0"/>
          <w:iCs w:val="0"/>
          <w:color w:val="auto"/>
          <w:highlight w:val="none"/>
        </w:rPr>
        <w:t>分相同的，</w:t>
      </w:r>
      <w:r>
        <w:rPr>
          <w:rFonts w:hint="eastAsia" w:cs="Helvetica"/>
          <w:i w:val="0"/>
          <w:iCs w:val="0"/>
          <w:color w:val="auto"/>
          <w:szCs w:val="24"/>
          <w:highlight w:val="none"/>
          <w:lang w:val="zh-CN"/>
        </w:rPr>
        <w:t>磋商小组</w:t>
      </w:r>
      <w:r>
        <w:rPr>
          <w:rFonts w:hint="eastAsia"/>
          <w:i w:val="0"/>
          <w:iCs w:val="0"/>
          <w:color w:val="auto"/>
          <w:highlight w:val="none"/>
        </w:rPr>
        <w:t>按照最后报价由低到高的顺序</w:t>
      </w:r>
      <w:r>
        <w:rPr>
          <w:i w:val="0"/>
          <w:iCs w:val="0"/>
          <w:color w:val="auto"/>
          <w:highlight w:val="none"/>
        </w:rPr>
        <w:t>推荐</w:t>
      </w:r>
      <w:r>
        <w:rPr>
          <w:rFonts w:hint="eastAsia"/>
          <w:i w:val="0"/>
          <w:iCs w:val="0"/>
          <w:color w:val="auto"/>
          <w:highlight w:val="none"/>
        </w:rPr>
        <w:t>；</w:t>
      </w:r>
      <w:r>
        <w:rPr>
          <w:rFonts w:hint="eastAsia"/>
          <w:i w:val="0"/>
          <w:iCs w:val="0"/>
          <w:color w:val="auto"/>
          <w:highlight w:val="none"/>
          <w:lang w:val="en-US" w:eastAsia="zh-CN"/>
        </w:rPr>
        <w:t>评审</w:t>
      </w:r>
      <w:r>
        <w:rPr>
          <w:rFonts w:hint="eastAsia"/>
          <w:i w:val="0"/>
          <w:iCs w:val="0"/>
          <w:color w:val="auto"/>
          <w:highlight w:val="none"/>
        </w:rPr>
        <w:t>得分且最后报价相同的，按</w:t>
      </w:r>
      <w:r>
        <w:rPr>
          <w:rFonts w:hint="eastAsia"/>
          <w:i w:val="0"/>
          <w:iCs w:val="0"/>
          <w:color w:val="auto"/>
          <w:highlight w:val="none"/>
          <w:lang w:val="en-US" w:eastAsia="zh-CN"/>
        </w:rPr>
        <w:t>照</w:t>
      </w:r>
      <w:r>
        <w:rPr>
          <w:rFonts w:hint="eastAsia"/>
          <w:i w:val="0"/>
          <w:iCs w:val="0"/>
          <w:color w:val="auto"/>
          <w:highlight w:val="none"/>
        </w:rPr>
        <w:t>技术</w:t>
      </w:r>
      <w:r>
        <w:rPr>
          <w:rFonts w:hint="eastAsia"/>
          <w:i w:val="0"/>
          <w:iCs w:val="0"/>
          <w:color w:val="auto"/>
          <w:highlight w:val="none"/>
          <w:lang w:val="en-US" w:eastAsia="zh-CN"/>
        </w:rPr>
        <w:t>指标</w:t>
      </w:r>
      <w:r>
        <w:rPr>
          <w:rFonts w:hint="eastAsia"/>
          <w:i w:val="0"/>
          <w:iCs w:val="0"/>
          <w:color w:val="auto"/>
          <w:highlight w:val="none"/>
        </w:rPr>
        <w:t>优劣顺序推荐</w:t>
      </w:r>
      <w:r>
        <w:rPr>
          <w:rFonts w:hint="eastAsia" w:cs="Helvetica"/>
          <w:i w:val="0"/>
          <w:iCs w:val="0"/>
          <w:color w:val="auto"/>
          <w:szCs w:val="24"/>
          <w:highlight w:val="none"/>
          <w:lang w:val="zh-CN"/>
        </w:rPr>
        <w:t>。响应文件满足磋商文件全部实质性要求且评审得分</w:t>
      </w:r>
      <w:r>
        <w:rPr>
          <w:rFonts w:cs="Helvetica"/>
          <w:i w:val="0"/>
          <w:iCs w:val="0"/>
          <w:color w:val="auto"/>
          <w:szCs w:val="24"/>
          <w:highlight w:val="none"/>
          <w:lang w:val="zh-CN"/>
        </w:rPr>
        <w:t>最高</w:t>
      </w:r>
      <w:r>
        <w:rPr>
          <w:rFonts w:hint="eastAsia" w:cs="Helvetica"/>
          <w:i w:val="0"/>
          <w:iCs w:val="0"/>
          <w:color w:val="auto"/>
          <w:szCs w:val="24"/>
          <w:highlight w:val="none"/>
          <w:lang w:val="zh-CN"/>
        </w:rPr>
        <w:t>的供应商为排名第一的成交候选供应商。</w:t>
      </w:r>
      <w:r>
        <w:rPr>
          <w:rFonts w:hint="eastAsia"/>
          <w:i w:val="0"/>
          <w:iCs w:val="0"/>
          <w:color w:val="auto"/>
          <w:highlight w:val="none"/>
        </w:rPr>
        <w:t>磋商小组依据评审结果</w:t>
      </w:r>
      <w:r>
        <w:rPr>
          <w:rFonts w:hint="eastAsia"/>
          <w:i w:val="0"/>
          <w:iCs w:val="0"/>
          <w:color w:val="auto"/>
          <w:highlight w:val="none"/>
          <w:lang w:eastAsia="zh-CN"/>
        </w:rPr>
        <w:t>形成评审报告</w:t>
      </w:r>
      <w:r>
        <w:rPr>
          <w:rFonts w:hint="eastAsia" w:ascii="宋体" w:hAnsi="宋体" w:eastAsia="宋体"/>
          <w:i w:val="0"/>
          <w:iCs w:val="0"/>
          <w:color w:val="auto"/>
          <w:highlight w:val="none"/>
          <w:lang w:eastAsia="zh-CN"/>
        </w:rPr>
        <w:t>。</w:t>
      </w:r>
    </w:p>
    <w:p w14:paraId="12B50918">
      <w:pPr>
        <w:pStyle w:val="38"/>
        <w:pageBreakBefore w:val="0"/>
        <w:kinsoku/>
        <w:overflowPunct/>
        <w:topLinePunct w:val="0"/>
        <w:autoSpaceDE/>
        <w:autoSpaceDN/>
        <w:bidi w:val="0"/>
        <w:spacing w:line="440" w:lineRule="exact"/>
        <w:ind w:firstLine="480"/>
        <w:jc w:val="both"/>
        <w:textAlignment w:val="auto"/>
        <w:rPr>
          <w:rFonts w:hint="eastAsia" w:cs="Helvetica"/>
          <w:i w:val="0"/>
          <w:iCs w:val="0"/>
          <w:color w:val="auto"/>
          <w:szCs w:val="24"/>
          <w:highlight w:val="none"/>
          <w:lang w:val="zh-CN"/>
        </w:rPr>
      </w:pPr>
      <w:r>
        <w:rPr>
          <w:rFonts w:hint="eastAsia" w:cs="Helvetica"/>
          <w:i w:val="0"/>
          <w:iCs w:val="0"/>
          <w:color w:val="auto"/>
          <w:szCs w:val="24"/>
          <w:highlight w:val="none"/>
          <w:lang w:val="en-US" w:eastAsia="zh-CN"/>
        </w:rPr>
        <w:t>7</w:t>
      </w:r>
      <w:r>
        <w:rPr>
          <w:rFonts w:cs="Helvetica"/>
          <w:i w:val="0"/>
          <w:iCs w:val="0"/>
          <w:color w:val="auto"/>
          <w:szCs w:val="24"/>
          <w:highlight w:val="none"/>
          <w:lang w:val="zh-CN"/>
        </w:rPr>
        <w:t>.</w:t>
      </w:r>
      <w:r>
        <w:rPr>
          <w:rFonts w:hint="eastAsia" w:cs="Helvetica"/>
          <w:i w:val="0"/>
          <w:iCs w:val="0"/>
          <w:color w:val="auto"/>
          <w:szCs w:val="24"/>
          <w:highlight w:val="none"/>
          <w:lang w:val="en-US" w:eastAsia="zh-CN"/>
        </w:rPr>
        <w:t>2</w:t>
      </w:r>
      <w:r>
        <w:rPr>
          <w:rFonts w:hint="eastAsia"/>
          <w:i w:val="0"/>
          <w:iCs w:val="0"/>
          <w:color w:val="auto"/>
          <w:highlight w:val="none"/>
          <w:lang w:val="zh-CN" w:eastAsia="zh-CN"/>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r>
        <w:rPr>
          <w:rFonts w:hint="eastAsia" w:cs="Helvetica"/>
          <w:i w:val="0"/>
          <w:iCs w:val="0"/>
          <w:color w:val="auto"/>
          <w:szCs w:val="24"/>
          <w:highlight w:val="none"/>
          <w:lang w:val="zh-CN"/>
        </w:rPr>
        <w:t>。</w:t>
      </w:r>
    </w:p>
    <w:p w14:paraId="0080BCE1">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8.响应无效的情形</w:t>
      </w:r>
    </w:p>
    <w:p w14:paraId="5FD8D757">
      <w:pPr>
        <w:keepNext w:val="0"/>
        <w:keepLines w:val="0"/>
        <w:pageBreakBefore w:val="0"/>
        <w:widowControl/>
        <w:suppressLineNumbers w:val="0"/>
        <w:kinsoku/>
        <w:overflowPunct/>
        <w:topLinePunct w:val="0"/>
        <w:autoSpaceDE/>
        <w:autoSpaceDN/>
        <w:bidi w:val="0"/>
        <w:spacing w:line="440" w:lineRule="exact"/>
        <w:ind w:firstLine="480" w:firstLineChars="200"/>
        <w:jc w:val="both"/>
        <w:textAlignment w:val="auto"/>
        <w:rPr>
          <w:rFonts w:hint="eastAsia" w:cs="宋体"/>
          <w:i w:val="0"/>
          <w:iCs w:val="0"/>
          <w:color w:val="auto"/>
          <w:kern w:val="2"/>
          <w:sz w:val="24"/>
          <w:szCs w:val="22"/>
          <w:highlight w:val="none"/>
          <w:lang w:val="en-US" w:eastAsia="zh-CN" w:bidi="ar-SA"/>
        </w:rPr>
      </w:pPr>
      <w:r>
        <w:rPr>
          <w:rFonts w:hint="eastAsia" w:cs="宋体"/>
          <w:i w:val="0"/>
          <w:iCs w:val="0"/>
          <w:color w:val="auto"/>
          <w:kern w:val="2"/>
          <w:sz w:val="24"/>
          <w:szCs w:val="22"/>
          <w:highlight w:val="none"/>
          <w:lang w:val="en-US" w:eastAsia="zh-CN" w:bidi="ar-SA"/>
        </w:rPr>
        <w:t>8.1</w:t>
      </w:r>
      <w:r>
        <w:rPr>
          <w:rFonts w:hint="eastAsia" w:ascii="宋体" w:hAnsi="宋体" w:eastAsia="宋体" w:cs="宋体"/>
          <w:b w:val="0"/>
          <w:bCs w:val="0"/>
          <w:i w:val="0"/>
          <w:iCs w:val="0"/>
          <w:color w:val="auto"/>
          <w:sz w:val="24"/>
          <w:szCs w:val="24"/>
          <w:highlight w:val="none"/>
        </w:rPr>
        <w:t>供应商存在下列情况之一的，</w:t>
      </w:r>
      <w:r>
        <w:rPr>
          <w:rFonts w:hint="eastAsia" w:cs="宋体"/>
          <w:b w:val="0"/>
          <w:bCs w:val="0"/>
          <w:i w:val="0"/>
          <w:iCs w:val="0"/>
          <w:color w:val="auto"/>
          <w:sz w:val="24"/>
          <w:szCs w:val="24"/>
          <w:highlight w:val="none"/>
          <w:lang w:val="en-US" w:eastAsia="zh-CN"/>
        </w:rPr>
        <w:t>其</w:t>
      </w:r>
      <w:r>
        <w:rPr>
          <w:rFonts w:hint="eastAsia" w:cs="宋体"/>
          <w:b/>
          <w:bCs/>
          <w:i w:val="0"/>
          <w:iCs w:val="0"/>
          <w:color w:val="auto"/>
          <w:sz w:val="24"/>
          <w:szCs w:val="24"/>
          <w:highlight w:val="none"/>
          <w:lang w:val="en-US" w:eastAsia="zh-CN"/>
        </w:rPr>
        <w:t>响应</w:t>
      </w:r>
      <w:r>
        <w:rPr>
          <w:rFonts w:hint="eastAsia" w:ascii="宋体" w:hAnsi="宋体" w:eastAsia="宋体" w:cs="宋体"/>
          <w:b/>
          <w:bCs/>
          <w:i w:val="0"/>
          <w:iCs w:val="0"/>
          <w:color w:val="auto"/>
          <w:sz w:val="24"/>
          <w:szCs w:val="24"/>
          <w:highlight w:val="none"/>
        </w:rPr>
        <w:t>无效</w:t>
      </w:r>
      <w:r>
        <w:rPr>
          <w:rFonts w:hint="eastAsia" w:ascii="宋体" w:hAnsi="宋体" w:eastAsia="宋体" w:cs="宋体"/>
          <w:b w:val="0"/>
          <w:bCs w:val="0"/>
          <w:i w:val="0"/>
          <w:iCs w:val="0"/>
          <w:color w:val="auto"/>
          <w:sz w:val="24"/>
          <w:szCs w:val="24"/>
          <w:highlight w:val="none"/>
        </w:rPr>
        <w:t>：</w:t>
      </w:r>
    </w:p>
    <w:p w14:paraId="63E1C978">
      <w:pPr>
        <w:pStyle w:val="63"/>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不同供应商的响应文件由同一单位或者个人编制；</w:t>
      </w:r>
    </w:p>
    <w:p w14:paraId="1BAD9F8F">
      <w:pPr>
        <w:pStyle w:val="63"/>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rPr>
        <w:t>不同供应商委托同一单位或者个人办理</w:t>
      </w:r>
      <w:r>
        <w:rPr>
          <w:rFonts w:hint="eastAsia" w:ascii="宋体" w:hAnsi="宋体" w:eastAsia="宋体" w:cs="宋体"/>
          <w:b w:val="0"/>
          <w:bCs w:val="0"/>
          <w:i w:val="0"/>
          <w:iCs w:val="0"/>
          <w:color w:val="auto"/>
          <w:sz w:val="24"/>
          <w:szCs w:val="24"/>
          <w:highlight w:val="none"/>
          <w:lang w:val="en-US" w:eastAsia="zh-CN"/>
        </w:rPr>
        <w:t>磋商响应</w:t>
      </w:r>
      <w:r>
        <w:rPr>
          <w:rFonts w:hint="eastAsia" w:ascii="宋体" w:hAnsi="宋体" w:eastAsia="宋体" w:cs="宋体"/>
          <w:b w:val="0"/>
          <w:bCs w:val="0"/>
          <w:i w:val="0"/>
          <w:iCs w:val="0"/>
          <w:color w:val="auto"/>
          <w:sz w:val="24"/>
          <w:szCs w:val="24"/>
          <w:highlight w:val="none"/>
        </w:rPr>
        <w:t>事宜；</w:t>
      </w:r>
    </w:p>
    <w:p w14:paraId="51CC9DB8">
      <w:pPr>
        <w:pStyle w:val="63"/>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rPr>
        <w:t>不同供应商的响应文件载明的项目管理成员或者联系人员为同一人；</w:t>
      </w:r>
    </w:p>
    <w:p w14:paraId="25AEF5CC">
      <w:pPr>
        <w:pStyle w:val="63"/>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4）</w:t>
      </w:r>
      <w:r>
        <w:rPr>
          <w:rFonts w:hint="eastAsia" w:ascii="宋体" w:hAnsi="宋体" w:eastAsia="宋体" w:cs="宋体"/>
          <w:b w:val="0"/>
          <w:bCs w:val="0"/>
          <w:i w:val="0"/>
          <w:iCs w:val="0"/>
          <w:color w:val="auto"/>
          <w:sz w:val="24"/>
          <w:szCs w:val="24"/>
          <w:highlight w:val="none"/>
        </w:rPr>
        <w:t>不同供应商的响应文件异常一致或者</w:t>
      </w:r>
      <w:r>
        <w:rPr>
          <w:rFonts w:hint="eastAsia" w:ascii="宋体" w:hAnsi="宋体" w:eastAsia="宋体" w:cs="宋体"/>
          <w:b w:val="0"/>
          <w:bCs w:val="0"/>
          <w:i w:val="0"/>
          <w:iCs w:val="0"/>
          <w:color w:val="auto"/>
          <w:sz w:val="24"/>
          <w:szCs w:val="24"/>
          <w:highlight w:val="none"/>
          <w:lang w:val="en-US" w:eastAsia="zh-CN"/>
        </w:rPr>
        <w:t>磋商</w:t>
      </w:r>
      <w:r>
        <w:rPr>
          <w:rFonts w:hint="eastAsia" w:ascii="宋体" w:hAnsi="宋体" w:eastAsia="宋体" w:cs="宋体"/>
          <w:b w:val="0"/>
          <w:bCs w:val="0"/>
          <w:i w:val="0"/>
          <w:iCs w:val="0"/>
          <w:color w:val="auto"/>
          <w:sz w:val="24"/>
          <w:szCs w:val="24"/>
          <w:highlight w:val="none"/>
        </w:rPr>
        <w:t>报价呈规律性差异；</w:t>
      </w:r>
    </w:p>
    <w:p w14:paraId="56D1F112">
      <w:pPr>
        <w:pStyle w:val="63"/>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5）</w:t>
      </w:r>
      <w:r>
        <w:rPr>
          <w:rFonts w:hint="eastAsia" w:ascii="宋体" w:hAnsi="宋体" w:eastAsia="宋体" w:cs="宋体"/>
          <w:b w:val="0"/>
          <w:bCs w:val="0"/>
          <w:i w:val="0"/>
          <w:iCs w:val="0"/>
          <w:color w:val="auto"/>
          <w:sz w:val="24"/>
          <w:szCs w:val="24"/>
          <w:highlight w:val="none"/>
        </w:rPr>
        <w:t>不同供应商的响应文件相互混装；</w:t>
      </w:r>
    </w:p>
    <w:p w14:paraId="1DCA2FDD">
      <w:pPr>
        <w:pStyle w:val="63"/>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6）</w:t>
      </w:r>
      <w:r>
        <w:rPr>
          <w:rFonts w:hint="eastAsia" w:ascii="宋体" w:hAnsi="宋体" w:eastAsia="宋体" w:cs="宋体"/>
          <w:b w:val="0"/>
          <w:bCs w:val="0"/>
          <w:i w:val="0"/>
          <w:iCs w:val="0"/>
          <w:color w:val="auto"/>
          <w:sz w:val="24"/>
          <w:szCs w:val="24"/>
          <w:highlight w:val="none"/>
        </w:rPr>
        <w:t>不同供应商的磋商保证金从同一单位或者个人的账户转出</w:t>
      </w:r>
      <w:r>
        <w:rPr>
          <w:rFonts w:hint="eastAsia" w:ascii="宋体" w:hAnsi="宋体" w:eastAsia="宋体" w:cs="宋体"/>
          <w:b w:val="0"/>
          <w:bCs w:val="0"/>
          <w:i w:val="0"/>
          <w:iCs w:val="0"/>
          <w:color w:val="auto"/>
          <w:sz w:val="24"/>
          <w:szCs w:val="24"/>
          <w:highlight w:val="none"/>
          <w:lang w:val="en-US" w:eastAsia="zh-CN"/>
        </w:rPr>
        <w:t>；</w:t>
      </w:r>
    </w:p>
    <w:p w14:paraId="04ABC44A">
      <w:pPr>
        <w:pStyle w:val="38"/>
        <w:pageBreakBefore w:val="0"/>
        <w:kinsoku/>
        <w:overflowPunct/>
        <w:topLinePunct w:val="0"/>
        <w:autoSpaceDE/>
        <w:autoSpaceDN/>
        <w:bidi w:val="0"/>
        <w:spacing w:line="440" w:lineRule="exact"/>
        <w:jc w:val="both"/>
        <w:textAlignment w:val="auto"/>
        <w:rPr>
          <w:rFonts w:hint="eastAsia"/>
          <w:i w:val="0"/>
          <w:iCs w:val="0"/>
          <w:color w:val="auto"/>
          <w:highlight w:val="none"/>
          <w:lang w:val="en-US" w:eastAsia="zh-CN"/>
        </w:rPr>
      </w:pPr>
      <w:r>
        <w:rPr>
          <w:rFonts w:hint="eastAsia"/>
          <w:i w:val="0"/>
          <w:iCs w:val="0"/>
          <w:color w:val="auto"/>
          <w:highlight w:val="none"/>
          <w:lang w:val="en-US" w:eastAsia="zh-CN"/>
        </w:rPr>
        <w:t>（7）</w:t>
      </w:r>
      <w:r>
        <w:rPr>
          <w:rFonts w:hint="eastAsia"/>
          <w:i w:val="0"/>
          <w:iCs w:val="0"/>
          <w:color w:val="auto"/>
          <w:highlight w:val="none"/>
          <w:lang w:val="zh-CN" w:eastAsia="zh-CN"/>
        </w:rPr>
        <w:t>不同</w:t>
      </w:r>
      <w:r>
        <w:rPr>
          <w:rFonts w:hint="eastAsia"/>
          <w:i w:val="0"/>
          <w:iCs w:val="0"/>
          <w:color w:val="auto"/>
          <w:highlight w:val="none"/>
          <w:lang w:val="en-US" w:eastAsia="zh-CN"/>
        </w:rPr>
        <w:t>供应商</w:t>
      </w:r>
      <w:r>
        <w:rPr>
          <w:rFonts w:hint="eastAsia"/>
          <w:i w:val="0"/>
          <w:iCs w:val="0"/>
          <w:color w:val="auto"/>
          <w:highlight w:val="none"/>
          <w:lang w:val="zh-CN" w:eastAsia="zh-CN"/>
        </w:rPr>
        <w:t>使用同一电脑（机器特征值一致：如MAC地址等）或使用同一电子密钥，编制或上传电子</w:t>
      </w:r>
      <w:r>
        <w:rPr>
          <w:rFonts w:hint="eastAsia"/>
          <w:i w:val="0"/>
          <w:iCs w:val="0"/>
          <w:color w:val="auto"/>
          <w:highlight w:val="none"/>
          <w:lang w:val="en-US" w:eastAsia="zh-CN"/>
        </w:rPr>
        <w:t>响应</w:t>
      </w:r>
      <w:r>
        <w:rPr>
          <w:rFonts w:hint="eastAsia"/>
          <w:i w:val="0"/>
          <w:iCs w:val="0"/>
          <w:color w:val="auto"/>
          <w:highlight w:val="none"/>
          <w:lang w:val="zh-CN" w:eastAsia="zh-CN"/>
        </w:rPr>
        <w:t>文件</w:t>
      </w:r>
      <w:r>
        <w:rPr>
          <w:rFonts w:hint="eastAsia"/>
          <w:i w:val="0"/>
          <w:iCs w:val="0"/>
          <w:color w:val="auto"/>
          <w:highlight w:val="none"/>
          <w:lang w:val="en-US" w:eastAsia="zh-CN"/>
        </w:rPr>
        <w:t>；</w:t>
      </w:r>
    </w:p>
    <w:p w14:paraId="0BEFF43B">
      <w:pPr>
        <w:pStyle w:val="38"/>
        <w:pageBreakBefore w:val="0"/>
        <w:kinsoku/>
        <w:overflowPunct/>
        <w:topLinePunct w:val="0"/>
        <w:autoSpaceDE/>
        <w:autoSpaceDN/>
        <w:bidi w:val="0"/>
        <w:spacing w:line="440" w:lineRule="exact"/>
        <w:jc w:val="both"/>
        <w:textAlignment w:val="auto"/>
        <w:rPr>
          <w:rFonts w:hint="eastAsia"/>
          <w:i w:val="0"/>
          <w:iCs w:val="0"/>
          <w:color w:val="auto"/>
          <w:highlight w:val="none"/>
          <w:lang w:val="en-US" w:eastAsia="zh-CN"/>
        </w:rPr>
      </w:pPr>
      <w:r>
        <w:rPr>
          <w:rFonts w:hint="eastAsia"/>
          <w:i w:val="0"/>
          <w:iCs w:val="0"/>
          <w:color w:val="auto"/>
          <w:highlight w:val="none"/>
          <w:lang w:val="en-US" w:eastAsia="zh-CN"/>
        </w:rPr>
        <w:t>（8）法律、法规、规章和竞争性磋商文件规定的其他响应无效的情形。</w:t>
      </w:r>
    </w:p>
    <w:p w14:paraId="7747CCD6">
      <w:pPr>
        <w:pStyle w:val="63"/>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8</w:t>
      </w:r>
      <w:r>
        <w:rPr>
          <w:rFonts w:hint="eastAsia" w:ascii="宋体" w:hAnsi="宋体" w:eastAsia="宋体" w:cs="宋体"/>
          <w:b w:val="0"/>
          <w:bCs w:val="0"/>
          <w:i w:val="0"/>
          <w:iCs w:val="0"/>
          <w:color w:val="auto"/>
          <w:sz w:val="24"/>
          <w:szCs w:val="24"/>
          <w:highlight w:val="none"/>
        </w:rPr>
        <w:t>.</w:t>
      </w: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rPr>
        <w:t xml:space="preserve"> </w:t>
      </w:r>
      <w:r>
        <w:rPr>
          <w:rFonts w:hint="eastAsia" w:ascii="宋体" w:hAnsi="宋体" w:eastAsia="宋体" w:cs="宋体"/>
          <w:b w:val="0"/>
          <w:bCs w:val="0"/>
          <w:i w:val="0"/>
          <w:iCs w:val="0"/>
          <w:color w:val="auto"/>
          <w:sz w:val="24"/>
          <w:szCs w:val="24"/>
          <w:highlight w:val="none"/>
          <w:lang w:val="en-US" w:eastAsia="zh-CN"/>
        </w:rPr>
        <w:t>磋商</w:t>
      </w:r>
      <w:r>
        <w:rPr>
          <w:rFonts w:hint="eastAsia" w:ascii="宋体" w:hAnsi="宋体" w:eastAsia="宋体" w:cs="宋体"/>
          <w:b w:val="0"/>
          <w:bCs w:val="0"/>
          <w:i w:val="0"/>
          <w:iCs w:val="0"/>
          <w:color w:val="auto"/>
          <w:sz w:val="24"/>
          <w:szCs w:val="24"/>
          <w:highlight w:val="none"/>
        </w:rPr>
        <w:t>小组应当审查</w:t>
      </w:r>
      <w:r>
        <w:rPr>
          <w:rFonts w:hint="eastAsia" w:ascii="宋体" w:hAnsi="宋体" w:eastAsia="宋体" w:cs="宋体"/>
          <w:b w:val="0"/>
          <w:bCs w:val="0"/>
          <w:i w:val="0"/>
          <w:iCs w:val="0"/>
          <w:color w:val="auto"/>
          <w:sz w:val="24"/>
          <w:szCs w:val="24"/>
          <w:highlight w:val="none"/>
          <w:lang w:val="en-US" w:eastAsia="zh-CN"/>
        </w:rPr>
        <w:t>所有供应商的</w:t>
      </w:r>
      <w:r>
        <w:rPr>
          <w:rFonts w:hint="eastAsia" w:ascii="宋体" w:hAnsi="宋体" w:eastAsia="宋体" w:cs="宋体"/>
          <w:b w:val="0"/>
          <w:bCs w:val="0"/>
          <w:i w:val="0"/>
          <w:iCs w:val="0"/>
          <w:color w:val="auto"/>
          <w:sz w:val="24"/>
          <w:szCs w:val="24"/>
          <w:highlight w:val="none"/>
        </w:rPr>
        <w:t>响应文件是否对竞争性磋商文件提出的所有实质性要求和条件做出响应。未能在实质上响应的</w:t>
      </w:r>
      <w:r>
        <w:rPr>
          <w:rFonts w:hint="eastAsia" w:ascii="宋体" w:hAnsi="宋体" w:eastAsia="宋体" w:cs="宋体"/>
          <w:b w:val="0"/>
          <w:bCs w:val="0"/>
          <w:i w:val="0"/>
          <w:iCs w:val="0"/>
          <w:color w:val="auto"/>
          <w:sz w:val="24"/>
          <w:szCs w:val="24"/>
          <w:highlight w:val="none"/>
          <w:lang w:val="en-US" w:eastAsia="zh-CN"/>
        </w:rPr>
        <w:t>供应商</w:t>
      </w:r>
      <w:r>
        <w:rPr>
          <w:rFonts w:hint="eastAsia" w:ascii="宋体" w:hAnsi="宋体" w:eastAsia="宋体" w:cs="宋体"/>
          <w:b w:val="0"/>
          <w:bCs w:val="0"/>
          <w:i w:val="0"/>
          <w:iCs w:val="0"/>
          <w:color w:val="auto"/>
          <w:sz w:val="24"/>
          <w:szCs w:val="24"/>
          <w:highlight w:val="none"/>
        </w:rPr>
        <w:t>，其</w:t>
      </w:r>
      <w:r>
        <w:rPr>
          <w:rFonts w:hint="eastAsia" w:ascii="宋体" w:hAnsi="宋体" w:eastAsia="宋体" w:cs="宋体"/>
          <w:b/>
          <w:bCs/>
          <w:i w:val="0"/>
          <w:iCs w:val="0"/>
          <w:color w:val="auto"/>
          <w:sz w:val="24"/>
          <w:szCs w:val="24"/>
          <w:highlight w:val="none"/>
          <w:lang w:val="en-US" w:eastAsia="zh-CN"/>
        </w:rPr>
        <w:t>响应无效</w:t>
      </w:r>
      <w:r>
        <w:rPr>
          <w:rFonts w:hint="eastAsia" w:ascii="宋体" w:hAnsi="宋体" w:eastAsia="宋体" w:cs="宋体"/>
          <w:b w:val="0"/>
          <w:bCs w:val="0"/>
          <w:i w:val="0"/>
          <w:iCs w:val="0"/>
          <w:color w:val="auto"/>
          <w:sz w:val="24"/>
          <w:szCs w:val="24"/>
          <w:highlight w:val="none"/>
        </w:rPr>
        <w:t>。</w:t>
      </w:r>
    </w:p>
    <w:p w14:paraId="0C836F0E">
      <w:pPr>
        <w:pStyle w:val="38"/>
        <w:pageBreakBefore w:val="0"/>
        <w:kinsoku/>
        <w:overflowPunct/>
        <w:topLinePunct w:val="0"/>
        <w:autoSpaceDE/>
        <w:autoSpaceDN/>
        <w:bidi w:val="0"/>
        <w:spacing w:line="440" w:lineRule="exact"/>
        <w:ind w:firstLine="480"/>
        <w:jc w:val="both"/>
        <w:textAlignment w:val="auto"/>
        <w:rPr>
          <w:rFonts w:hint="eastAsia" w:cs="Helvetica"/>
          <w:i w:val="0"/>
          <w:iCs w:val="0"/>
          <w:color w:val="auto"/>
          <w:szCs w:val="24"/>
          <w:highlight w:val="none"/>
          <w:lang w:val="zh-CN"/>
        </w:rPr>
      </w:pPr>
      <w:r>
        <w:rPr>
          <w:rFonts w:hint="eastAsia" w:ascii="宋体" w:hAnsi="宋体" w:eastAsia="宋体" w:cs="宋体"/>
          <w:b w:val="0"/>
          <w:bCs w:val="0"/>
          <w:i w:val="0"/>
          <w:iCs w:val="0"/>
          <w:color w:val="auto"/>
          <w:sz w:val="24"/>
          <w:szCs w:val="24"/>
          <w:highlight w:val="none"/>
          <w:lang w:val="en-US" w:eastAsia="zh-CN"/>
        </w:rPr>
        <w:t>8</w:t>
      </w:r>
      <w:r>
        <w:rPr>
          <w:rFonts w:hint="eastAsia" w:ascii="宋体" w:hAnsi="宋体" w:eastAsia="宋体" w:cs="宋体"/>
          <w:b w:val="0"/>
          <w:bCs w:val="0"/>
          <w:i w:val="0"/>
          <w:iCs w:val="0"/>
          <w:color w:val="auto"/>
          <w:sz w:val="24"/>
          <w:szCs w:val="24"/>
          <w:highlight w:val="none"/>
        </w:rPr>
        <w:t>.</w:t>
      </w:r>
      <w:r>
        <w:rPr>
          <w:rFonts w:hint="eastAsia" w:ascii="宋体" w:hAnsi="宋体" w:eastAsia="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rPr>
        <w:t xml:space="preserve"> 供应商不得误导、干扰</w:t>
      </w:r>
      <w:r>
        <w:rPr>
          <w:rFonts w:hint="eastAsia" w:ascii="宋体" w:hAnsi="宋体" w:eastAsia="宋体" w:cs="宋体"/>
          <w:b w:val="0"/>
          <w:bCs w:val="0"/>
          <w:i w:val="0"/>
          <w:iCs w:val="0"/>
          <w:color w:val="auto"/>
          <w:sz w:val="24"/>
          <w:szCs w:val="24"/>
          <w:highlight w:val="none"/>
          <w:lang w:val="en-US" w:eastAsia="zh-CN"/>
        </w:rPr>
        <w:t>磋商小组</w:t>
      </w:r>
      <w:r>
        <w:rPr>
          <w:rFonts w:hint="eastAsia" w:ascii="宋体" w:hAnsi="宋体" w:eastAsia="宋体" w:cs="宋体"/>
          <w:b w:val="0"/>
          <w:bCs w:val="0"/>
          <w:i w:val="0"/>
          <w:iCs w:val="0"/>
          <w:color w:val="auto"/>
          <w:sz w:val="24"/>
          <w:szCs w:val="24"/>
          <w:highlight w:val="none"/>
        </w:rPr>
        <w:t>的评审活动，否则其</w:t>
      </w:r>
      <w:r>
        <w:rPr>
          <w:rFonts w:hint="eastAsia" w:ascii="宋体" w:hAnsi="宋体" w:eastAsia="宋体" w:cs="宋体"/>
          <w:b/>
          <w:bCs/>
          <w:i w:val="0"/>
          <w:iCs w:val="0"/>
          <w:color w:val="auto"/>
          <w:sz w:val="24"/>
          <w:szCs w:val="24"/>
          <w:highlight w:val="none"/>
          <w:lang w:val="en-US" w:eastAsia="zh-CN"/>
        </w:rPr>
        <w:t>响应无效</w:t>
      </w:r>
      <w:r>
        <w:rPr>
          <w:rFonts w:hint="eastAsia" w:ascii="宋体" w:hAnsi="宋体" w:eastAsia="宋体" w:cs="宋体"/>
          <w:b w:val="0"/>
          <w:bCs w:val="0"/>
          <w:i w:val="0"/>
          <w:iCs w:val="0"/>
          <w:color w:val="auto"/>
          <w:sz w:val="24"/>
          <w:szCs w:val="24"/>
          <w:highlight w:val="none"/>
        </w:rPr>
        <w:t>。</w:t>
      </w:r>
    </w:p>
    <w:p w14:paraId="6C05C9DC">
      <w:pPr>
        <w:pStyle w:val="7"/>
        <w:keepNext w:val="0"/>
        <w:keepLines w:val="0"/>
        <w:pageBreakBefore w:val="0"/>
        <w:widowControl w:val="0"/>
        <w:numPr>
          <w:ilvl w:val="0"/>
          <w:numId w:val="0"/>
        </w:numPr>
        <w:kinsoku/>
        <w:wordWrap/>
        <w:overflowPunct/>
        <w:topLinePunct w:val="0"/>
        <w:autoSpaceDE/>
        <w:autoSpaceDN/>
        <w:bidi w:val="0"/>
        <w:adjustRightInd/>
        <w:snapToGrid/>
        <w:spacing w:before="80" w:after="60" w:line="440" w:lineRule="exact"/>
        <w:ind w:left="420" w:leftChars="0" w:hanging="420" w:firstLineChars="0"/>
        <w:jc w:val="both"/>
        <w:textAlignment w:val="auto"/>
        <w:rPr>
          <w:rFonts w:hint="eastAsia" w:ascii="宋体" w:hAnsi="宋体" w:eastAsia="宋体" w:cs="宋体"/>
          <w:b/>
          <w:bCs/>
          <w:i w:val="0"/>
          <w:iCs w:val="0"/>
          <w:color w:val="auto"/>
          <w:kern w:val="2"/>
          <w:sz w:val="24"/>
          <w:szCs w:val="24"/>
          <w:highlight w:val="none"/>
          <w:lang w:val="en-US" w:eastAsia="zh-CN" w:bidi="ar-SA"/>
        </w:rPr>
      </w:pPr>
      <w:bookmarkStart w:id="455" w:name="_Toc102057718"/>
      <w:bookmarkStart w:id="456" w:name="_Toc102116022"/>
      <w:bookmarkStart w:id="457" w:name="_Toc102056218"/>
      <w:bookmarkStart w:id="458" w:name="_Toc102116152"/>
      <w:bookmarkStart w:id="459" w:name="_Toc102119853"/>
      <w:bookmarkStart w:id="460" w:name="_Toc102114920"/>
      <w:r>
        <w:rPr>
          <w:rFonts w:hint="eastAsia" w:ascii="宋体" w:hAnsi="宋体" w:eastAsia="宋体" w:cs="宋体"/>
          <w:b/>
          <w:bCs/>
          <w:i w:val="0"/>
          <w:iCs w:val="0"/>
          <w:color w:val="auto"/>
          <w:kern w:val="2"/>
          <w:sz w:val="24"/>
          <w:szCs w:val="24"/>
          <w:highlight w:val="none"/>
          <w:lang w:val="en-US" w:eastAsia="zh-CN" w:bidi="ar-SA"/>
        </w:rPr>
        <w:t>9.停止评审的情形</w:t>
      </w:r>
      <w:bookmarkEnd w:id="455"/>
      <w:bookmarkEnd w:id="456"/>
      <w:bookmarkEnd w:id="457"/>
      <w:bookmarkEnd w:id="458"/>
      <w:bookmarkEnd w:id="459"/>
      <w:bookmarkEnd w:id="460"/>
    </w:p>
    <w:p w14:paraId="584261C8">
      <w:pPr>
        <w:keepNext w:val="0"/>
        <w:keepLines w:val="0"/>
        <w:pageBreakBefore w:val="0"/>
        <w:widowControl/>
        <w:suppressLineNumbers w:val="0"/>
        <w:kinsoku/>
        <w:overflowPunct/>
        <w:topLinePunct w:val="0"/>
        <w:autoSpaceDE/>
        <w:autoSpaceDN/>
        <w:bidi w:val="0"/>
        <w:spacing w:line="440" w:lineRule="exact"/>
        <w:ind w:firstLine="480" w:firstLineChars="200"/>
        <w:jc w:val="both"/>
        <w:textAlignment w:val="auto"/>
        <w:rPr>
          <w:rFonts w:hint="eastAsia" w:ascii="宋体" w:hAnsi="宋体" w:eastAsia="宋体" w:cs="宋体"/>
          <w:i w:val="0"/>
          <w:iCs w:val="0"/>
          <w:color w:val="auto"/>
          <w:kern w:val="2"/>
          <w:sz w:val="24"/>
          <w:szCs w:val="22"/>
          <w:highlight w:val="none"/>
          <w:lang w:val="zh-CN" w:eastAsia="zh-CN" w:bidi="ar-SA"/>
        </w:rPr>
      </w:pPr>
      <w:r>
        <w:rPr>
          <w:rFonts w:hint="eastAsia" w:ascii="宋体" w:hAnsi="宋体" w:eastAsia="宋体" w:cs="宋体"/>
          <w:i w:val="0"/>
          <w:iCs w:val="0"/>
          <w:color w:val="auto"/>
          <w:kern w:val="2"/>
          <w:sz w:val="24"/>
          <w:szCs w:val="22"/>
          <w:highlight w:val="none"/>
          <w:lang w:val="en-US" w:eastAsia="zh-CN" w:bidi="ar-SA"/>
        </w:rPr>
        <w:t>9</w:t>
      </w:r>
      <w:r>
        <w:rPr>
          <w:rFonts w:hint="eastAsia" w:ascii="宋体" w:hAnsi="宋体" w:eastAsia="宋体" w:cs="宋体"/>
          <w:i w:val="0"/>
          <w:iCs w:val="0"/>
          <w:color w:val="auto"/>
          <w:kern w:val="2"/>
          <w:sz w:val="24"/>
          <w:szCs w:val="22"/>
          <w:highlight w:val="none"/>
          <w:lang w:val="zh-CN" w:eastAsia="zh-CN" w:bidi="ar-SA"/>
        </w:rPr>
        <w:t>.1</w:t>
      </w:r>
      <w:r>
        <w:rPr>
          <w:rFonts w:hint="eastAsia" w:ascii="宋体" w:hAnsi="宋体" w:eastAsia="宋体" w:cs="宋体"/>
          <w:i w:val="0"/>
          <w:iCs w:val="0"/>
          <w:color w:val="auto"/>
          <w:kern w:val="2"/>
          <w:sz w:val="24"/>
          <w:szCs w:val="22"/>
          <w:highlight w:val="none"/>
          <w:lang w:val="en-US" w:eastAsia="zh-CN" w:bidi="ar-SA"/>
        </w:rPr>
        <w:t>磋商小组在评审过程中发现供应商有行贿、提供虚假材料或者串通等违法行为的，应当及时向财政部门报告。</w:t>
      </w:r>
    </w:p>
    <w:p w14:paraId="779791FE">
      <w:pPr>
        <w:pStyle w:val="38"/>
        <w:pageBreakBefore w:val="0"/>
        <w:kinsoku/>
        <w:overflowPunct/>
        <w:topLinePunct w:val="0"/>
        <w:autoSpaceDE/>
        <w:autoSpaceDN/>
        <w:bidi w:val="0"/>
        <w:spacing w:line="440" w:lineRule="exact"/>
        <w:ind w:firstLine="480"/>
        <w:jc w:val="both"/>
        <w:textAlignment w:val="auto"/>
        <w:rPr>
          <w:rFonts w:hint="eastAsia"/>
          <w:i w:val="0"/>
          <w:iCs w:val="0"/>
          <w:color w:val="auto"/>
          <w:highlight w:val="none"/>
          <w:lang w:val="zh-CN"/>
        </w:rPr>
      </w:pPr>
      <w:r>
        <w:rPr>
          <w:rFonts w:hint="eastAsia"/>
          <w:i w:val="0"/>
          <w:iCs w:val="0"/>
          <w:color w:val="auto"/>
          <w:highlight w:val="none"/>
          <w:lang w:val="en-US" w:eastAsia="zh-CN"/>
        </w:rPr>
        <w:t>9.2</w:t>
      </w:r>
      <w:r>
        <w:rPr>
          <w:rFonts w:hint="eastAsia"/>
          <w:i w:val="0"/>
          <w:iCs w:val="0"/>
          <w:color w:val="auto"/>
          <w:highlight w:val="none"/>
          <w:lang w:val="zh-CN"/>
        </w:rPr>
        <w:t>磋商小组发现磋商文件存在歧义、重大缺陷导致评审工作无法进行，或者磋商文件内容违反国家有关强制性规定的，应当停止评审工作，与采购人或者采购代理机构沟通并作书面记录。采购人或者采购代理机构确认后，应当修改磋商文件，重新组织采购活动。</w:t>
      </w:r>
    </w:p>
    <w:p w14:paraId="76C7090E">
      <w:pPr>
        <w:pStyle w:val="5"/>
        <w:keepNext w:val="0"/>
        <w:keepLines w:val="0"/>
        <w:pageBreakBefore w:val="0"/>
        <w:widowControl w:val="0"/>
        <w:numPr>
          <w:ilvl w:val="0"/>
          <w:numId w:val="0"/>
        </w:numPr>
        <w:kinsoku/>
        <w:wordWrap/>
        <w:overflowPunct/>
        <w:topLinePunct w:val="0"/>
        <w:autoSpaceDE/>
        <w:autoSpaceDN/>
        <w:bidi w:val="0"/>
        <w:adjustRightInd/>
        <w:snapToGrid/>
        <w:spacing w:before="120" w:after="120" w:line="440" w:lineRule="exact"/>
        <w:ind w:left="420" w:leftChars="0" w:hanging="420" w:firstLineChars="0"/>
        <w:jc w:val="both"/>
        <w:textAlignment w:val="auto"/>
        <w:rPr>
          <w:rFonts w:hint="default"/>
          <w:i w:val="0"/>
          <w:iCs w:val="0"/>
          <w:color w:val="auto"/>
          <w:sz w:val="28"/>
          <w:szCs w:val="28"/>
          <w:highlight w:val="none"/>
          <w:lang w:val="en-US" w:eastAsia="zh-CN"/>
        </w:rPr>
      </w:pPr>
      <w:bookmarkStart w:id="461" w:name="_Toc17459"/>
      <w:r>
        <w:rPr>
          <w:rFonts w:hint="eastAsia"/>
          <w:i w:val="0"/>
          <w:iCs w:val="0"/>
          <w:color w:val="auto"/>
          <w:sz w:val="28"/>
          <w:szCs w:val="28"/>
          <w:highlight w:val="none"/>
          <w:lang w:val="en-US" w:eastAsia="zh-CN"/>
        </w:rPr>
        <w:t>三、</w:t>
      </w:r>
      <w:r>
        <w:rPr>
          <w:rFonts w:hint="eastAsia"/>
          <w:i w:val="0"/>
          <w:iCs w:val="0"/>
          <w:color w:val="auto"/>
          <w:sz w:val="28"/>
          <w:szCs w:val="28"/>
          <w:highlight w:val="none"/>
          <w:lang w:val="zh-CN" w:eastAsia="zh-CN"/>
        </w:rPr>
        <w:t>评审</w:t>
      </w:r>
      <w:r>
        <w:rPr>
          <w:rFonts w:hint="eastAsia"/>
          <w:i w:val="0"/>
          <w:iCs w:val="0"/>
          <w:color w:val="auto"/>
          <w:sz w:val="28"/>
          <w:szCs w:val="28"/>
          <w:highlight w:val="none"/>
          <w:lang w:val="en-US" w:eastAsia="zh-CN"/>
        </w:rPr>
        <w:t>其他要求</w:t>
      </w:r>
      <w:bookmarkEnd w:id="461"/>
    </w:p>
    <w:p w14:paraId="59EA453A">
      <w:pPr>
        <w:pStyle w:val="38"/>
        <w:keepNext w:val="0"/>
        <w:keepLines w:val="0"/>
        <w:pageBreakBefore w:val="0"/>
        <w:widowControl w:val="0"/>
        <w:kinsoku/>
        <w:overflowPunct/>
        <w:topLinePunct w:val="0"/>
        <w:autoSpaceDE/>
        <w:autoSpaceDN/>
        <w:bidi w:val="0"/>
        <w:adjustRightInd/>
        <w:snapToGrid/>
        <w:spacing w:line="440" w:lineRule="exact"/>
        <w:ind w:firstLine="480" w:firstLineChars="0"/>
        <w:jc w:val="both"/>
        <w:textAlignment w:val="auto"/>
        <w:rPr>
          <w:rFonts w:hint="eastAsia"/>
          <w:i w:val="0"/>
          <w:iCs w:val="0"/>
          <w:color w:val="auto"/>
          <w:highlight w:val="none"/>
          <w:shd w:val="clear" w:color="auto" w:fill="FFFFFF"/>
          <w:lang w:val="en-US" w:eastAsia="zh-CN"/>
        </w:rPr>
      </w:pPr>
      <w:r>
        <w:rPr>
          <w:rFonts w:hint="eastAsia"/>
          <w:i w:val="0"/>
          <w:iCs w:val="0"/>
          <w:color w:val="auto"/>
          <w:highlight w:val="none"/>
          <w:shd w:val="clear" w:color="auto" w:fill="FFFFFF"/>
          <w:lang w:val="zh-CN" w:eastAsia="zh-CN"/>
        </w:rPr>
        <w:t>【</w:t>
      </w:r>
      <w:r>
        <w:rPr>
          <w:rFonts w:hint="eastAsia"/>
          <w:i w:val="0"/>
          <w:iCs w:val="0"/>
          <w:color w:val="auto"/>
          <w:highlight w:val="none"/>
          <w:shd w:val="clear" w:color="auto" w:fill="FFFFFF"/>
          <w:lang w:val="en-US" w:eastAsia="zh-CN"/>
        </w:rPr>
        <w:t>可根据项目的情况增加上述内容中未包含的要求</w:t>
      </w:r>
      <w:r>
        <w:rPr>
          <w:rFonts w:hint="eastAsia"/>
          <w:i w:val="0"/>
          <w:iCs w:val="0"/>
          <w:color w:val="auto"/>
          <w:highlight w:val="none"/>
          <w:shd w:val="clear" w:color="auto" w:fill="FFFFFF"/>
          <w:lang w:val="zh-CN" w:eastAsia="zh-CN"/>
        </w:rPr>
        <w:t>】</w:t>
      </w:r>
    </w:p>
    <w:p w14:paraId="36B99AEB">
      <w:pPr>
        <w:pStyle w:val="5"/>
        <w:keepNext w:val="0"/>
        <w:keepLines w:val="0"/>
        <w:pageBreakBefore w:val="0"/>
        <w:widowControl w:val="0"/>
        <w:numPr>
          <w:ilvl w:val="0"/>
          <w:numId w:val="0"/>
        </w:numPr>
        <w:kinsoku/>
        <w:wordWrap/>
        <w:overflowPunct/>
        <w:topLinePunct w:val="0"/>
        <w:autoSpaceDE/>
        <w:autoSpaceDN/>
        <w:bidi w:val="0"/>
        <w:adjustRightInd/>
        <w:snapToGrid/>
        <w:spacing w:before="120" w:after="120" w:line="440" w:lineRule="exact"/>
        <w:ind w:left="420" w:leftChars="0" w:hanging="420" w:firstLineChars="0"/>
        <w:textAlignment w:val="auto"/>
        <w:rPr>
          <w:rFonts w:hint="eastAsia"/>
          <w:i w:val="0"/>
          <w:iCs w:val="0"/>
          <w:color w:val="auto"/>
          <w:sz w:val="28"/>
          <w:szCs w:val="28"/>
          <w:highlight w:val="none"/>
          <w:lang w:val="zh-CN" w:eastAsia="zh-CN"/>
        </w:rPr>
      </w:pPr>
      <w:bookmarkStart w:id="462" w:name="_Toc13780"/>
      <w:r>
        <w:rPr>
          <w:rFonts w:hint="eastAsia"/>
          <w:i w:val="0"/>
          <w:iCs w:val="0"/>
          <w:color w:val="auto"/>
          <w:sz w:val="28"/>
          <w:szCs w:val="28"/>
          <w:highlight w:val="none"/>
          <w:lang w:val="en-US" w:eastAsia="zh-CN"/>
        </w:rPr>
        <w:t>四、</w:t>
      </w:r>
      <w:r>
        <w:rPr>
          <w:rFonts w:hint="eastAsia"/>
          <w:i w:val="0"/>
          <w:iCs w:val="0"/>
          <w:color w:val="auto"/>
          <w:sz w:val="28"/>
          <w:szCs w:val="28"/>
          <w:highlight w:val="none"/>
          <w:lang w:val="zh-CN" w:eastAsia="zh-CN"/>
        </w:rPr>
        <w:t>评审标准</w:t>
      </w:r>
      <w:bookmarkEnd w:id="462"/>
    </w:p>
    <w:p w14:paraId="27D42C15">
      <w:pPr>
        <w:pStyle w:val="6"/>
        <w:keepNext/>
        <w:keepLines/>
        <w:pageBreakBefore w:val="0"/>
        <w:widowControl w:val="0"/>
        <w:numPr>
          <w:ilvl w:val="0"/>
          <w:numId w:val="0"/>
        </w:numPr>
        <w:kinsoku/>
        <w:wordWrap/>
        <w:overflowPunct/>
        <w:topLinePunct w:val="0"/>
        <w:autoSpaceDE/>
        <w:autoSpaceDN/>
        <w:bidi w:val="0"/>
        <w:adjustRightInd/>
        <w:snapToGrid/>
        <w:spacing w:before="80" w:after="80" w:line="440" w:lineRule="exact"/>
        <w:ind w:left="420" w:leftChars="0" w:hanging="420" w:firstLineChars="0"/>
        <w:textAlignment w:val="auto"/>
        <w:rPr>
          <w:rFonts w:hint="eastAsia" w:ascii="宋体" w:hAnsi="宋体" w:eastAsia="宋体" w:cs="宋体"/>
          <w:b/>
          <w:bCs/>
          <w:i w:val="0"/>
          <w:iCs w:val="0"/>
          <w:color w:val="auto"/>
          <w:kern w:val="2"/>
          <w:sz w:val="24"/>
          <w:szCs w:val="24"/>
          <w:highlight w:val="none"/>
          <w:lang w:val="zh-CN" w:eastAsia="zh-CN" w:bidi="ar-SA"/>
        </w:rPr>
      </w:pPr>
      <w:bookmarkStart w:id="463" w:name="_Toc163493638"/>
      <w:r>
        <w:rPr>
          <w:rFonts w:hint="eastAsia" w:ascii="宋体" w:hAnsi="宋体" w:eastAsia="宋体" w:cs="宋体"/>
          <w:b/>
          <w:bCs/>
          <w:i w:val="0"/>
          <w:iCs w:val="0"/>
          <w:color w:val="auto"/>
          <w:kern w:val="2"/>
          <w:sz w:val="24"/>
          <w:szCs w:val="24"/>
          <w:highlight w:val="none"/>
          <w:lang w:val="en-US" w:eastAsia="zh-CN" w:bidi="ar-SA"/>
        </w:rPr>
        <w:t>（一）</w:t>
      </w:r>
      <w:r>
        <w:rPr>
          <w:rFonts w:hint="eastAsia" w:ascii="宋体" w:hAnsi="宋体" w:eastAsia="宋体" w:cs="宋体"/>
          <w:b/>
          <w:bCs/>
          <w:i w:val="0"/>
          <w:iCs w:val="0"/>
          <w:color w:val="auto"/>
          <w:kern w:val="2"/>
          <w:sz w:val="24"/>
          <w:szCs w:val="24"/>
          <w:highlight w:val="none"/>
          <w:lang w:val="zh-CN" w:eastAsia="zh-CN" w:bidi="ar-SA"/>
        </w:rPr>
        <w:t>资格审查表</w:t>
      </w:r>
      <w:bookmarkEnd w:id="463"/>
    </w:p>
    <w:tbl>
      <w:tblPr>
        <w:tblStyle w:val="31"/>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16"/>
        <w:gridCol w:w="1646"/>
        <w:gridCol w:w="5543"/>
        <w:gridCol w:w="1354"/>
      </w:tblGrid>
      <w:tr w14:paraId="0E76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16" w:type="dxa"/>
            <w:shd w:val="clear" w:color="auto" w:fill="D8D8D8" w:themeFill="background1" w:themeFillShade="D9"/>
            <w:vAlign w:val="center"/>
          </w:tcPr>
          <w:p w14:paraId="75C8492E">
            <w:pPr>
              <w:pStyle w:val="49"/>
              <w:jc w:val="center"/>
              <w:rPr>
                <w:rFonts w:hint="eastAsia" w:ascii="宋体" w:hAnsi="宋体" w:eastAsia="宋体" w:cs="宋体"/>
                <w:b/>
                <w:bCs/>
                <w:i w:val="0"/>
                <w:iCs w:val="0"/>
                <w:color w:val="auto"/>
                <w:sz w:val="24"/>
                <w:szCs w:val="24"/>
                <w:highlight w:val="none"/>
              </w:rPr>
            </w:pPr>
            <w:bookmarkStart w:id="464" w:name="_Toc156490348"/>
            <w:r>
              <w:rPr>
                <w:rFonts w:hint="eastAsia" w:ascii="宋体" w:hAnsi="宋体" w:eastAsia="宋体" w:cs="宋体"/>
                <w:b/>
                <w:bCs/>
                <w:i w:val="0"/>
                <w:iCs w:val="0"/>
                <w:color w:val="auto"/>
                <w:sz w:val="24"/>
                <w:szCs w:val="24"/>
                <w:highlight w:val="none"/>
              </w:rPr>
              <w:t>序号</w:t>
            </w:r>
          </w:p>
        </w:tc>
        <w:tc>
          <w:tcPr>
            <w:tcW w:w="1646" w:type="dxa"/>
            <w:shd w:val="clear" w:color="auto" w:fill="D8D8D8" w:themeFill="background1" w:themeFillShade="D9"/>
            <w:vAlign w:val="center"/>
          </w:tcPr>
          <w:p w14:paraId="7401B0C7">
            <w:pPr>
              <w:pStyle w:val="49"/>
              <w:jc w:val="center"/>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bCs/>
                <w:i w:val="0"/>
                <w:iCs w:val="0"/>
                <w:color w:val="auto"/>
                <w:sz w:val="24"/>
                <w:szCs w:val="24"/>
                <w:highlight w:val="none"/>
                <w:lang w:val="en-US" w:eastAsia="zh-CN"/>
              </w:rPr>
              <w:t>审查因素</w:t>
            </w:r>
          </w:p>
        </w:tc>
        <w:tc>
          <w:tcPr>
            <w:tcW w:w="5543" w:type="dxa"/>
            <w:shd w:val="clear" w:color="auto" w:fill="D8D8D8" w:themeFill="background1" w:themeFillShade="D9"/>
            <w:vAlign w:val="center"/>
          </w:tcPr>
          <w:p w14:paraId="085AFB14">
            <w:pPr>
              <w:pStyle w:val="49"/>
              <w:jc w:val="center"/>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审查内容</w:t>
            </w:r>
          </w:p>
        </w:tc>
        <w:tc>
          <w:tcPr>
            <w:tcW w:w="1354" w:type="dxa"/>
            <w:shd w:val="clear" w:color="auto" w:fill="D8D8D8" w:themeFill="background1" w:themeFillShade="D9"/>
            <w:vAlign w:val="center"/>
          </w:tcPr>
          <w:p w14:paraId="679464C0">
            <w:pPr>
              <w:pStyle w:val="49"/>
              <w:jc w:val="center"/>
              <w:rPr>
                <w:rFonts w:hint="eastAsia" w:ascii="宋体" w:hAnsi="宋体" w:eastAsia="宋体" w:cs="宋体"/>
                <w:b/>
                <w:bCs/>
                <w:i w:val="0"/>
                <w:iCs w:val="0"/>
                <w:color w:val="auto"/>
                <w:sz w:val="24"/>
                <w:szCs w:val="24"/>
                <w:highlight w:val="none"/>
                <w:lang w:val="en-US" w:eastAsia="zh-CN"/>
              </w:rPr>
            </w:pPr>
            <w:r>
              <w:rPr>
                <w:rFonts w:hint="eastAsia" w:ascii="宋体" w:hAnsi="宋体" w:eastAsia="宋体" w:cs="宋体"/>
                <w:b/>
                <w:bCs/>
                <w:i w:val="0"/>
                <w:iCs w:val="0"/>
                <w:color w:val="auto"/>
                <w:sz w:val="24"/>
                <w:szCs w:val="24"/>
                <w:highlight w:val="none"/>
                <w:lang w:val="en-US" w:eastAsia="zh-CN"/>
              </w:rPr>
              <w:t>格式要求</w:t>
            </w:r>
          </w:p>
        </w:tc>
      </w:tr>
      <w:tr w14:paraId="1FCB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60" w:hRule="atLeast"/>
          <w:jc w:val="center"/>
        </w:trPr>
        <w:tc>
          <w:tcPr>
            <w:tcW w:w="816" w:type="dxa"/>
            <w:shd w:val="clear" w:color="auto" w:fill="FFFFFF" w:themeFill="background1"/>
            <w:vAlign w:val="center"/>
          </w:tcPr>
          <w:p w14:paraId="1E97B3E2">
            <w:pPr>
              <w:pStyle w:val="49"/>
              <w:jc w:val="center"/>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1</w:t>
            </w:r>
          </w:p>
        </w:tc>
        <w:tc>
          <w:tcPr>
            <w:tcW w:w="1646" w:type="dxa"/>
            <w:shd w:val="clear" w:color="auto" w:fill="FFFFFF" w:themeFill="background1"/>
            <w:vAlign w:val="center"/>
          </w:tcPr>
          <w:p w14:paraId="1729D5E6">
            <w:pPr>
              <w:pStyle w:val="49"/>
              <w:jc w:val="both"/>
              <w:rPr>
                <w:rFonts w:hint="eastAsia" w:ascii="宋体" w:hAnsi="宋体" w:eastAsia="宋体" w:cs="宋体"/>
                <w:b w:val="0"/>
                <w:bCs w:val="0"/>
                <w:i w:val="0"/>
                <w:iCs w:val="0"/>
                <w:color w:val="auto"/>
                <w:sz w:val="22"/>
                <w:szCs w:val="22"/>
                <w:highlight w:val="none"/>
              </w:rPr>
            </w:pPr>
            <w:r>
              <w:rPr>
                <w:rFonts w:hint="eastAsia" w:ascii="宋体" w:hAnsi="宋体" w:eastAsia="宋体" w:cs="宋体"/>
                <w:b w:val="0"/>
                <w:bCs w:val="0"/>
                <w:i w:val="0"/>
                <w:iCs w:val="0"/>
                <w:color w:val="auto"/>
                <w:sz w:val="22"/>
                <w:szCs w:val="22"/>
                <w:highlight w:val="none"/>
                <w:lang w:val="en-US" w:eastAsia="zh-CN"/>
              </w:rPr>
              <w:t>满足《政府采购法》第二十二条规定</w:t>
            </w:r>
          </w:p>
        </w:tc>
        <w:tc>
          <w:tcPr>
            <w:tcW w:w="5543" w:type="dxa"/>
            <w:shd w:val="clear" w:color="auto" w:fill="FFFFFF" w:themeFill="background1"/>
            <w:vAlign w:val="center"/>
          </w:tcPr>
          <w:p w14:paraId="193EE6B5">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具体规定见“第一章 竞争性磋商公告”</w:t>
            </w:r>
          </w:p>
        </w:tc>
        <w:tc>
          <w:tcPr>
            <w:tcW w:w="1354" w:type="dxa"/>
            <w:shd w:val="clear" w:color="auto" w:fill="FFFFFF" w:themeFill="background1"/>
            <w:vAlign w:val="center"/>
          </w:tcPr>
          <w:p w14:paraId="70BC3AA8">
            <w:pPr>
              <w:pStyle w:val="49"/>
              <w:jc w:val="center"/>
              <w:rPr>
                <w:rFonts w:hint="eastAsia" w:ascii="宋体" w:hAnsi="宋体" w:eastAsia="宋体" w:cs="宋体"/>
                <w:b/>
                <w:bCs/>
                <w:i w:val="0"/>
                <w:iCs w:val="0"/>
                <w:color w:val="auto"/>
                <w:sz w:val="22"/>
                <w:szCs w:val="22"/>
                <w:highlight w:val="none"/>
              </w:rPr>
            </w:pPr>
          </w:p>
        </w:tc>
      </w:tr>
      <w:tr w14:paraId="34BF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940" w:hRule="atLeast"/>
          <w:jc w:val="center"/>
        </w:trPr>
        <w:tc>
          <w:tcPr>
            <w:tcW w:w="816" w:type="dxa"/>
            <w:shd w:val="clear" w:color="auto" w:fill="FFFFFF" w:themeFill="background1"/>
            <w:vAlign w:val="center"/>
          </w:tcPr>
          <w:p w14:paraId="0B5F362D">
            <w:pPr>
              <w:pStyle w:val="49"/>
              <w:jc w:val="center"/>
              <w:rPr>
                <w:rFonts w:hint="default"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1-1</w:t>
            </w:r>
          </w:p>
        </w:tc>
        <w:tc>
          <w:tcPr>
            <w:tcW w:w="1646" w:type="dxa"/>
            <w:shd w:val="clear" w:color="auto" w:fill="FFFFFF" w:themeFill="background1"/>
            <w:vAlign w:val="center"/>
          </w:tcPr>
          <w:p w14:paraId="0E9C554D">
            <w:pPr>
              <w:pStyle w:val="49"/>
              <w:jc w:val="both"/>
              <w:rPr>
                <w:rFonts w:hint="eastAsia" w:ascii="宋体" w:hAnsi="宋体" w:eastAsia="宋体" w:cs="宋体"/>
                <w:b w:val="0"/>
                <w:bCs w:val="0"/>
                <w:i w:val="0"/>
                <w:iCs w:val="0"/>
                <w:color w:val="auto"/>
                <w:sz w:val="22"/>
                <w:szCs w:val="22"/>
                <w:highlight w:val="none"/>
                <w:lang w:val="en-US" w:eastAsia="zh-CN"/>
              </w:rPr>
            </w:pPr>
            <w:r>
              <w:rPr>
                <w:rFonts w:hint="eastAsia" w:ascii="宋体" w:hAnsi="宋体" w:eastAsia="宋体" w:cs="宋体"/>
                <w:b w:val="0"/>
                <w:bCs w:val="0"/>
                <w:i w:val="0"/>
                <w:iCs w:val="0"/>
                <w:color w:val="auto"/>
                <w:sz w:val="22"/>
                <w:szCs w:val="22"/>
                <w:highlight w:val="none"/>
                <w:lang w:val="en-US" w:eastAsia="zh-CN"/>
              </w:rPr>
              <w:t>法人、其他组织或者自然人的证明文件</w:t>
            </w:r>
          </w:p>
        </w:tc>
        <w:tc>
          <w:tcPr>
            <w:tcW w:w="5543" w:type="dxa"/>
            <w:shd w:val="clear" w:color="auto" w:fill="FFFFFF" w:themeFill="background1"/>
            <w:vAlign w:val="center"/>
          </w:tcPr>
          <w:p w14:paraId="006E636D">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1、供应商为企业（包括合伙企业）的，应提供有效的“营业执照”；</w:t>
            </w:r>
          </w:p>
          <w:p w14:paraId="535CB56E">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2、供应商为事业单位的，应提供有效的“事业单位法人证书”；</w:t>
            </w:r>
          </w:p>
          <w:p w14:paraId="08C12F4A">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3、供应商为非企业机构的，应提供有效的“执业许可证”、“登记证书”等证明文件；</w:t>
            </w:r>
          </w:p>
          <w:p w14:paraId="0EA39180">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4、供应商是个体工商户的，应提供有效的“个体工商户营业执照”；</w:t>
            </w:r>
          </w:p>
          <w:p w14:paraId="7E173766">
            <w:pPr>
              <w:pStyle w:val="49"/>
              <w:jc w:val="both"/>
              <w:rPr>
                <w:rFonts w:hint="default"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5、供应商是自然人的，应提供有效的自然人身份证明。</w:t>
            </w:r>
          </w:p>
        </w:tc>
        <w:tc>
          <w:tcPr>
            <w:tcW w:w="1354" w:type="dxa"/>
            <w:shd w:val="clear" w:color="auto" w:fill="FFFFFF" w:themeFill="background1"/>
            <w:vAlign w:val="center"/>
          </w:tcPr>
          <w:p w14:paraId="79F9AD7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提供证明文件的电子件或电子证照</w:t>
            </w:r>
          </w:p>
        </w:tc>
      </w:tr>
      <w:tr w14:paraId="2BBB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36" w:hRule="atLeast"/>
          <w:jc w:val="center"/>
        </w:trPr>
        <w:tc>
          <w:tcPr>
            <w:tcW w:w="816" w:type="dxa"/>
            <w:shd w:val="clear" w:color="auto" w:fill="FFFFFF" w:themeFill="background1"/>
            <w:vAlign w:val="center"/>
          </w:tcPr>
          <w:p w14:paraId="0431A2E7">
            <w:pPr>
              <w:pStyle w:val="49"/>
              <w:jc w:val="center"/>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b/>
                <w:bCs/>
                <w:i w:val="0"/>
                <w:iCs w:val="0"/>
                <w:color w:val="auto"/>
                <w:sz w:val="22"/>
                <w:szCs w:val="22"/>
                <w:highlight w:val="none"/>
                <w:lang w:val="en-US" w:eastAsia="zh-CN"/>
              </w:rPr>
              <w:t>1</w:t>
            </w:r>
            <w:r>
              <w:rPr>
                <w:rFonts w:hint="eastAsia" w:cs="宋体"/>
                <w:b/>
                <w:bCs/>
                <w:i w:val="0"/>
                <w:iCs w:val="0"/>
                <w:color w:val="auto"/>
                <w:sz w:val="22"/>
                <w:szCs w:val="22"/>
                <w:highlight w:val="none"/>
                <w:lang w:val="en-US" w:eastAsia="zh-CN"/>
              </w:rPr>
              <w:t>-2</w:t>
            </w:r>
          </w:p>
        </w:tc>
        <w:tc>
          <w:tcPr>
            <w:tcW w:w="1646" w:type="dxa"/>
            <w:shd w:val="clear" w:color="auto" w:fill="FFFFFF" w:themeFill="background1"/>
            <w:vAlign w:val="center"/>
          </w:tcPr>
          <w:p w14:paraId="1D59534E">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具有良好的商业信誉和健全的财务会计制度</w:t>
            </w:r>
          </w:p>
        </w:tc>
        <w:tc>
          <w:tcPr>
            <w:tcW w:w="5543" w:type="dxa"/>
            <w:shd w:val="clear" w:color="auto" w:fill="FFFFFF" w:themeFill="background1"/>
            <w:vAlign w:val="center"/>
          </w:tcPr>
          <w:p w14:paraId="556261B6">
            <w:pPr>
              <w:pStyle w:val="49"/>
              <w:jc w:val="both"/>
              <w:rPr>
                <w:rFonts w:hint="eastAsia" w:ascii="宋体" w:hAnsi="宋体" w:eastAsia="宋体" w:cs="宋体"/>
                <w:b w:val="0"/>
                <w:bCs w:val="0"/>
                <w:color w:val="auto"/>
                <w:szCs w:val="24"/>
                <w:highlight w:val="none"/>
                <w:lang w:val="en-US" w:eastAsia="zh-CN"/>
              </w:rPr>
            </w:pPr>
            <w:r>
              <w:rPr>
                <w:rFonts w:hint="eastAsia" w:cs="宋体"/>
                <w:b w:val="0"/>
                <w:bCs w:val="0"/>
                <w:color w:val="auto"/>
                <w:szCs w:val="24"/>
                <w:highlight w:val="none"/>
                <w:lang w:val="en-US" w:eastAsia="zh-CN"/>
              </w:rPr>
              <w:t>1.</w:t>
            </w:r>
            <w:r>
              <w:rPr>
                <w:rFonts w:hint="eastAsia" w:ascii="宋体" w:hAnsi="宋体" w:eastAsia="宋体" w:cs="宋体"/>
                <w:b w:val="0"/>
                <w:bCs w:val="0"/>
                <w:color w:val="auto"/>
                <w:szCs w:val="24"/>
                <w:highlight w:val="none"/>
                <w:lang w:val="en-US" w:eastAsia="zh-CN"/>
              </w:rPr>
              <w:t>供应商</w:t>
            </w:r>
            <w:r>
              <w:rPr>
                <w:rFonts w:hint="eastAsia" w:cs="宋体"/>
                <w:b w:val="0"/>
                <w:bCs w:val="0"/>
                <w:color w:val="auto"/>
                <w:szCs w:val="24"/>
                <w:highlight w:val="none"/>
                <w:lang w:val="en-US" w:eastAsia="zh-CN"/>
              </w:rPr>
              <w:t>需</w:t>
            </w:r>
            <w:r>
              <w:rPr>
                <w:rFonts w:hint="eastAsia" w:ascii="宋体" w:hAnsi="宋体" w:eastAsia="宋体" w:cs="宋体"/>
                <w:b w:val="0"/>
                <w:bCs w:val="0"/>
                <w:color w:val="auto"/>
                <w:szCs w:val="24"/>
                <w:highlight w:val="none"/>
                <w:lang w:val="en-US" w:eastAsia="zh-CN"/>
              </w:rPr>
              <w:t>提供</w:t>
            </w:r>
            <w:r>
              <w:rPr>
                <w:rFonts w:hint="eastAsia" w:cs="宋体"/>
                <w:szCs w:val="24"/>
                <w:highlight w:val="none"/>
              </w:rPr>
              <w:t>202</w:t>
            </w:r>
            <w:r>
              <w:rPr>
                <w:rFonts w:hint="eastAsia" w:cs="宋体"/>
                <w:szCs w:val="24"/>
                <w:highlight w:val="none"/>
                <w:lang w:val="en-US" w:eastAsia="zh-CN"/>
              </w:rPr>
              <w:t>5</w:t>
            </w:r>
            <w:r>
              <w:rPr>
                <w:rFonts w:hint="eastAsia" w:cs="宋体"/>
                <w:szCs w:val="24"/>
                <w:highlight w:val="none"/>
              </w:rPr>
              <w:t>年度的</w:t>
            </w:r>
            <w:r>
              <w:rPr>
                <w:rFonts w:hint="eastAsia" w:ascii="宋体" w:hAnsi="宋体" w:eastAsia="宋体" w:cs="宋体"/>
                <w:b w:val="0"/>
                <w:bCs w:val="0"/>
                <w:color w:val="auto"/>
                <w:szCs w:val="24"/>
                <w:highlight w:val="none"/>
                <w:lang w:val="en-US" w:eastAsia="zh-CN"/>
              </w:rPr>
              <w:t>财务状况报表</w:t>
            </w:r>
            <w:r>
              <w:rPr>
                <w:rFonts w:hint="eastAsia" w:cs="宋体"/>
                <w:b w:val="0"/>
                <w:bCs w:val="0"/>
                <w:color w:val="auto"/>
                <w:szCs w:val="24"/>
                <w:highlight w:val="none"/>
                <w:lang w:val="en-US" w:eastAsia="zh-CN"/>
              </w:rPr>
              <w:t>或</w:t>
            </w:r>
            <w:r>
              <w:rPr>
                <w:rFonts w:hint="eastAsia" w:ascii="宋体" w:hAnsi="宋体" w:eastAsia="宋体" w:cs="宋体"/>
                <w:b w:val="0"/>
                <w:bCs w:val="0"/>
                <w:color w:val="auto"/>
                <w:szCs w:val="24"/>
                <w:highlight w:val="none"/>
                <w:lang w:val="en-US" w:eastAsia="zh-CN"/>
              </w:rPr>
              <w:t>经第三方审计出具的审计报告复印件/扫描件并加盖公章，</w:t>
            </w:r>
            <w:r>
              <w:rPr>
                <w:rFonts w:hint="eastAsia" w:cs="宋体"/>
                <w:b w:val="0"/>
                <w:bCs w:val="0"/>
                <w:color w:val="auto"/>
                <w:szCs w:val="24"/>
                <w:highlight w:val="none"/>
                <w:lang w:val="en-US" w:eastAsia="zh-CN"/>
              </w:rPr>
              <w:t>供应商成立不足一年(含一年)的需提供</w:t>
            </w:r>
            <w:r>
              <w:rPr>
                <w:rFonts w:hint="eastAsia" w:ascii="宋体" w:hAnsi="宋体" w:eastAsia="宋体" w:cs="宋体"/>
                <w:b w:val="0"/>
                <w:bCs w:val="0"/>
                <w:color w:val="auto"/>
                <w:szCs w:val="24"/>
                <w:highlight w:val="none"/>
                <w:lang w:val="en-US" w:eastAsia="zh-CN"/>
              </w:rPr>
              <w:t>财务状况报表(需包含资产负债表、现金流量表、利润表)</w:t>
            </w:r>
            <w:r>
              <w:rPr>
                <w:rFonts w:hint="eastAsia" w:cs="宋体"/>
                <w:b w:val="0"/>
                <w:bCs w:val="0"/>
                <w:color w:val="auto"/>
                <w:szCs w:val="24"/>
                <w:highlight w:val="none"/>
                <w:lang w:val="en-US" w:eastAsia="zh-CN"/>
              </w:rPr>
              <w:t>或</w:t>
            </w:r>
            <w:r>
              <w:rPr>
                <w:rFonts w:hint="eastAsia" w:ascii="宋体" w:hAnsi="宋体" w:eastAsia="宋体" w:cs="宋体"/>
                <w:b w:val="0"/>
                <w:bCs w:val="0"/>
                <w:color w:val="auto"/>
                <w:szCs w:val="24"/>
                <w:highlight w:val="none"/>
                <w:lang w:val="en-US" w:eastAsia="zh-CN"/>
              </w:rPr>
              <w:t>近三个月内任意一个月的银行资信证明材料复印件/扫描件并加盖公章。</w:t>
            </w:r>
          </w:p>
        </w:tc>
        <w:tc>
          <w:tcPr>
            <w:tcW w:w="1354" w:type="dxa"/>
            <w:shd w:val="clear" w:color="auto" w:fill="FFFFFF" w:themeFill="background1"/>
            <w:vAlign w:val="center"/>
          </w:tcPr>
          <w:p w14:paraId="2D5E3FE7">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格式见《第六章 响应文件格式》</w:t>
            </w:r>
          </w:p>
        </w:tc>
      </w:tr>
      <w:tr w14:paraId="220D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180" w:hRule="atLeast"/>
          <w:jc w:val="center"/>
        </w:trPr>
        <w:tc>
          <w:tcPr>
            <w:tcW w:w="816" w:type="dxa"/>
            <w:shd w:val="clear" w:color="auto" w:fill="FFFFFF" w:themeFill="background1"/>
            <w:vAlign w:val="center"/>
          </w:tcPr>
          <w:p w14:paraId="052333E9">
            <w:pPr>
              <w:pStyle w:val="49"/>
              <w:jc w:val="center"/>
              <w:rPr>
                <w:rFonts w:hint="default"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1</w:t>
            </w:r>
            <w:r>
              <w:rPr>
                <w:rFonts w:hint="eastAsia" w:cs="宋体"/>
                <w:b/>
                <w:bCs/>
                <w:i w:val="0"/>
                <w:iCs w:val="0"/>
                <w:color w:val="auto"/>
                <w:sz w:val="22"/>
                <w:szCs w:val="22"/>
                <w:highlight w:val="none"/>
                <w:lang w:val="en-US" w:eastAsia="zh-CN"/>
              </w:rPr>
              <w:t>-3</w:t>
            </w:r>
          </w:p>
        </w:tc>
        <w:tc>
          <w:tcPr>
            <w:tcW w:w="1646" w:type="dxa"/>
            <w:shd w:val="clear" w:color="auto" w:fill="FFFFFF" w:themeFill="background1"/>
            <w:vAlign w:val="center"/>
          </w:tcPr>
          <w:p w14:paraId="2FD2A6BA">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有依法缴纳税收和社会保障资金的良好记录</w:t>
            </w:r>
          </w:p>
        </w:tc>
        <w:tc>
          <w:tcPr>
            <w:tcW w:w="5543" w:type="dxa"/>
            <w:shd w:val="clear" w:color="auto" w:fill="FFFFFF" w:themeFill="background1"/>
            <w:vAlign w:val="center"/>
          </w:tcPr>
          <w:p w14:paraId="5122DDF4">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供应商依法缴纳税收的证明材料：本项目投标截止时间前6个月内（至少提供1个月）缴纳税收的凭据（完税证、缴款书、印花税票、银行代扣（代缴）转账凭证等均可）；</w:t>
            </w:r>
          </w:p>
          <w:p w14:paraId="0B6D8676">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新成立的供应商，按实际成立月份提供即可。</w:t>
            </w:r>
          </w:p>
          <w:p w14:paraId="1517DA7B">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依法免税的供应商，须提供相应文件证明其依法免税。</w:t>
            </w:r>
          </w:p>
          <w:p w14:paraId="7CDB175B">
            <w:pPr>
              <w:pStyle w:val="49"/>
              <w:jc w:val="both"/>
              <w:rPr>
                <w:rFonts w:hint="eastAsia" w:ascii="宋体" w:hAnsi="宋体" w:eastAsia="宋体" w:cs="宋体"/>
                <w:b w:val="0"/>
                <w:bCs w:val="0"/>
                <w:szCs w:val="24"/>
                <w:highlight w:val="none"/>
                <w:lang w:val="en-US" w:eastAsia="zh-CN"/>
              </w:rPr>
            </w:pPr>
          </w:p>
          <w:p w14:paraId="3B5C8447">
            <w:pPr>
              <w:pStyle w:val="49"/>
              <w:jc w:val="both"/>
              <w:rPr>
                <w:rFonts w:hint="eastAsia" w:ascii="宋体" w:hAnsi="宋体" w:eastAsia="宋体" w:cs="宋体"/>
                <w:b w:val="0"/>
                <w:bCs w:val="0"/>
                <w:szCs w:val="24"/>
                <w:highlight w:val="none"/>
                <w:lang w:val="en-US" w:eastAsia="zh-CN"/>
              </w:rPr>
            </w:pPr>
            <w:r>
              <w:rPr>
                <w:rFonts w:hint="eastAsia" w:cs="宋体"/>
                <w:b w:val="0"/>
                <w:bCs w:val="0"/>
                <w:szCs w:val="24"/>
                <w:highlight w:val="none"/>
                <w:lang w:val="en-US" w:eastAsia="zh-CN"/>
              </w:rPr>
              <w:t>2.</w:t>
            </w:r>
            <w:r>
              <w:rPr>
                <w:rFonts w:hint="eastAsia" w:ascii="宋体" w:hAnsi="宋体" w:eastAsia="宋体" w:cs="宋体"/>
                <w:b w:val="0"/>
                <w:bCs w:val="0"/>
                <w:szCs w:val="24"/>
                <w:highlight w:val="none"/>
                <w:lang w:val="en-US" w:eastAsia="zh-CN"/>
              </w:rPr>
              <w:t>供应商依法缴纳社会保障资金的证明材料：本项目投标截止时间时间前6个月内（至少提供1个月）缴纳社会保险的凭据（专用收据或社会保险交纳清单）；</w:t>
            </w:r>
          </w:p>
          <w:p w14:paraId="704FE3FA">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供应商为其他组织或自然人的，也需要按此项规定提供缴纳税收的凭据和交纳社会保险的凭据。</w:t>
            </w:r>
          </w:p>
          <w:p w14:paraId="486535ED">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依法不需要缴纳社会保障资金的供应商，须提供相应文件证明其依法不需要缴纳社会保障资金。</w:t>
            </w:r>
          </w:p>
        </w:tc>
        <w:tc>
          <w:tcPr>
            <w:tcW w:w="1354" w:type="dxa"/>
            <w:shd w:val="clear" w:color="auto" w:fill="FFFFFF" w:themeFill="background1"/>
            <w:vAlign w:val="center"/>
          </w:tcPr>
          <w:p w14:paraId="21D0BB52">
            <w:pPr>
              <w:pStyle w:val="49"/>
              <w:jc w:val="both"/>
              <w:rPr>
                <w:rFonts w:hint="eastAsia" w:ascii="宋体" w:hAnsi="宋体" w:eastAsia="宋体" w:cs="宋体"/>
                <w:b w:val="0"/>
                <w:bCs w:val="0"/>
                <w:szCs w:val="24"/>
                <w:highlight w:val="none"/>
                <w:lang w:val="en-US" w:eastAsia="zh-CN"/>
              </w:rPr>
            </w:pPr>
            <w:r>
              <w:rPr>
                <w:rFonts w:hint="eastAsia" w:ascii="宋体" w:hAnsi="宋体" w:eastAsia="宋体" w:cs="宋体"/>
                <w:b w:val="0"/>
                <w:bCs w:val="0"/>
                <w:szCs w:val="24"/>
                <w:highlight w:val="none"/>
                <w:lang w:val="en-US" w:eastAsia="zh-CN"/>
              </w:rPr>
              <w:t>格式见《第六章 响应文件格式》</w:t>
            </w:r>
          </w:p>
        </w:tc>
      </w:tr>
      <w:tr w14:paraId="51AE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259" w:hRule="atLeast"/>
          <w:jc w:val="center"/>
        </w:trPr>
        <w:tc>
          <w:tcPr>
            <w:tcW w:w="816" w:type="dxa"/>
            <w:shd w:val="clear" w:color="auto" w:fill="FFFFFF" w:themeFill="background1"/>
            <w:vAlign w:val="center"/>
          </w:tcPr>
          <w:p w14:paraId="51B99D34">
            <w:pPr>
              <w:pStyle w:val="49"/>
              <w:jc w:val="center"/>
              <w:rPr>
                <w:rFonts w:hint="default"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1</w:t>
            </w:r>
            <w:r>
              <w:rPr>
                <w:rFonts w:hint="eastAsia" w:cs="宋体"/>
                <w:b/>
                <w:bCs/>
                <w:i w:val="0"/>
                <w:iCs w:val="0"/>
                <w:color w:val="auto"/>
                <w:sz w:val="22"/>
                <w:szCs w:val="22"/>
                <w:highlight w:val="none"/>
                <w:lang w:val="en-US" w:eastAsia="zh-CN"/>
              </w:rPr>
              <w:t>-4</w:t>
            </w:r>
          </w:p>
        </w:tc>
        <w:tc>
          <w:tcPr>
            <w:tcW w:w="1646" w:type="dxa"/>
            <w:shd w:val="clear" w:color="auto" w:fill="FFFFFF" w:themeFill="background1"/>
            <w:vAlign w:val="center"/>
          </w:tcPr>
          <w:p w14:paraId="2CB39391">
            <w:pPr>
              <w:pStyle w:val="49"/>
              <w:jc w:val="both"/>
              <w:rPr>
                <w:rFonts w:hint="eastAsia" w:ascii="宋体" w:hAnsi="宋体" w:eastAsia="宋体" w:cs="宋体"/>
                <w:b w:val="0"/>
                <w:bCs w:val="0"/>
                <w:i w:val="0"/>
                <w:iCs w:val="0"/>
                <w:color w:val="auto"/>
                <w:sz w:val="22"/>
                <w:szCs w:val="22"/>
                <w:highlight w:val="none"/>
                <w:lang w:val="en-US" w:eastAsia="zh-CN"/>
              </w:rPr>
            </w:pPr>
            <w:r>
              <w:rPr>
                <w:rFonts w:hint="eastAsia" w:cs="宋体"/>
                <w:b w:val="0"/>
                <w:bCs w:val="0"/>
                <w:szCs w:val="24"/>
                <w:highlight w:val="none"/>
                <w:lang w:val="en-US" w:eastAsia="zh-CN"/>
              </w:rPr>
              <w:t>供应商</w:t>
            </w:r>
            <w:r>
              <w:rPr>
                <w:rFonts w:hint="eastAsia" w:cs="宋体"/>
                <w:b w:val="0"/>
                <w:bCs w:val="0"/>
                <w:szCs w:val="24"/>
                <w:highlight w:val="none"/>
              </w:rPr>
              <w:t>须具有履行合同所必需的设备和专业技术能力</w:t>
            </w:r>
          </w:p>
        </w:tc>
        <w:tc>
          <w:tcPr>
            <w:tcW w:w="5543" w:type="dxa"/>
            <w:shd w:val="clear" w:color="auto" w:fill="FFFFFF" w:themeFill="background1"/>
            <w:vAlign w:val="center"/>
          </w:tcPr>
          <w:p w14:paraId="5D225B6E">
            <w:pPr>
              <w:pStyle w:val="49"/>
              <w:jc w:val="both"/>
              <w:rPr>
                <w:rFonts w:hint="eastAsia"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供应商</w:t>
            </w:r>
            <w:r>
              <w:rPr>
                <w:rFonts w:hint="eastAsia" w:ascii="宋体" w:hAnsi="宋体" w:eastAsia="宋体" w:cs="宋体"/>
                <w:i w:val="0"/>
                <w:iCs w:val="0"/>
                <w:color w:val="auto"/>
                <w:sz w:val="22"/>
                <w:szCs w:val="22"/>
                <w:highlight w:val="none"/>
                <w:lang w:val="en-US" w:eastAsia="zh-CN"/>
              </w:rPr>
              <w:t>履行合同所必须的设备和专业技术能力的证明材料或声明。</w:t>
            </w:r>
          </w:p>
        </w:tc>
        <w:tc>
          <w:tcPr>
            <w:tcW w:w="1354" w:type="dxa"/>
            <w:shd w:val="clear" w:color="auto" w:fill="FFFFFF" w:themeFill="background1"/>
            <w:vAlign w:val="center"/>
          </w:tcPr>
          <w:p w14:paraId="715D45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格式见《第六章 响应文件格式》</w:t>
            </w:r>
          </w:p>
        </w:tc>
      </w:tr>
      <w:tr w14:paraId="7666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564" w:hRule="atLeast"/>
          <w:jc w:val="center"/>
        </w:trPr>
        <w:tc>
          <w:tcPr>
            <w:tcW w:w="816" w:type="dxa"/>
            <w:shd w:val="clear" w:color="auto" w:fill="FFFFFF" w:themeFill="background1"/>
            <w:vAlign w:val="center"/>
          </w:tcPr>
          <w:p w14:paraId="18E5639B">
            <w:pPr>
              <w:pStyle w:val="49"/>
              <w:jc w:val="center"/>
              <w:rPr>
                <w:rFonts w:hint="default"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1</w:t>
            </w:r>
            <w:r>
              <w:rPr>
                <w:rFonts w:hint="eastAsia" w:cs="宋体"/>
                <w:b/>
                <w:bCs/>
                <w:i w:val="0"/>
                <w:iCs w:val="0"/>
                <w:color w:val="auto"/>
                <w:sz w:val="22"/>
                <w:szCs w:val="22"/>
                <w:highlight w:val="none"/>
                <w:lang w:val="en-US" w:eastAsia="zh-CN"/>
              </w:rPr>
              <w:t>-5</w:t>
            </w:r>
          </w:p>
        </w:tc>
        <w:tc>
          <w:tcPr>
            <w:tcW w:w="1646" w:type="dxa"/>
            <w:shd w:val="clear" w:color="auto" w:fill="FFFFFF" w:themeFill="background1"/>
            <w:vAlign w:val="center"/>
          </w:tcPr>
          <w:p w14:paraId="6958A2D6">
            <w:pPr>
              <w:pStyle w:val="49"/>
              <w:jc w:val="both"/>
              <w:rPr>
                <w:rFonts w:hint="eastAsia" w:ascii="宋体" w:hAnsi="宋体" w:eastAsia="宋体" w:cs="宋体"/>
                <w:b w:val="0"/>
                <w:bCs w:val="0"/>
                <w:i w:val="0"/>
                <w:iCs w:val="0"/>
                <w:color w:val="auto"/>
                <w:sz w:val="22"/>
                <w:szCs w:val="22"/>
                <w:highlight w:val="none"/>
                <w:lang w:val="en-US" w:eastAsia="zh-CN"/>
              </w:rPr>
            </w:pPr>
            <w:r>
              <w:rPr>
                <w:rFonts w:hint="eastAsia" w:cs="宋体"/>
                <w:b w:val="0"/>
                <w:bCs w:val="0"/>
                <w:szCs w:val="24"/>
                <w:highlight w:val="none"/>
              </w:rPr>
              <w:t>参加政府采购活动前三年内，在经营活动中没有重大违法记录</w:t>
            </w:r>
          </w:p>
        </w:tc>
        <w:tc>
          <w:tcPr>
            <w:tcW w:w="5543" w:type="dxa"/>
            <w:shd w:val="clear" w:color="auto" w:fill="FFFFFF" w:themeFill="background1"/>
            <w:vAlign w:val="center"/>
          </w:tcPr>
          <w:p w14:paraId="154A4883">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参加政府采购活动前3年内在经营活动中没有重大违法记录的书面声明。</w:t>
            </w:r>
          </w:p>
        </w:tc>
        <w:tc>
          <w:tcPr>
            <w:tcW w:w="1354" w:type="dxa"/>
            <w:shd w:val="clear" w:color="auto" w:fill="FFFFFF" w:themeFill="background1"/>
            <w:vAlign w:val="center"/>
          </w:tcPr>
          <w:p w14:paraId="79A8575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格式见《第六章 响应文件格式》</w:t>
            </w:r>
          </w:p>
        </w:tc>
      </w:tr>
      <w:tr w14:paraId="182A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145" w:hRule="atLeast"/>
          <w:jc w:val="center"/>
        </w:trPr>
        <w:tc>
          <w:tcPr>
            <w:tcW w:w="816" w:type="dxa"/>
            <w:shd w:val="clear" w:color="auto" w:fill="FFFFFF" w:themeFill="background1"/>
            <w:vAlign w:val="center"/>
          </w:tcPr>
          <w:p w14:paraId="38CDAF0D">
            <w:pPr>
              <w:pStyle w:val="49"/>
              <w:jc w:val="center"/>
              <w:rPr>
                <w:rFonts w:hint="default" w:ascii="宋体" w:hAnsi="宋体" w:eastAsia="宋体" w:cs="宋体"/>
                <w:b/>
                <w:bCs/>
                <w:i w:val="0"/>
                <w:iCs w:val="0"/>
                <w:color w:val="auto"/>
                <w:sz w:val="22"/>
                <w:szCs w:val="22"/>
                <w:highlight w:val="none"/>
                <w:lang w:val="en-US" w:eastAsia="zh-CN"/>
              </w:rPr>
            </w:pPr>
            <w:r>
              <w:rPr>
                <w:rFonts w:hint="eastAsia" w:cs="宋体"/>
                <w:b/>
                <w:bCs/>
                <w:i w:val="0"/>
                <w:iCs w:val="0"/>
                <w:color w:val="auto"/>
                <w:sz w:val="22"/>
                <w:szCs w:val="22"/>
                <w:highlight w:val="none"/>
                <w:lang w:val="en-US" w:eastAsia="zh-CN"/>
              </w:rPr>
              <w:t>1-6</w:t>
            </w:r>
          </w:p>
        </w:tc>
        <w:tc>
          <w:tcPr>
            <w:tcW w:w="1646" w:type="dxa"/>
            <w:shd w:val="clear" w:color="auto" w:fill="FFFFFF" w:themeFill="background1"/>
            <w:vAlign w:val="center"/>
          </w:tcPr>
          <w:p w14:paraId="64792466">
            <w:pPr>
              <w:pStyle w:val="49"/>
              <w:jc w:val="both"/>
              <w:rPr>
                <w:rFonts w:hint="eastAsia" w:ascii="宋体" w:hAnsi="宋体" w:eastAsia="宋体" w:cs="宋体"/>
                <w:b w:val="0"/>
                <w:bCs w:val="0"/>
                <w:i w:val="0"/>
                <w:iCs w:val="0"/>
                <w:color w:val="auto"/>
                <w:sz w:val="22"/>
                <w:szCs w:val="22"/>
                <w:highlight w:val="none"/>
                <w:lang w:val="en-US" w:eastAsia="zh-CN"/>
              </w:rPr>
            </w:pPr>
            <w:r>
              <w:rPr>
                <w:rFonts w:hint="eastAsia" w:ascii="宋体" w:hAnsi="宋体" w:eastAsia="宋体" w:cs="宋体"/>
                <w:b w:val="0"/>
                <w:bCs w:val="0"/>
                <w:i w:val="0"/>
                <w:iCs w:val="0"/>
                <w:color w:val="auto"/>
                <w:spacing w:val="-6"/>
                <w:kern w:val="0"/>
                <w:sz w:val="22"/>
                <w:szCs w:val="22"/>
                <w:highlight w:val="none"/>
                <w:lang w:val="en-US" w:eastAsia="zh-CN" w:bidi="ar"/>
              </w:rPr>
              <w:t>供应商</w:t>
            </w:r>
            <w:r>
              <w:rPr>
                <w:rFonts w:hint="eastAsia" w:ascii="宋体" w:hAnsi="宋体" w:eastAsia="宋体" w:cs="宋体"/>
                <w:b w:val="0"/>
                <w:bCs w:val="0"/>
                <w:i w:val="0"/>
                <w:iCs w:val="0"/>
                <w:color w:val="auto"/>
                <w:sz w:val="22"/>
                <w:szCs w:val="22"/>
                <w:highlight w:val="none"/>
                <w:lang w:val="en-US" w:eastAsia="zh-CN"/>
              </w:rPr>
              <w:t>信用记录查询</w:t>
            </w:r>
          </w:p>
        </w:tc>
        <w:tc>
          <w:tcPr>
            <w:tcW w:w="5543" w:type="dxa"/>
            <w:shd w:val="clear" w:color="auto" w:fill="FFFFFF" w:themeFill="background1"/>
            <w:vAlign w:val="center"/>
          </w:tcPr>
          <w:p w14:paraId="0DBEACAA">
            <w:pPr>
              <w:pStyle w:val="49"/>
              <w:keepNext w:val="0"/>
              <w:keepLines w:val="0"/>
              <w:pageBreakBefore w:val="0"/>
              <w:widowControl w:val="0"/>
              <w:kinsoku/>
              <w:wordWrap w:val="0"/>
              <w:overflowPunct/>
              <w:topLinePunct w:val="0"/>
              <w:autoSpaceDE/>
              <w:autoSpaceDN/>
              <w:bidi w:val="0"/>
              <w:adjustRightInd/>
              <w:snapToGrid/>
              <w:jc w:val="both"/>
              <w:textAlignment w:val="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pacing w:val="-6"/>
                <w:sz w:val="22"/>
                <w:szCs w:val="22"/>
                <w:highlight w:val="none"/>
                <w:lang w:val="en-US" w:eastAsia="zh-CN"/>
              </w:rPr>
              <w:t>查询渠道：信用中国网站和中国政府采购网（www.creditchina.gov.cn、www.ccgp.gov.cn）；</w:t>
            </w:r>
            <w:r>
              <w:rPr>
                <w:rFonts w:hint="eastAsia" w:ascii="宋体" w:hAnsi="宋体" w:eastAsia="宋体" w:cs="宋体"/>
                <w:i w:val="0"/>
                <w:iCs w:val="0"/>
                <w:color w:val="auto"/>
                <w:sz w:val="22"/>
                <w:szCs w:val="22"/>
                <w:highlight w:val="none"/>
                <w:lang w:val="en-US" w:eastAsia="zh-CN"/>
              </w:rPr>
              <w:t xml:space="preserve"> </w:t>
            </w:r>
          </w:p>
          <w:p w14:paraId="06E9C186">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截止时间：递交响应文件截止时间以后、资格审查阶段对供应商信用记录的实际查询时间； </w:t>
            </w:r>
          </w:p>
          <w:p w14:paraId="77A657EF">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信用信息查询记录和证据留存具体方式：查询结果网页打印页作为查询记录和证据，与其他采购文件一并保存； </w:t>
            </w:r>
          </w:p>
          <w:p w14:paraId="2477DBC7">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pacing w:val="-6"/>
                <w:sz w:val="22"/>
                <w:szCs w:val="22"/>
                <w:highlight w:val="none"/>
                <w:lang w:val="en-US" w:eastAsia="zh-CN"/>
              </w:rPr>
              <w:t>信用记录的使用原则：经认定被列入失信被执行人、重大税收违法失信主体、政府采购严重违法失信行为记录名单的</w:t>
            </w:r>
            <w:r>
              <w:rPr>
                <w:rFonts w:hint="eastAsia" w:ascii="宋体" w:hAnsi="宋体" w:eastAsia="宋体" w:cs="宋体"/>
                <w:i w:val="0"/>
                <w:iCs w:val="0"/>
                <w:color w:val="auto"/>
                <w:spacing w:val="-6"/>
                <w:kern w:val="0"/>
                <w:sz w:val="22"/>
                <w:szCs w:val="22"/>
                <w:highlight w:val="none"/>
                <w:lang w:val="en-US" w:eastAsia="zh-CN" w:bidi="ar"/>
              </w:rPr>
              <w:t>供应商</w:t>
            </w:r>
            <w:r>
              <w:rPr>
                <w:rFonts w:hint="eastAsia" w:ascii="宋体" w:hAnsi="宋体" w:eastAsia="宋体" w:cs="宋体"/>
                <w:i w:val="0"/>
                <w:iCs w:val="0"/>
                <w:color w:val="auto"/>
                <w:spacing w:val="-6"/>
                <w:sz w:val="22"/>
                <w:szCs w:val="22"/>
                <w:highlight w:val="none"/>
                <w:lang w:val="en-US" w:eastAsia="zh-CN"/>
              </w:rPr>
              <w:t>，</w:t>
            </w:r>
            <w:r>
              <w:rPr>
                <w:rFonts w:hint="eastAsia" w:ascii="宋体" w:hAnsi="宋体" w:eastAsia="宋体" w:cs="宋体"/>
                <w:b/>
                <w:bCs/>
                <w:i w:val="0"/>
                <w:iCs w:val="0"/>
                <w:color w:val="auto"/>
                <w:spacing w:val="-6"/>
                <w:sz w:val="22"/>
                <w:szCs w:val="22"/>
                <w:highlight w:val="none"/>
                <w:lang w:val="en-US" w:eastAsia="zh-CN"/>
              </w:rPr>
              <w:t>其磋商响应无效</w:t>
            </w:r>
            <w:r>
              <w:rPr>
                <w:rFonts w:hint="eastAsia" w:ascii="宋体" w:hAnsi="宋体" w:eastAsia="宋体" w:cs="宋体"/>
                <w:i w:val="0"/>
                <w:iCs w:val="0"/>
                <w:color w:val="auto"/>
                <w:spacing w:val="-6"/>
                <w:sz w:val="22"/>
                <w:szCs w:val="22"/>
                <w:highlight w:val="none"/>
                <w:lang w:val="en-US" w:eastAsia="zh-CN"/>
              </w:rPr>
              <w:t>。联合体形式响应的，联合体成员存在不良信用记录，视同联合体存在不良信用记录。</w:t>
            </w:r>
          </w:p>
        </w:tc>
        <w:tc>
          <w:tcPr>
            <w:tcW w:w="1354" w:type="dxa"/>
            <w:shd w:val="clear" w:color="auto" w:fill="FFFFFF" w:themeFill="background1"/>
            <w:vAlign w:val="center"/>
          </w:tcPr>
          <w:p w14:paraId="5700C1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无须</w:t>
            </w:r>
            <w:r>
              <w:rPr>
                <w:rFonts w:hint="eastAsia" w:ascii="宋体" w:hAnsi="宋体" w:eastAsia="宋体" w:cs="宋体"/>
                <w:i w:val="0"/>
                <w:iCs w:val="0"/>
                <w:color w:val="auto"/>
                <w:spacing w:val="-6"/>
                <w:kern w:val="0"/>
                <w:sz w:val="22"/>
                <w:szCs w:val="22"/>
                <w:highlight w:val="none"/>
                <w:lang w:val="en-US" w:eastAsia="zh-CN" w:bidi="ar"/>
              </w:rPr>
              <w:t>供应商</w:t>
            </w:r>
            <w:r>
              <w:rPr>
                <w:rFonts w:hint="eastAsia" w:ascii="宋体" w:hAnsi="宋体" w:eastAsia="宋体" w:cs="宋体"/>
                <w:i w:val="0"/>
                <w:iCs w:val="0"/>
                <w:color w:val="auto"/>
                <w:kern w:val="0"/>
                <w:sz w:val="22"/>
                <w:szCs w:val="22"/>
                <w:highlight w:val="none"/>
                <w:lang w:val="en-US" w:eastAsia="zh-CN" w:bidi="ar"/>
              </w:rPr>
              <w:t>提供，由采购人或采购代理机构查询。</w:t>
            </w:r>
          </w:p>
          <w:p w14:paraId="56B9888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22"/>
                <w:szCs w:val="22"/>
                <w:highlight w:val="none"/>
                <w:lang w:val="en-US" w:eastAsia="zh-CN" w:bidi="ar"/>
              </w:rPr>
            </w:pPr>
          </w:p>
        </w:tc>
      </w:tr>
      <w:tr w14:paraId="4763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16" w:type="dxa"/>
            <w:shd w:val="clear" w:color="auto" w:fill="FFFFFF" w:themeFill="background1"/>
            <w:vAlign w:val="center"/>
          </w:tcPr>
          <w:p w14:paraId="57B197A8">
            <w:pPr>
              <w:pStyle w:val="49"/>
              <w:jc w:val="center"/>
              <w:rPr>
                <w:rFonts w:hint="default" w:ascii="宋体" w:hAnsi="宋体" w:eastAsia="宋体" w:cs="宋体"/>
                <w:b/>
                <w:bCs/>
                <w:i w:val="0"/>
                <w:iCs w:val="0"/>
                <w:color w:val="auto"/>
                <w:sz w:val="22"/>
                <w:szCs w:val="22"/>
                <w:highlight w:val="none"/>
                <w:lang w:val="en-US" w:eastAsia="zh-CN"/>
              </w:rPr>
            </w:pPr>
            <w:r>
              <w:rPr>
                <w:rFonts w:hint="eastAsia" w:cs="宋体"/>
                <w:b/>
                <w:bCs/>
                <w:i w:val="0"/>
                <w:iCs w:val="0"/>
                <w:color w:val="auto"/>
                <w:sz w:val="22"/>
                <w:szCs w:val="22"/>
                <w:highlight w:val="none"/>
                <w:lang w:val="en-US" w:eastAsia="zh-CN"/>
              </w:rPr>
              <w:t>1-7</w:t>
            </w:r>
          </w:p>
        </w:tc>
        <w:tc>
          <w:tcPr>
            <w:tcW w:w="1646" w:type="dxa"/>
            <w:shd w:val="clear" w:color="auto" w:fill="FFFFFF" w:themeFill="background1"/>
            <w:vAlign w:val="center"/>
          </w:tcPr>
          <w:p w14:paraId="6AB30A18">
            <w:pPr>
              <w:pStyle w:val="49"/>
              <w:jc w:val="both"/>
              <w:rPr>
                <w:rFonts w:hint="eastAsia" w:ascii="宋体" w:hAnsi="宋体" w:eastAsia="宋体" w:cs="宋体"/>
                <w:b w:val="0"/>
                <w:bCs w:val="0"/>
                <w:i w:val="0"/>
                <w:iCs w:val="0"/>
                <w:color w:val="auto"/>
                <w:sz w:val="22"/>
                <w:szCs w:val="22"/>
                <w:highlight w:val="none"/>
                <w:lang w:val="en-US" w:eastAsia="zh-CN"/>
              </w:rPr>
            </w:pPr>
            <w:r>
              <w:rPr>
                <w:rFonts w:hint="eastAsia" w:ascii="宋体" w:hAnsi="宋体" w:eastAsia="宋体" w:cs="宋体"/>
                <w:b w:val="0"/>
                <w:bCs w:val="0"/>
                <w:i w:val="0"/>
                <w:iCs w:val="0"/>
                <w:color w:val="auto"/>
                <w:sz w:val="22"/>
                <w:szCs w:val="22"/>
                <w:highlight w:val="none"/>
                <w:lang w:val="en-US" w:eastAsia="zh-CN"/>
              </w:rPr>
              <w:t>法律、行政法规规定的其他条件</w:t>
            </w:r>
          </w:p>
        </w:tc>
        <w:tc>
          <w:tcPr>
            <w:tcW w:w="5543" w:type="dxa"/>
            <w:shd w:val="clear" w:color="auto" w:fill="FFFFFF" w:themeFill="background1"/>
            <w:vAlign w:val="center"/>
          </w:tcPr>
          <w:p w14:paraId="6B9BE493">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法律、行政法规规定的其他条件</w:t>
            </w:r>
          </w:p>
        </w:tc>
        <w:tc>
          <w:tcPr>
            <w:tcW w:w="1354" w:type="dxa"/>
            <w:shd w:val="clear" w:color="auto" w:fill="FFFFFF" w:themeFill="background1"/>
            <w:vAlign w:val="center"/>
          </w:tcPr>
          <w:p w14:paraId="5248A973">
            <w:pPr>
              <w:pStyle w:val="49"/>
              <w:jc w:val="center"/>
              <w:rPr>
                <w:rFonts w:hint="eastAsia" w:ascii="宋体" w:hAnsi="宋体" w:eastAsia="宋体" w:cs="宋体"/>
                <w:b/>
                <w:bCs/>
                <w:i w:val="0"/>
                <w:iCs w:val="0"/>
                <w:color w:val="auto"/>
                <w:sz w:val="22"/>
                <w:szCs w:val="22"/>
                <w:highlight w:val="none"/>
              </w:rPr>
            </w:pPr>
            <w:r>
              <w:rPr>
                <w:rFonts w:hint="eastAsia" w:ascii="宋体" w:hAnsi="宋体" w:eastAsia="宋体" w:cs="宋体"/>
                <w:i w:val="0"/>
                <w:iCs w:val="0"/>
                <w:color w:val="auto"/>
                <w:kern w:val="0"/>
                <w:sz w:val="22"/>
                <w:szCs w:val="22"/>
                <w:highlight w:val="none"/>
                <w:lang w:val="en-US" w:eastAsia="zh-CN" w:bidi="ar"/>
              </w:rPr>
              <w:t>格式见《第六章 响应文件格式》</w:t>
            </w:r>
          </w:p>
        </w:tc>
      </w:tr>
      <w:tr w14:paraId="377D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764" w:hRule="atLeast"/>
          <w:jc w:val="center"/>
        </w:trPr>
        <w:tc>
          <w:tcPr>
            <w:tcW w:w="816" w:type="dxa"/>
            <w:shd w:val="clear" w:color="auto" w:fill="FFFFFF" w:themeFill="background1"/>
            <w:vAlign w:val="center"/>
          </w:tcPr>
          <w:p w14:paraId="77B85039">
            <w:pPr>
              <w:pStyle w:val="49"/>
              <w:jc w:val="center"/>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2</w:t>
            </w:r>
          </w:p>
        </w:tc>
        <w:tc>
          <w:tcPr>
            <w:tcW w:w="1646" w:type="dxa"/>
            <w:shd w:val="clear" w:color="auto" w:fill="FFFFFF" w:themeFill="background1"/>
            <w:vAlign w:val="center"/>
          </w:tcPr>
          <w:p w14:paraId="752DB475">
            <w:pPr>
              <w:pStyle w:val="49"/>
              <w:jc w:val="both"/>
              <w:rPr>
                <w:rFonts w:hint="eastAsia" w:ascii="宋体" w:hAnsi="宋体" w:eastAsia="宋体" w:cs="宋体"/>
                <w:b w:val="0"/>
                <w:bCs w:val="0"/>
                <w:i w:val="0"/>
                <w:iCs w:val="0"/>
                <w:color w:val="auto"/>
                <w:sz w:val="22"/>
                <w:szCs w:val="22"/>
                <w:highlight w:val="none"/>
                <w:lang w:val="en-US" w:eastAsia="zh-CN"/>
              </w:rPr>
            </w:pPr>
            <w:r>
              <w:rPr>
                <w:rFonts w:hint="eastAsia" w:ascii="宋体" w:hAnsi="宋体" w:eastAsia="宋体" w:cs="宋体"/>
                <w:b w:val="0"/>
                <w:bCs w:val="0"/>
                <w:i w:val="0"/>
                <w:iCs w:val="0"/>
                <w:color w:val="auto"/>
                <w:sz w:val="22"/>
                <w:szCs w:val="22"/>
                <w:highlight w:val="none"/>
                <w:lang w:val="en-US" w:eastAsia="zh-CN"/>
              </w:rPr>
              <w:t>落实政府采购政策需满足的资格要求</w:t>
            </w:r>
          </w:p>
        </w:tc>
        <w:tc>
          <w:tcPr>
            <w:tcW w:w="5543" w:type="dxa"/>
            <w:shd w:val="clear" w:color="auto" w:fill="FFFFFF" w:themeFill="background1"/>
            <w:vAlign w:val="center"/>
          </w:tcPr>
          <w:p w14:paraId="3E4BEB8F">
            <w:pPr>
              <w:pStyle w:val="49"/>
              <w:spacing w:line="240" w:lineRule="auto"/>
              <w:jc w:val="both"/>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【当本项目（包）涉及预留份额专门面向中小</w:t>
            </w:r>
            <w:r>
              <w:rPr>
                <w:rFonts w:hint="eastAsia" w:cs="宋体"/>
                <w:i w:val="0"/>
                <w:iCs w:val="0"/>
                <w:color w:val="auto"/>
                <w:kern w:val="0"/>
                <w:sz w:val="22"/>
                <w:szCs w:val="22"/>
                <w:highlight w:val="none"/>
                <w:lang w:val="en-US" w:eastAsia="zh-CN" w:bidi="ar"/>
              </w:rPr>
              <w:t>/小微</w:t>
            </w:r>
            <w:r>
              <w:rPr>
                <w:rFonts w:hint="eastAsia" w:ascii="宋体" w:hAnsi="宋体" w:eastAsia="宋体" w:cs="宋体"/>
                <w:i w:val="0"/>
                <w:iCs w:val="0"/>
                <w:color w:val="auto"/>
                <w:kern w:val="0"/>
                <w:sz w:val="22"/>
                <w:szCs w:val="22"/>
                <w:highlight w:val="none"/>
                <w:lang w:val="en-US" w:eastAsia="zh-CN" w:bidi="ar"/>
              </w:rPr>
              <w:t>企业采购，此时建议在《资格证明文件》中提供】</w:t>
            </w:r>
          </w:p>
          <w:p w14:paraId="5DA55CA6">
            <w:pPr>
              <w:keepNext w:val="0"/>
              <w:keepLines w:val="0"/>
              <w:widowControl/>
              <w:suppressLineNumbers w:val="0"/>
              <w:spacing w:line="240" w:lineRule="auto"/>
              <w:jc w:val="left"/>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1、</w:t>
            </w:r>
            <w:r>
              <w:rPr>
                <w:rFonts w:hint="eastAsia" w:ascii="宋体" w:hAnsi="宋体" w:eastAsia="宋体" w:cs="宋体"/>
                <w:i w:val="0"/>
                <w:iCs w:val="0"/>
                <w:color w:val="auto"/>
                <w:spacing w:val="-6"/>
                <w:kern w:val="0"/>
                <w:sz w:val="22"/>
                <w:szCs w:val="22"/>
                <w:highlight w:val="none"/>
                <w:lang w:val="en-US" w:eastAsia="zh-CN" w:bidi="ar"/>
              </w:rPr>
              <w:t>供应商</w:t>
            </w:r>
            <w:r>
              <w:rPr>
                <w:rFonts w:hint="eastAsia" w:ascii="宋体" w:hAnsi="宋体" w:eastAsia="宋体" w:cs="宋体"/>
                <w:i w:val="0"/>
                <w:iCs w:val="0"/>
                <w:color w:val="auto"/>
                <w:kern w:val="0"/>
                <w:sz w:val="22"/>
                <w:szCs w:val="22"/>
                <w:highlight w:val="none"/>
                <w:lang w:val="en-US" w:eastAsia="zh-CN" w:bidi="ar"/>
              </w:rPr>
              <w:t xml:space="preserve">单独响应的，应提供“中小企业声明函”或“残疾人福利性单位声明函”或由省级以上监狱管理局、戒毒管理局（含新疆生产建设兵团）出具的属于监狱企业的证明文件。 </w:t>
            </w:r>
          </w:p>
          <w:p w14:paraId="49722BD4">
            <w:pPr>
              <w:pStyle w:val="49"/>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kern w:val="0"/>
                <w:sz w:val="22"/>
                <w:szCs w:val="22"/>
                <w:highlight w:val="none"/>
                <w:lang w:val="en-US" w:eastAsia="zh-CN" w:bidi="ar"/>
              </w:rPr>
              <w:t>2、</w:t>
            </w:r>
            <w:r>
              <w:rPr>
                <w:rFonts w:hint="eastAsia" w:ascii="宋体" w:hAnsi="宋体" w:eastAsia="宋体" w:cs="宋体"/>
                <w:i w:val="0"/>
                <w:iCs w:val="0"/>
                <w:color w:val="auto"/>
                <w:spacing w:val="-6"/>
                <w:kern w:val="0"/>
                <w:sz w:val="22"/>
                <w:szCs w:val="22"/>
                <w:highlight w:val="none"/>
                <w:lang w:val="en-US" w:eastAsia="zh-CN" w:bidi="ar"/>
              </w:rPr>
              <w:t>如</w:t>
            </w:r>
            <w:r>
              <w:rPr>
                <w:rFonts w:hint="eastAsia" w:ascii="宋体" w:hAnsi="宋体" w:eastAsia="宋体" w:cs="宋体"/>
                <w:i w:val="0"/>
                <w:iCs w:val="0"/>
                <w:color w:val="auto"/>
                <w:sz w:val="22"/>
                <w:szCs w:val="22"/>
                <w:highlight w:val="none"/>
                <w:lang w:val="en-US" w:eastAsia="zh-CN"/>
              </w:rPr>
              <w:t>竞争性磋商</w:t>
            </w:r>
            <w:r>
              <w:rPr>
                <w:rFonts w:hint="eastAsia" w:ascii="宋体" w:hAnsi="宋体" w:eastAsia="宋体" w:cs="宋体"/>
                <w:i w:val="0"/>
                <w:iCs w:val="0"/>
                <w:color w:val="auto"/>
                <w:spacing w:val="-6"/>
                <w:kern w:val="0"/>
                <w:sz w:val="22"/>
                <w:szCs w:val="22"/>
                <w:highlight w:val="none"/>
                <w:lang w:val="en-US" w:eastAsia="zh-CN" w:bidi="ar"/>
              </w:rPr>
              <w:t>文件允许以联合体形式参加或者允许合同分包的，且供应商为联合体或拟进行合同分包的，则联合体中的中小企业、签订分包意向协议书的中小企业具体情况须在“中小企业声明函”或“残疾人福利性单位声明函”或由省级以上监狱管理局、戒毒管理局（含新疆生产建设兵团）出具的属于监狱企业的证明文件中如实填报，且满足</w:t>
            </w:r>
            <w:r>
              <w:rPr>
                <w:rFonts w:hint="eastAsia" w:ascii="宋体" w:hAnsi="宋体" w:eastAsia="宋体" w:cs="宋体"/>
                <w:i w:val="0"/>
                <w:iCs w:val="0"/>
                <w:color w:val="auto"/>
                <w:sz w:val="22"/>
                <w:szCs w:val="22"/>
                <w:highlight w:val="none"/>
                <w:lang w:val="en-US" w:eastAsia="zh-CN"/>
              </w:rPr>
              <w:t>竞争性磋商</w:t>
            </w:r>
            <w:r>
              <w:rPr>
                <w:rFonts w:hint="eastAsia" w:ascii="宋体" w:hAnsi="宋体" w:eastAsia="宋体" w:cs="宋体"/>
                <w:i w:val="0"/>
                <w:iCs w:val="0"/>
                <w:color w:val="auto"/>
                <w:spacing w:val="-6"/>
                <w:kern w:val="0"/>
                <w:sz w:val="22"/>
                <w:szCs w:val="22"/>
                <w:highlight w:val="none"/>
                <w:lang w:val="en-US" w:eastAsia="zh-CN" w:bidi="ar"/>
              </w:rPr>
              <w:t>文件关于预留份额的要求。</w:t>
            </w:r>
          </w:p>
        </w:tc>
        <w:tc>
          <w:tcPr>
            <w:tcW w:w="1354" w:type="dxa"/>
            <w:shd w:val="clear" w:color="auto" w:fill="FFFFFF" w:themeFill="background1"/>
            <w:vAlign w:val="center"/>
          </w:tcPr>
          <w:p w14:paraId="3979DAF2">
            <w:pPr>
              <w:pStyle w:val="49"/>
              <w:jc w:val="center"/>
              <w:rPr>
                <w:rFonts w:hint="eastAsia" w:ascii="宋体" w:hAnsi="宋体" w:eastAsia="宋体" w:cs="宋体"/>
                <w:b/>
                <w:bCs/>
                <w:i w:val="0"/>
                <w:iCs w:val="0"/>
                <w:color w:val="auto"/>
                <w:sz w:val="22"/>
                <w:szCs w:val="22"/>
                <w:highlight w:val="none"/>
              </w:rPr>
            </w:pPr>
            <w:r>
              <w:rPr>
                <w:rFonts w:hint="eastAsia" w:ascii="宋体" w:hAnsi="宋体" w:eastAsia="宋体" w:cs="宋体"/>
                <w:i w:val="0"/>
                <w:iCs w:val="0"/>
                <w:color w:val="auto"/>
                <w:kern w:val="0"/>
                <w:sz w:val="22"/>
                <w:szCs w:val="22"/>
                <w:highlight w:val="none"/>
                <w:lang w:val="en-US" w:eastAsia="zh-CN" w:bidi="ar"/>
              </w:rPr>
              <w:t>格式见《第六章 响应文件格式》</w:t>
            </w:r>
          </w:p>
        </w:tc>
      </w:tr>
      <w:tr w14:paraId="5A0A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16" w:type="dxa"/>
            <w:shd w:val="clear" w:color="auto" w:fill="FFFFFF" w:themeFill="background1"/>
            <w:vAlign w:val="center"/>
          </w:tcPr>
          <w:p w14:paraId="66F3A510">
            <w:pPr>
              <w:pStyle w:val="49"/>
              <w:jc w:val="center"/>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3</w:t>
            </w:r>
          </w:p>
        </w:tc>
        <w:tc>
          <w:tcPr>
            <w:tcW w:w="1646" w:type="dxa"/>
            <w:shd w:val="clear" w:color="auto" w:fill="FFFFFF" w:themeFill="background1"/>
            <w:vAlign w:val="center"/>
          </w:tcPr>
          <w:p w14:paraId="00EC7D88">
            <w:pPr>
              <w:pStyle w:val="49"/>
              <w:jc w:val="both"/>
              <w:rPr>
                <w:rFonts w:hint="eastAsia" w:ascii="宋体" w:hAnsi="宋体" w:eastAsia="宋体" w:cs="宋体"/>
                <w:b w:val="0"/>
                <w:bCs w:val="0"/>
                <w:i w:val="0"/>
                <w:iCs w:val="0"/>
                <w:color w:val="auto"/>
                <w:kern w:val="0"/>
                <w:sz w:val="22"/>
                <w:szCs w:val="22"/>
                <w:highlight w:val="none"/>
                <w:lang w:val="en-US" w:eastAsia="zh-CN" w:bidi="ar"/>
              </w:rPr>
            </w:pPr>
            <w:r>
              <w:rPr>
                <w:rFonts w:hint="eastAsia" w:ascii="宋体" w:hAnsi="宋体" w:eastAsia="宋体" w:cs="宋体"/>
                <w:b w:val="0"/>
                <w:bCs w:val="0"/>
                <w:i w:val="0"/>
                <w:iCs w:val="0"/>
                <w:color w:val="auto"/>
                <w:kern w:val="0"/>
                <w:sz w:val="22"/>
                <w:szCs w:val="22"/>
                <w:highlight w:val="none"/>
                <w:lang w:val="en-US" w:eastAsia="zh-CN" w:bidi="ar"/>
              </w:rPr>
              <w:t>本项目的特定资格要求</w:t>
            </w:r>
          </w:p>
        </w:tc>
        <w:tc>
          <w:tcPr>
            <w:tcW w:w="5543" w:type="dxa"/>
            <w:shd w:val="clear" w:color="auto" w:fill="FFFFFF" w:themeFill="background1"/>
            <w:vAlign w:val="center"/>
          </w:tcPr>
          <w:p w14:paraId="23424CD5">
            <w:pPr>
              <w:pStyle w:val="49"/>
              <w:jc w:val="both"/>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如有，见</w:t>
            </w:r>
            <w:r>
              <w:rPr>
                <w:rFonts w:hint="eastAsia" w:ascii="宋体" w:hAnsi="宋体" w:eastAsia="宋体" w:cs="宋体"/>
                <w:i w:val="0"/>
                <w:iCs w:val="0"/>
                <w:color w:val="auto"/>
                <w:sz w:val="22"/>
                <w:szCs w:val="22"/>
                <w:highlight w:val="none"/>
                <w:lang w:val="en-US" w:eastAsia="zh-CN"/>
              </w:rPr>
              <w:t>“第一章 竞争性磋商公告”</w:t>
            </w:r>
          </w:p>
        </w:tc>
        <w:tc>
          <w:tcPr>
            <w:tcW w:w="1354" w:type="dxa"/>
            <w:shd w:val="clear" w:color="auto" w:fill="FFFFFF" w:themeFill="background1"/>
            <w:vAlign w:val="center"/>
          </w:tcPr>
          <w:p w14:paraId="35A764F0">
            <w:pPr>
              <w:pStyle w:val="49"/>
              <w:jc w:val="both"/>
              <w:rPr>
                <w:rFonts w:hint="eastAsia" w:ascii="宋体" w:hAnsi="宋体" w:eastAsia="宋体" w:cs="宋体"/>
                <w:i w:val="0"/>
                <w:iCs w:val="0"/>
                <w:color w:val="auto"/>
                <w:kern w:val="0"/>
                <w:sz w:val="22"/>
                <w:szCs w:val="22"/>
                <w:highlight w:val="none"/>
                <w:lang w:val="en-US" w:eastAsia="zh-CN" w:bidi="ar"/>
              </w:rPr>
            </w:pPr>
            <w:r>
              <w:rPr>
                <w:rFonts w:hint="eastAsia" w:ascii="宋体" w:hAnsi="宋体" w:eastAsia="宋体" w:cs="宋体"/>
                <w:i w:val="0"/>
                <w:iCs w:val="0"/>
                <w:color w:val="auto"/>
                <w:kern w:val="0"/>
                <w:sz w:val="22"/>
                <w:szCs w:val="22"/>
                <w:highlight w:val="none"/>
                <w:lang w:val="en-US" w:eastAsia="zh-CN" w:bidi="ar"/>
              </w:rPr>
              <w:t>提供证明文件的</w:t>
            </w:r>
            <w:r>
              <w:rPr>
                <w:rFonts w:hint="eastAsia" w:cs="宋体"/>
                <w:i w:val="0"/>
                <w:iCs w:val="0"/>
                <w:color w:val="auto"/>
                <w:kern w:val="0"/>
                <w:sz w:val="22"/>
                <w:szCs w:val="22"/>
                <w:highlight w:val="none"/>
                <w:lang w:val="en-US" w:eastAsia="zh-CN" w:bidi="ar"/>
              </w:rPr>
              <w:t>扫描</w:t>
            </w:r>
            <w:r>
              <w:rPr>
                <w:rFonts w:hint="eastAsia" w:ascii="宋体" w:hAnsi="宋体" w:eastAsia="宋体" w:cs="宋体"/>
                <w:i w:val="0"/>
                <w:iCs w:val="0"/>
                <w:color w:val="auto"/>
                <w:kern w:val="0"/>
                <w:sz w:val="22"/>
                <w:szCs w:val="22"/>
                <w:highlight w:val="none"/>
                <w:lang w:val="en-US" w:eastAsia="zh-CN" w:bidi="ar"/>
              </w:rPr>
              <w:t>件或电子证照</w:t>
            </w:r>
          </w:p>
        </w:tc>
      </w:tr>
    </w:tbl>
    <w:p w14:paraId="014122A6">
      <w:pPr>
        <w:keepNext w:val="0"/>
        <w:keepLines w:val="0"/>
        <w:pageBreakBefore w:val="0"/>
        <w:widowControl w:val="0"/>
        <w:kinsoku/>
        <w:overflowPunct/>
        <w:topLinePunct w:val="0"/>
        <w:autoSpaceDE/>
        <w:autoSpaceDN/>
        <w:bidi w:val="0"/>
        <w:adjustRightInd/>
        <w:snapToGrid/>
        <w:spacing w:line="240" w:lineRule="auto"/>
        <w:textAlignment w:val="auto"/>
        <w:rPr>
          <w:b/>
          <w:bCs/>
          <w:i w:val="0"/>
          <w:iCs w:val="0"/>
          <w:color w:val="auto"/>
          <w:sz w:val="21"/>
          <w:szCs w:val="21"/>
          <w:highlight w:val="none"/>
        </w:rPr>
      </w:pPr>
      <w:r>
        <w:rPr>
          <w:rFonts w:hint="eastAsia"/>
          <w:b/>
          <w:bCs/>
          <w:i w:val="0"/>
          <w:iCs w:val="0"/>
          <w:color w:val="auto"/>
          <w:sz w:val="21"/>
          <w:szCs w:val="21"/>
          <w:highlight w:val="none"/>
        </w:rPr>
        <w:t>备注：</w:t>
      </w:r>
    </w:p>
    <w:p w14:paraId="7855595F">
      <w:pPr>
        <w:pStyle w:val="42"/>
        <w:keepNext w:val="0"/>
        <w:keepLines w:val="0"/>
        <w:pageBreakBefore w:val="0"/>
        <w:widowControl w:val="0"/>
        <w:kinsoku/>
        <w:overflowPunct/>
        <w:topLinePunct w:val="0"/>
        <w:autoSpaceDE/>
        <w:autoSpaceDN/>
        <w:bidi w:val="0"/>
        <w:adjustRightInd/>
        <w:snapToGrid/>
        <w:spacing w:line="240" w:lineRule="auto"/>
        <w:ind w:firstLine="480"/>
        <w:textAlignment w:val="auto"/>
        <w:rPr>
          <w:i w:val="0"/>
          <w:iCs w:val="0"/>
          <w:color w:val="auto"/>
          <w:sz w:val="21"/>
          <w:szCs w:val="21"/>
          <w:highlight w:val="none"/>
        </w:rPr>
      </w:pPr>
      <w:r>
        <w:rPr>
          <w:i w:val="0"/>
          <w:iCs w:val="0"/>
          <w:color w:val="auto"/>
          <w:sz w:val="21"/>
          <w:szCs w:val="21"/>
          <w:highlight w:val="none"/>
        </w:rPr>
        <w:t>1.</w:t>
      </w:r>
      <w:r>
        <w:rPr>
          <w:rFonts w:hint="eastAsia"/>
          <w:i w:val="0"/>
          <w:iCs w:val="0"/>
          <w:color w:val="auto"/>
          <w:sz w:val="21"/>
          <w:szCs w:val="21"/>
          <w:highlight w:val="none"/>
          <w:lang w:eastAsia="zh-CN"/>
        </w:rPr>
        <w:t>供应商须按上表格式要求提供相关证明文件</w:t>
      </w:r>
      <w:r>
        <w:rPr>
          <w:rFonts w:hint="eastAsia"/>
          <w:i w:val="0"/>
          <w:iCs w:val="0"/>
          <w:color w:val="auto"/>
          <w:sz w:val="21"/>
          <w:szCs w:val="21"/>
          <w:highlight w:val="none"/>
        </w:rPr>
        <w:t>，响应文件中须编入清晰的扫描件或网页截图。所有证明材料须清晰可辨认，如因证明材料模糊无法辨认，缺页、漏页导致无法进行评审认定的</w:t>
      </w:r>
      <w:r>
        <w:rPr>
          <w:rFonts w:hint="eastAsia"/>
          <w:i w:val="0"/>
          <w:iCs w:val="0"/>
          <w:color w:val="auto"/>
          <w:sz w:val="21"/>
          <w:szCs w:val="21"/>
          <w:highlight w:val="none"/>
          <w:lang w:eastAsia="zh-CN"/>
        </w:rPr>
        <w:t>，</w:t>
      </w:r>
      <w:r>
        <w:rPr>
          <w:rFonts w:hint="eastAsia"/>
          <w:i w:val="0"/>
          <w:iCs w:val="0"/>
          <w:color w:val="auto"/>
          <w:sz w:val="21"/>
          <w:szCs w:val="21"/>
          <w:highlight w:val="none"/>
        </w:rPr>
        <w:t>责任由供应商</w:t>
      </w:r>
      <w:r>
        <w:rPr>
          <w:rFonts w:hint="eastAsia"/>
          <w:i w:val="0"/>
          <w:iCs w:val="0"/>
          <w:color w:val="auto"/>
          <w:sz w:val="21"/>
          <w:szCs w:val="21"/>
          <w:highlight w:val="none"/>
          <w:lang w:val="en-US" w:eastAsia="zh-CN"/>
        </w:rPr>
        <w:t>承担</w:t>
      </w:r>
      <w:r>
        <w:rPr>
          <w:rFonts w:hint="eastAsia"/>
          <w:i w:val="0"/>
          <w:iCs w:val="0"/>
          <w:color w:val="auto"/>
          <w:sz w:val="21"/>
          <w:szCs w:val="21"/>
          <w:highlight w:val="none"/>
        </w:rPr>
        <w:t>。</w:t>
      </w:r>
    </w:p>
    <w:p w14:paraId="08896BA0">
      <w:pPr>
        <w:pStyle w:val="42"/>
        <w:keepNext w:val="0"/>
        <w:keepLines w:val="0"/>
        <w:pageBreakBefore w:val="0"/>
        <w:widowControl w:val="0"/>
        <w:numPr>
          <w:ilvl w:val="0"/>
          <w:numId w:val="0"/>
        </w:numPr>
        <w:kinsoku/>
        <w:overflowPunct/>
        <w:topLinePunct w:val="0"/>
        <w:autoSpaceDE/>
        <w:autoSpaceDN/>
        <w:bidi w:val="0"/>
        <w:adjustRightInd/>
        <w:snapToGrid/>
        <w:spacing w:line="240" w:lineRule="auto"/>
        <w:ind w:firstLine="420" w:firstLineChars="200"/>
        <w:textAlignment w:val="auto"/>
        <w:rPr>
          <w:i w:val="0"/>
          <w:iCs w:val="0"/>
          <w:color w:val="auto"/>
          <w:sz w:val="21"/>
          <w:szCs w:val="21"/>
          <w:highlight w:val="none"/>
        </w:rPr>
      </w:pPr>
      <w:r>
        <w:rPr>
          <w:rFonts w:ascii="宋体" w:hAnsi="宋体" w:eastAsia="宋体" w:cs="宋体"/>
          <w:i w:val="0"/>
          <w:iCs w:val="0"/>
          <w:color w:val="auto"/>
          <w:kern w:val="2"/>
          <w:sz w:val="21"/>
          <w:szCs w:val="21"/>
          <w:highlight w:val="none"/>
          <w:lang w:val="en-US" w:eastAsia="zh-CN" w:bidi="ar-SA"/>
        </w:rPr>
        <w:t>2.</w:t>
      </w:r>
      <w:r>
        <w:rPr>
          <w:rFonts w:hint="eastAsia"/>
          <w:i w:val="0"/>
          <w:iCs w:val="0"/>
          <w:color w:val="auto"/>
          <w:sz w:val="21"/>
          <w:szCs w:val="21"/>
          <w:highlight w:val="none"/>
          <w:lang w:val="zh-CN"/>
        </w:rPr>
        <w:t>信用信息核</w:t>
      </w:r>
      <w:r>
        <w:rPr>
          <w:rFonts w:hint="eastAsia"/>
          <w:i w:val="0"/>
          <w:iCs w:val="0"/>
          <w:color w:val="auto"/>
          <w:sz w:val="21"/>
          <w:szCs w:val="21"/>
          <w:highlight w:val="none"/>
        </w:rPr>
        <w:t>查</w:t>
      </w:r>
    </w:p>
    <w:p w14:paraId="5FEBE42A">
      <w:pPr>
        <w:pStyle w:val="38"/>
        <w:keepNext w:val="0"/>
        <w:keepLines w:val="0"/>
        <w:pageBreakBefore w:val="0"/>
        <w:widowControl w:val="0"/>
        <w:kinsoku/>
        <w:overflowPunct/>
        <w:topLinePunct w:val="0"/>
        <w:autoSpaceDE/>
        <w:autoSpaceDN/>
        <w:bidi w:val="0"/>
        <w:adjustRightInd/>
        <w:snapToGrid/>
        <w:spacing w:line="240" w:lineRule="auto"/>
        <w:ind w:firstLine="480"/>
        <w:textAlignment w:val="auto"/>
        <w:rPr>
          <w:i w:val="0"/>
          <w:iCs w:val="0"/>
          <w:color w:val="auto"/>
          <w:sz w:val="21"/>
          <w:szCs w:val="21"/>
          <w:highlight w:val="none"/>
        </w:rPr>
      </w:pPr>
      <w:r>
        <w:rPr>
          <w:rFonts w:hint="eastAsia"/>
          <w:i w:val="0"/>
          <w:iCs w:val="0"/>
          <w:color w:val="auto"/>
          <w:sz w:val="21"/>
          <w:szCs w:val="21"/>
          <w:highlight w:val="none"/>
        </w:rPr>
        <w:t>2.1资格审查</w:t>
      </w:r>
      <w:r>
        <w:rPr>
          <w:rFonts w:hint="eastAsia"/>
          <w:i w:val="0"/>
          <w:iCs w:val="0"/>
          <w:color w:val="auto"/>
          <w:sz w:val="21"/>
          <w:szCs w:val="21"/>
          <w:highlight w:val="none"/>
          <w:lang w:eastAsia="zh-CN"/>
        </w:rPr>
        <w:t>阶段</w:t>
      </w:r>
      <w:r>
        <w:rPr>
          <w:rFonts w:hint="eastAsia"/>
          <w:i w:val="0"/>
          <w:iCs w:val="0"/>
          <w:color w:val="auto"/>
          <w:sz w:val="21"/>
          <w:szCs w:val="21"/>
          <w:highlight w:val="none"/>
        </w:rPr>
        <w:t>应当核查供应商信用记录，供应商被列入失信被执行人、重大税收违法失信主体、政府采购严重违法失信行为记录名单的，采购</w:t>
      </w:r>
      <w:r>
        <w:rPr>
          <w:rFonts w:hint="eastAsia"/>
          <w:i w:val="0"/>
          <w:iCs w:val="0"/>
          <w:color w:val="auto"/>
          <w:sz w:val="21"/>
          <w:szCs w:val="21"/>
          <w:highlight w:val="none"/>
          <w:lang w:val="en-US" w:eastAsia="zh-CN"/>
        </w:rPr>
        <w:t>人</w:t>
      </w:r>
      <w:r>
        <w:rPr>
          <w:rFonts w:hint="eastAsia"/>
          <w:i w:val="0"/>
          <w:iCs w:val="0"/>
          <w:color w:val="auto"/>
          <w:sz w:val="21"/>
          <w:szCs w:val="21"/>
          <w:highlight w:val="none"/>
        </w:rPr>
        <w:t>拒绝其参与政府采购活动。</w:t>
      </w:r>
    </w:p>
    <w:p w14:paraId="58363D75">
      <w:pPr>
        <w:pStyle w:val="38"/>
        <w:keepNext w:val="0"/>
        <w:keepLines w:val="0"/>
        <w:pageBreakBefore w:val="0"/>
        <w:widowControl w:val="0"/>
        <w:kinsoku/>
        <w:overflowPunct/>
        <w:topLinePunct w:val="0"/>
        <w:autoSpaceDE/>
        <w:autoSpaceDN/>
        <w:bidi w:val="0"/>
        <w:adjustRightInd/>
        <w:snapToGrid/>
        <w:spacing w:line="240" w:lineRule="auto"/>
        <w:ind w:firstLine="480"/>
        <w:textAlignment w:val="auto"/>
        <w:rPr>
          <w:i w:val="0"/>
          <w:iCs w:val="0"/>
          <w:color w:val="auto"/>
          <w:sz w:val="21"/>
          <w:szCs w:val="21"/>
          <w:highlight w:val="none"/>
        </w:rPr>
      </w:pPr>
      <w:r>
        <w:rPr>
          <w:rFonts w:hint="eastAsia"/>
          <w:i w:val="0"/>
          <w:iCs w:val="0"/>
          <w:color w:val="auto"/>
          <w:sz w:val="21"/>
          <w:szCs w:val="21"/>
          <w:highlight w:val="none"/>
        </w:rPr>
        <w:t>2.2以联合体形式参与磋商的，应当核查联合体所有成员和信用记录，联合体成员存在不良信用记录的，视同联合体存在不良信用信息。</w:t>
      </w:r>
    </w:p>
    <w:p w14:paraId="003A65A2">
      <w:pPr>
        <w:pStyle w:val="42"/>
        <w:keepNext w:val="0"/>
        <w:keepLines w:val="0"/>
        <w:pageBreakBefore w:val="0"/>
        <w:widowControl w:val="0"/>
        <w:numPr>
          <w:ilvl w:val="0"/>
          <w:numId w:val="0"/>
        </w:numPr>
        <w:kinsoku/>
        <w:overflowPunct/>
        <w:topLinePunct w:val="0"/>
        <w:autoSpaceDE/>
        <w:autoSpaceDN/>
        <w:bidi w:val="0"/>
        <w:adjustRightInd/>
        <w:snapToGrid/>
        <w:spacing w:line="240" w:lineRule="auto"/>
        <w:ind w:firstLine="420" w:firstLineChars="200"/>
        <w:textAlignment w:val="auto"/>
        <w:rPr>
          <w:rFonts w:hint="eastAsia"/>
          <w:i w:val="0"/>
          <w:iCs w:val="0"/>
          <w:color w:val="auto"/>
          <w:sz w:val="21"/>
          <w:szCs w:val="21"/>
          <w:highlight w:val="none"/>
        </w:rPr>
      </w:pPr>
      <w:r>
        <w:rPr>
          <w:rFonts w:ascii="宋体" w:hAnsi="宋体" w:eastAsia="宋体" w:cs="宋体"/>
          <w:i w:val="0"/>
          <w:iCs w:val="0"/>
          <w:color w:val="auto"/>
          <w:kern w:val="2"/>
          <w:sz w:val="21"/>
          <w:szCs w:val="21"/>
          <w:highlight w:val="none"/>
          <w:lang w:val="en-US" w:eastAsia="zh-CN" w:bidi="ar-SA"/>
        </w:rPr>
        <w:t>3.</w:t>
      </w:r>
      <w:r>
        <w:rPr>
          <w:rFonts w:hint="eastAsia"/>
          <w:i w:val="0"/>
          <w:iCs w:val="0"/>
          <w:color w:val="auto"/>
          <w:sz w:val="21"/>
          <w:szCs w:val="21"/>
          <w:highlight w:val="none"/>
        </w:rPr>
        <w:t>对于响应文件中有任意一条不满足上表要求的</w:t>
      </w:r>
      <w:r>
        <w:rPr>
          <w:rFonts w:hint="eastAsia"/>
          <w:i w:val="0"/>
          <w:iCs w:val="0"/>
          <w:color w:val="auto"/>
          <w:sz w:val="21"/>
          <w:szCs w:val="21"/>
          <w:highlight w:val="none"/>
          <w:lang w:eastAsia="zh-CN"/>
        </w:rPr>
        <w:t>，</w:t>
      </w:r>
      <w:r>
        <w:rPr>
          <w:rFonts w:hint="eastAsia"/>
          <w:i w:val="0"/>
          <w:iCs w:val="0"/>
          <w:color w:val="auto"/>
          <w:sz w:val="21"/>
          <w:szCs w:val="21"/>
          <w:highlight w:val="none"/>
        </w:rPr>
        <w:t>将导致其</w:t>
      </w:r>
      <w:r>
        <w:rPr>
          <w:rFonts w:hint="eastAsia"/>
          <w:b/>
          <w:bCs/>
          <w:i w:val="0"/>
          <w:iCs w:val="0"/>
          <w:color w:val="auto"/>
          <w:sz w:val="21"/>
          <w:szCs w:val="21"/>
          <w:highlight w:val="none"/>
        </w:rPr>
        <w:t>响应无效</w:t>
      </w:r>
      <w:r>
        <w:rPr>
          <w:rFonts w:hint="eastAsia"/>
          <w:i w:val="0"/>
          <w:iCs w:val="0"/>
          <w:color w:val="auto"/>
          <w:sz w:val="21"/>
          <w:szCs w:val="21"/>
          <w:highlight w:val="none"/>
        </w:rPr>
        <w:t>，不</w:t>
      </w:r>
      <w:r>
        <w:rPr>
          <w:rFonts w:hint="eastAsia"/>
          <w:i w:val="0"/>
          <w:iCs w:val="0"/>
          <w:color w:val="auto"/>
          <w:sz w:val="21"/>
          <w:szCs w:val="21"/>
          <w:highlight w:val="none"/>
          <w:lang w:val="en-US" w:eastAsia="zh-CN"/>
        </w:rPr>
        <w:t>得</w:t>
      </w:r>
      <w:r>
        <w:rPr>
          <w:rFonts w:hint="eastAsia"/>
          <w:i w:val="0"/>
          <w:iCs w:val="0"/>
          <w:color w:val="auto"/>
          <w:sz w:val="21"/>
          <w:szCs w:val="21"/>
          <w:highlight w:val="none"/>
        </w:rPr>
        <w:t>进入下一项评审。</w:t>
      </w:r>
    </w:p>
    <w:p w14:paraId="1C43801B">
      <w:pPr>
        <w:rPr>
          <w:rFonts w:hint="eastAsia"/>
          <w:i w:val="0"/>
          <w:iCs w:val="0"/>
          <w:color w:val="auto"/>
          <w:highlight w:val="none"/>
        </w:rPr>
      </w:pPr>
      <w:r>
        <w:rPr>
          <w:rFonts w:hint="eastAsia"/>
          <w:i w:val="0"/>
          <w:iCs w:val="0"/>
          <w:color w:val="auto"/>
          <w:highlight w:val="none"/>
        </w:rPr>
        <w:br w:type="page"/>
      </w:r>
    </w:p>
    <w:p w14:paraId="463BA398">
      <w:pPr>
        <w:pStyle w:val="6"/>
        <w:keepNext w:val="0"/>
        <w:keepLines w:val="0"/>
        <w:pageBreakBefore w:val="0"/>
        <w:widowControl w:val="0"/>
        <w:numPr>
          <w:ilvl w:val="0"/>
          <w:numId w:val="0"/>
        </w:numPr>
        <w:kinsoku/>
        <w:wordWrap/>
        <w:overflowPunct/>
        <w:topLinePunct w:val="0"/>
        <w:autoSpaceDE/>
        <w:autoSpaceDN/>
        <w:bidi w:val="0"/>
        <w:adjustRightInd/>
        <w:snapToGrid/>
        <w:spacing w:before="100" w:after="100" w:line="480" w:lineRule="exact"/>
        <w:ind w:left="420" w:leftChars="0" w:hanging="420" w:firstLineChars="0"/>
        <w:textAlignment w:val="auto"/>
        <w:rPr>
          <w:rFonts w:hint="eastAsia" w:ascii="宋体" w:hAnsi="宋体" w:eastAsia="宋体" w:cs="宋体"/>
          <w:b/>
          <w:bCs/>
          <w:i w:val="0"/>
          <w:iCs w:val="0"/>
          <w:color w:val="auto"/>
          <w:kern w:val="2"/>
          <w:sz w:val="24"/>
          <w:szCs w:val="24"/>
          <w:highlight w:val="none"/>
          <w:lang w:val="zh-CN" w:eastAsia="zh-CN" w:bidi="ar-SA"/>
        </w:rPr>
      </w:pPr>
      <w:bookmarkStart w:id="465" w:name="_Toc163493639"/>
      <w:r>
        <w:rPr>
          <w:rFonts w:hint="eastAsia" w:ascii="宋体" w:hAnsi="宋体" w:eastAsia="宋体" w:cs="宋体"/>
          <w:b/>
          <w:bCs/>
          <w:i w:val="0"/>
          <w:iCs w:val="0"/>
          <w:color w:val="auto"/>
          <w:kern w:val="2"/>
          <w:sz w:val="24"/>
          <w:szCs w:val="24"/>
          <w:highlight w:val="none"/>
          <w:lang w:val="en-US" w:eastAsia="zh-CN" w:bidi="ar-SA"/>
        </w:rPr>
        <w:t>（二）</w:t>
      </w:r>
      <w:r>
        <w:rPr>
          <w:rFonts w:hint="eastAsia" w:ascii="宋体" w:hAnsi="宋体" w:eastAsia="宋体" w:cs="宋体"/>
          <w:b/>
          <w:bCs/>
          <w:i w:val="0"/>
          <w:iCs w:val="0"/>
          <w:color w:val="auto"/>
          <w:kern w:val="2"/>
          <w:sz w:val="24"/>
          <w:szCs w:val="24"/>
          <w:highlight w:val="none"/>
          <w:lang w:val="zh-CN" w:eastAsia="zh-CN" w:bidi="ar-SA"/>
        </w:rPr>
        <w:t>符合性审查表</w:t>
      </w:r>
      <w:bookmarkEnd w:id="464"/>
      <w:bookmarkEnd w:id="465"/>
    </w:p>
    <w:tbl>
      <w:tblPr>
        <w:tblStyle w:val="31"/>
        <w:tblW w:w="87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
        <w:gridCol w:w="2003"/>
        <w:gridCol w:w="4583"/>
        <w:gridCol w:w="853"/>
        <w:gridCol w:w="850"/>
      </w:tblGrid>
      <w:tr w14:paraId="72982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jc w:val="center"/>
        </w:trPr>
        <w:tc>
          <w:tcPr>
            <w:tcW w:w="467" w:type="dxa"/>
            <w:vMerge w:val="restart"/>
            <w:shd w:val="clear" w:color="auto" w:fill="D8D8D8"/>
            <w:vAlign w:val="center"/>
          </w:tcPr>
          <w:p w14:paraId="6FF62FF4">
            <w:pPr>
              <w:pStyle w:val="49"/>
              <w:jc w:val="center"/>
              <w:rPr>
                <w:rFonts w:hint="eastAsia" w:ascii="宋体" w:hAnsi="宋体" w:eastAsia="宋体" w:cs="宋体"/>
                <w:b/>
                <w:bCs/>
                <w:i w:val="0"/>
                <w:iCs w:val="0"/>
                <w:color w:val="auto"/>
                <w:sz w:val="21"/>
                <w:szCs w:val="21"/>
                <w:highlight w:val="none"/>
                <w:lang w:val="zh-CN"/>
              </w:rPr>
            </w:pPr>
            <w:bookmarkStart w:id="466" w:name="_Toc163493640"/>
            <w:r>
              <w:rPr>
                <w:rFonts w:hint="eastAsia" w:ascii="宋体" w:hAnsi="宋体" w:eastAsia="宋体" w:cs="宋体"/>
                <w:b/>
                <w:bCs/>
                <w:i w:val="0"/>
                <w:iCs w:val="0"/>
                <w:color w:val="auto"/>
                <w:sz w:val="21"/>
                <w:szCs w:val="21"/>
                <w:highlight w:val="none"/>
                <w:lang w:val="zh-CN"/>
              </w:rPr>
              <w:t>序号</w:t>
            </w:r>
          </w:p>
        </w:tc>
        <w:tc>
          <w:tcPr>
            <w:tcW w:w="2003" w:type="dxa"/>
            <w:vMerge w:val="restart"/>
            <w:shd w:val="clear" w:color="auto" w:fill="D8D8D8"/>
            <w:vAlign w:val="center"/>
          </w:tcPr>
          <w:p w14:paraId="66644DCC">
            <w:pPr>
              <w:pStyle w:val="49"/>
              <w:jc w:val="center"/>
              <w:rPr>
                <w:rFonts w:hint="eastAsia" w:ascii="宋体" w:hAnsi="宋体" w:eastAsia="宋体" w:cs="宋体"/>
                <w:b/>
                <w:bCs/>
                <w:i w:val="0"/>
                <w:iCs w:val="0"/>
                <w:color w:val="auto"/>
                <w:sz w:val="21"/>
                <w:szCs w:val="21"/>
                <w:highlight w:val="none"/>
                <w:lang w:val="zh-CN"/>
              </w:rPr>
            </w:pPr>
            <w:r>
              <w:rPr>
                <w:rFonts w:hint="eastAsia" w:ascii="宋体" w:hAnsi="宋体" w:eastAsia="宋体" w:cs="宋体"/>
                <w:b/>
                <w:bCs/>
                <w:i w:val="0"/>
                <w:iCs w:val="0"/>
                <w:color w:val="auto"/>
                <w:sz w:val="21"/>
                <w:szCs w:val="21"/>
                <w:highlight w:val="none"/>
                <w:lang w:val="zh-CN"/>
              </w:rPr>
              <w:t>审查项名称</w:t>
            </w:r>
          </w:p>
        </w:tc>
        <w:tc>
          <w:tcPr>
            <w:tcW w:w="4583" w:type="dxa"/>
            <w:vMerge w:val="restart"/>
            <w:shd w:val="clear" w:color="auto" w:fill="D8D8D8"/>
            <w:vAlign w:val="center"/>
          </w:tcPr>
          <w:p w14:paraId="3D323DED">
            <w:pPr>
              <w:pStyle w:val="49"/>
              <w:jc w:val="center"/>
              <w:rPr>
                <w:rFonts w:hint="eastAsia" w:ascii="宋体" w:hAnsi="宋体" w:eastAsia="宋体" w:cs="宋体"/>
                <w:b/>
                <w:bCs/>
                <w:i w:val="0"/>
                <w:iCs w:val="0"/>
                <w:color w:val="auto"/>
                <w:sz w:val="21"/>
                <w:szCs w:val="21"/>
                <w:highlight w:val="none"/>
                <w:lang w:val="zh-CN"/>
              </w:rPr>
            </w:pPr>
            <w:r>
              <w:rPr>
                <w:rFonts w:hint="eastAsia" w:ascii="宋体" w:hAnsi="宋体" w:eastAsia="宋体" w:cs="宋体"/>
                <w:b/>
                <w:bCs/>
                <w:i w:val="0"/>
                <w:iCs w:val="0"/>
                <w:color w:val="auto"/>
                <w:sz w:val="21"/>
                <w:szCs w:val="21"/>
                <w:highlight w:val="none"/>
                <w:lang w:val="zh-CN"/>
              </w:rPr>
              <w:t>审查内容</w:t>
            </w:r>
          </w:p>
        </w:tc>
        <w:tc>
          <w:tcPr>
            <w:tcW w:w="1703" w:type="dxa"/>
            <w:gridSpan w:val="2"/>
            <w:shd w:val="clear" w:color="auto" w:fill="D8D8D8"/>
            <w:vAlign w:val="center"/>
          </w:tcPr>
          <w:p w14:paraId="031ECC0B">
            <w:pPr>
              <w:pStyle w:val="49"/>
              <w:jc w:val="center"/>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审查结果</w:t>
            </w:r>
          </w:p>
        </w:tc>
      </w:tr>
      <w:tr w14:paraId="3E6DE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jc w:val="center"/>
        </w:trPr>
        <w:tc>
          <w:tcPr>
            <w:tcW w:w="467" w:type="dxa"/>
            <w:vMerge w:val="continue"/>
            <w:shd w:val="clear" w:color="auto" w:fill="D8D8D8"/>
            <w:vAlign w:val="center"/>
          </w:tcPr>
          <w:p w14:paraId="01A5850E">
            <w:pPr>
              <w:pStyle w:val="49"/>
              <w:jc w:val="center"/>
              <w:rPr>
                <w:rFonts w:hint="eastAsia" w:ascii="宋体" w:hAnsi="宋体" w:eastAsia="宋体" w:cs="宋体"/>
                <w:b/>
                <w:bCs/>
                <w:i w:val="0"/>
                <w:iCs w:val="0"/>
                <w:color w:val="auto"/>
                <w:sz w:val="21"/>
                <w:szCs w:val="21"/>
                <w:highlight w:val="none"/>
                <w:lang w:val="zh-CN"/>
              </w:rPr>
            </w:pPr>
          </w:p>
        </w:tc>
        <w:tc>
          <w:tcPr>
            <w:tcW w:w="2003" w:type="dxa"/>
            <w:vMerge w:val="continue"/>
            <w:shd w:val="clear" w:color="auto" w:fill="D8D8D8"/>
            <w:vAlign w:val="center"/>
          </w:tcPr>
          <w:p w14:paraId="21DAF306">
            <w:pPr>
              <w:pStyle w:val="49"/>
              <w:jc w:val="center"/>
              <w:rPr>
                <w:rFonts w:hint="eastAsia" w:ascii="宋体" w:hAnsi="宋体" w:eastAsia="宋体" w:cs="宋体"/>
                <w:b/>
                <w:bCs/>
                <w:i w:val="0"/>
                <w:iCs w:val="0"/>
                <w:color w:val="auto"/>
                <w:sz w:val="21"/>
                <w:szCs w:val="21"/>
                <w:highlight w:val="none"/>
                <w:lang w:val="zh-CN"/>
              </w:rPr>
            </w:pPr>
          </w:p>
        </w:tc>
        <w:tc>
          <w:tcPr>
            <w:tcW w:w="4583" w:type="dxa"/>
            <w:vMerge w:val="continue"/>
            <w:shd w:val="clear" w:color="auto" w:fill="D8D8D8"/>
            <w:vAlign w:val="center"/>
          </w:tcPr>
          <w:p w14:paraId="079CCB2D">
            <w:pPr>
              <w:pStyle w:val="49"/>
              <w:jc w:val="center"/>
              <w:rPr>
                <w:rFonts w:hint="eastAsia" w:ascii="宋体" w:hAnsi="宋体" w:eastAsia="宋体" w:cs="宋体"/>
                <w:b/>
                <w:bCs/>
                <w:i w:val="0"/>
                <w:iCs w:val="0"/>
                <w:color w:val="auto"/>
                <w:sz w:val="21"/>
                <w:szCs w:val="21"/>
                <w:highlight w:val="none"/>
                <w:lang w:val="zh-CN"/>
              </w:rPr>
            </w:pPr>
          </w:p>
        </w:tc>
        <w:tc>
          <w:tcPr>
            <w:tcW w:w="853" w:type="dxa"/>
            <w:shd w:val="clear" w:color="auto" w:fill="D8D8D8"/>
            <w:vAlign w:val="center"/>
          </w:tcPr>
          <w:p w14:paraId="436F852C">
            <w:pPr>
              <w:pStyle w:val="49"/>
              <w:jc w:val="center"/>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符合</w:t>
            </w:r>
          </w:p>
        </w:tc>
        <w:tc>
          <w:tcPr>
            <w:tcW w:w="850" w:type="dxa"/>
            <w:shd w:val="clear" w:color="auto" w:fill="D8D8D8"/>
            <w:vAlign w:val="center"/>
          </w:tcPr>
          <w:p w14:paraId="033875E4">
            <w:pPr>
              <w:pStyle w:val="49"/>
              <w:jc w:val="center"/>
              <w:rPr>
                <w:rFonts w:hint="eastAsia" w:ascii="宋体" w:hAnsi="宋体" w:eastAsia="宋体" w:cs="宋体"/>
                <w:b/>
                <w:bCs/>
                <w:i w:val="0"/>
                <w:iCs w:val="0"/>
                <w:color w:val="auto"/>
                <w:sz w:val="21"/>
                <w:szCs w:val="21"/>
                <w:highlight w:val="none"/>
                <w:lang w:val="en-US" w:eastAsia="zh-CN"/>
              </w:rPr>
            </w:pPr>
            <w:r>
              <w:rPr>
                <w:rFonts w:hint="eastAsia" w:ascii="宋体" w:hAnsi="宋体" w:eastAsia="宋体" w:cs="宋体"/>
                <w:b/>
                <w:bCs/>
                <w:i w:val="0"/>
                <w:iCs w:val="0"/>
                <w:color w:val="auto"/>
                <w:sz w:val="21"/>
                <w:szCs w:val="21"/>
                <w:highlight w:val="none"/>
                <w:lang w:val="en-US" w:eastAsia="zh-CN"/>
              </w:rPr>
              <w:t>不符合</w:t>
            </w:r>
          </w:p>
        </w:tc>
      </w:tr>
      <w:tr w14:paraId="0C410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tcW w:w="467" w:type="dxa"/>
            <w:shd w:val="clear" w:color="auto" w:fill="auto"/>
            <w:vAlign w:val="center"/>
          </w:tcPr>
          <w:p w14:paraId="0F8F864C">
            <w:pPr>
              <w:pStyle w:val="49"/>
              <w:numPr>
                <w:ilvl w:val="0"/>
                <w:numId w:val="0"/>
              </w:numPr>
              <w:ind w:left="420" w:leftChars="0" w:hanging="420" w:firstLineChars="0"/>
              <w:jc w:val="center"/>
              <w:rPr>
                <w:rFonts w:hint="eastAsia" w:ascii="宋体" w:hAnsi="宋体" w:eastAsia="宋体" w:cs="宋体"/>
                <w:i w:val="0"/>
                <w:iCs w:val="0"/>
                <w:color w:val="auto"/>
                <w:sz w:val="21"/>
                <w:szCs w:val="21"/>
                <w:highlight w:val="none"/>
                <w:lang w:val="zh-CN"/>
              </w:rPr>
            </w:pPr>
            <w:r>
              <w:rPr>
                <w:rFonts w:hint="eastAsia" w:ascii="宋体" w:hAnsi="宋体" w:eastAsia="宋体" w:cs="宋体"/>
                <w:i w:val="0"/>
                <w:iCs w:val="0"/>
                <w:color w:val="auto"/>
                <w:kern w:val="2"/>
                <w:sz w:val="21"/>
                <w:szCs w:val="21"/>
                <w:highlight w:val="none"/>
                <w:lang w:val="zh-CN" w:eastAsia="zh-CN" w:bidi="ar-SA"/>
              </w:rPr>
              <w:t>1</w:t>
            </w:r>
          </w:p>
        </w:tc>
        <w:tc>
          <w:tcPr>
            <w:tcW w:w="2003" w:type="dxa"/>
            <w:vAlign w:val="center"/>
          </w:tcPr>
          <w:p w14:paraId="3FD20F04">
            <w:pPr>
              <w:pStyle w:val="49"/>
              <w:rPr>
                <w:rFonts w:hint="eastAsia" w:ascii="宋体" w:hAnsi="宋体" w:eastAsia="宋体" w:cs="宋体"/>
                <w:i w:val="0"/>
                <w:iCs w:val="0"/>
                <w:color w:val="auto"/>
                <w:sz w:val="21"/>
                <w:szCs w:val="21"/>
                <w:highlight w:val="none"/>
                <w:lang w:val="zh-CN"/>
              </w:rPr>
            </w:pPr>
            <w:r>
              <w:rPr>
                <w:rFonts w:hint="eastAsia" w:ascii="宋体" w:hAnsi="宋体" w:eastAsia="宋体" w:cs="宋体"/>
                <w:i w:val="0"/>
                <w:iCs w:val="0"/>
                <w:color w:val="auto"/>
                <w:sz w:val="21"/>
                <w:szCs w:val="21"/>
                <w:highlight w:val="none"/>
                <w:lang w:val="zh-CN"/>
              </w:rPr>
              <w:t>响应文件</w:t>
            </w:r>
            <w:r>
              <w:rPr>
                <w:rFonts w:hint="eastAsia" w:ascii="宋体" w:hAnsi="宋体" w:eastAsia="宋体" w:cs="宋体"/>
                <w:i w:val="0"/>
                <w:iCs w:val="0"/>
                <w:color w:val="auto"/>
                <w:sz w:val="21"/>
                <w:szCs w:val="21"/>
                <w:highlight w:val="none"/>
              </w:rPr>
              <w:t>签署</w:t>
            </w:r>
          </w:p>
        </w:tc>
        <w:tc>
          <w:tcPr>
            <w:tcW w:w="4583" w:type="dxa"/>
            <w:shd w:val="clear" w:color="auto" w:fill="auto"/>
            <w:vAlign w:val="center"/>
          </w:tcPr>
          <w:p w14:paraId="2FC08E2F">
            <w:pPr>
              <w:pStyle w:val="49"/>
              <w:rPr>
                <w:rFonts w:hint="eastAsia" w:ascii="宋体" w:hAnsi="宋体" w:eastAsia="宋体" w:cs="宋体"/>
                <w:i w:val="0"/>
                <w:iCs w:val="0"/>
                <w:color w:val="auto"/>
                <w:sz w:val="21"/>
                <w:szCs w:val="21"/>
                <w:highlight w:val="none"/>
                <w:lang w:val="zh-CN" w:eastAsia="zh-CN"/>
              </w:rPr>
            </w:pPr>
            <w:r>
              <w:rPr>
                <w:rFonts w:hint="eastAsia" w:ascii="宋体" w:hAnsi="宋体" w:eastAsia="宋体" w:cs="宋体"/>
                <w:i w:val="0"/>
                <w:iCs w:val="0"/>
                <w:color w:val="auto"/>
                <w:sz w:val="21"/>
                <w:szCs w:val="21"/>
                <w:highlight w:val="none"/>
                <w:lang w:val="zh-CN"/>
              </w:rPr>
              <w:t>响应文件</w:t>
            </w:r>
            <w:r>
              <w:rPr>
                <w:rFonts w:hint="eastAsia" w:ascii="宋体" w:hAnsi="宋体" w:eastAsia="宋体" w:cs="宋体"/>
                <w:i w:val="0"/>
                <w:iCs w:val="0"/>
                <w:color w:val="auto"/>
                <w:sz w:val="21"/>
                <w:szCs w:val="21"/>
                <w:highlight w:val="none"/>
                <w:lang w:val="en-US" w:eastAsia="zh-CN"/>
              </w:rPr>
              <w:t>按磋商文件要求签署、盖章的</w:t>
            </w:r>
          </w:p>
        </w:tc>
        <w:tc>
          <w:tcPr>
            <w:tcW w:w="853" w:type="dxa"/>
            <w:shd w:val="clear" w:color="auto" w:fill="auto"/>
            <w:vAlign w:val="center"/>
          </w:tcPr>
          <w:p w14:paraId="078C07BF">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00977883">
            <w:pPr>
              <w:pStyle w:val="49"/>
              <w:rPr>
                <w:rFonts w:hint="eastAsia" w:ascii="宋体" w:hAnsi="宋体" w:eastAsia="宋体" w:cs="宋体"/>
                <w:i w:val="0"/>
                <w:iCs w:val="0"/>
                <w:color w:val="auto"/>
                <w:sz w:val="21"/>
                <w:szCs w:val="21"/>
                <w:highlight w:val="none"/>
                <w:lang w:val="zh-CN"/>
              </w:rPr>
            </w:pPr>
          </w:p>
        </w:tc>
      </w:tr>
      <w:tr w14:paraId="556ED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467" w:type="dxa"/>
            <w:shd w:val="clear" w:color="auto" w:fill="auto"/>
            <w:vAlign w:val="center"/>
          </w:tcPr>
          <w:p w14:paraId="12A729A0">
            <w:pPr>
              <w:pStyle w:val="49"/>
              <w:numPr>
                <w:ilvl w:val="0"/>
                <w:numId w:val="0"/>
              </w:numPr>
              <w:ind w:left="420" w:leftChars="0" w:hanging="420" w:firstLineChars="0"/>
              <w:jc w:val="center"/>
              <w:rPr>
                <w:rFonts w:hint="eastAsia" w:ascii="宋体" w:hAnsi="宋体" w:eastAsia="宋体" w:cs="宋体"/>
                <w:i w:val="0"/>
                <w:iCs w:val="0"/>
                <w:color w:val="auto"/>
                <w:kern w:val="2"/>
                <w:sz w:val="21"/>
                <w:szCs w:val="21"/>
                <w:highlight w:val="none"/>
                <w:lang w:val="zh-CN" w:eastAsia="zh-CN" w:bidi="ar-SA"/>
              </w:rPr>
            </w:pPr>
            <w:r>
              <w:rPr>
                <w:rFonts w:hint="eastAsia" w:ascii="宋体" w:hAnsi="宋体" w:eastAsia="宋体" w:cs="宋体"/>
                <w:i w:val="0"/>
                <w:iCs w:val="0"/>
                <w:color w:val="auto"/>
                <w:kern w:val="2"/>
                <w:sz w:val="21"/>
                <w:szCs w:val="21"/>
                <w:highlight w:val="none"/>
                <w:lang w:val="zh-CN" w:eastAsia="zh-CN" w:bidi="ar-SA"/>
              </w:rPr>
              <w:t>2</w:t>
            </w:r>
          </w:p>
        </w:tc>
        <w:tc>
          <w:tcPr>
            <w:tcW w:w="2003" w:type="dxa"/>
            <w:shd w:val="clear" w:color="auto" w:fill="auto"/>
            <w:vAlign w:val="center"/>
          </w:tcPr>
          <w:p w14:paraId="524C385F">
            <w:pPr>
              <w:pStyle w:val="49"/>
              <w:rPr>
                <w:rFonts w:hint="eastAsia" w:ascii="宋体" w:hAnsi="宋体" w:eastAsia="宋体" w:cs="宋体"/>
                <w:i w:val="0"/>
                <w:iCs w:val="0"/>
                <w:color w:val="auto"/>
                <w:kern w:val="2"/>
                <w:sz w:val="21"/>
                <w:szCs w:val="21"/>
                <w:highlight w:val="none"/>
                <w:lang w:val="zh-CN" w:eastAsia="zh-CN" w:bidi="ar-SA"/>
              </w:rPr>
            </w:pPr>
            <w:r>
              <w:rPr>
                <w:rFonts w:hint="eastAsia" w:cs="宋体"/>
                <w:i w:val="0"/>
                <w:iCs w:val="0"/>
                <w:color w:val="auto"/>
                <w:sz w:val="21"/>
                <w:szCs w:val="21"/>
                <w:highlight w:val="none"/>
                <w:lang w:val="en-US" w:eastAsia="zh-CN"/>
              </w:rPr>
              <w:t>响应范围</w:t>
            </w:r>
          </w:p>
        </w:tc>
        <w:tc>
          <w:tcPr>
            <w:tcW w:w="4583" w:type="dxa"/>
            <w:shd w:val="clear" w:color="auto" w:fill="auto"/>
            <w:vAlign w:val="center"/>
          </w:tcPr>
          <w:p w14:paraId="04BCE072">
            <w:pPr>
              <w:pStyle w:val="49"/>
              <w:rPr>
                <w:rFonts w:hint="eastAsia" w:ascii="宋体" w:hAnsi="宋体" w:eastAsia="宋体" w:cs="宋体"/>
                <w:i w:val="0"/>
                <w:iCs w:val="0"/>
                <w:color w:val="auto"/>
                <w:kern w:val="2"/>
                <w:sz w:val="21"/>
                <w:szCs w:val="21"/>
                <w:highlight w:val="none"/>
                <w:lang w:val="zh-CN" w:eastAsia="zh-CN" w:bidi="ar-SA"/>
              </w:rPr>
            </w:pPr>
            <w:r>
              <w:rPr>
                <w:rFonts w:hint="eastAsia" w:ascii="宋体" w:hAnsi="宋体" w:cs="宋体"/>
                <w:sz w:val="22"/>
                <w:szCs w:val="22"/>
                <w:highlight w:val="none"/>
              </w:rPr>
              <w:t>响应文件载明的</w:t>
            </w:r>
            <w:r>
              <w:rPr>
                <w:rFonts w:hint="eastAsia" w:cs="宋体"/>
                <w:sz w:val="22"/>
                <w:szCs w:val="22"/>
                <w:highlight w:val="none"/>
                <w:lang w:val="en-US" w:eastAsia="zh-CN"/>
              </w:rPr>
              <w:t>响应有效期</w:t>
            </w:r>
            <w:r>
              <w:rPr>
                <w:rFonts w:hint="eastAsia" w:ascii="宋体" w:hAnsi="宋体" w:cs="宋体"/>
                <w:sz w:val="22"/>
                <w:szCs w:val="22"/>
                <w:highlight w:val="none"/>
              </w:rPr>
              <w:t>、</w:t>
            </w:r>
            <w:r>
              <w:rPr>
                <w:rFonts w:hint="eastAsia" w:cs="宋体"/>
                <w:sz w:val="22"/>
                <w:szCs w:val="22"/>
                <w:highlight w:val="none"/>
                <w:lang w:val="en-US" w:eastAsia="zh-CN"/>
              </w:rPr>
              <w:t>服务期限</w:t>
            </w:r>
            <w:r>
              <w:rPr>
                <w:rFonts w:hint="eastAsia" w:ascii="宋体" w:hAnsi="宋体" w:cs="宋体"/>
                <w:sz w:val="22"/>
                <w:szCs w:val="22"/>
                <w:highlight w:val="none"/>
              </w:rPr>
              <w:t>、配套货物交付时间</w:t>
            </w:r>
            <w:r>
              <w:rPr>
                <w:rFonts w:hint="eastAsia" w:cs="宋体"/>
                <w:sz w:val="22"/>
                <w:szCs w:val="22"/>
                <w:highlight w:val="none"/>
                <w:lang w:eastAsia="zh-CN"/>
              </w:rPr>
              <w:t>、</w:t>
            </w:r>
            <w:r>
              <w:rPr>
                <w:rFonts w:hint="eastAsia" w:cs="宋体"/>
                <w:sz w:val="22"/>
                <w:szCs w:val="22"/>
                <w:highlight w:val="none"/>
                <w:lang w:val="en-US" w:eastAsia="zh-CN"/>
              </w:rPr>
              <w:t>交付地点、</w:t>
            </w:r>
            <w:r>
              <w:rPr>
                <w:rFonts w:hint="eastAsia" w:ascii="宋体" w:hAnsi="宋体" w:cs="宋体"/>
                <w:sz w:val="22"/>
                <w:szCs w:val="22"/>
                <w:highlight w:val="none"/>
                <w:lang w:val="en-US" w:eastAsia="zh-CN"/>
              </w:rPr>
              <w:t>服务</w:t>
            </w:r>
            <w:r>
              <w:rPr>
                <w:rFonts w:hint="eastAsia" w:ascii="宋体" w:hAnsi="宋体" w:cs="宋体"/>
                <w:sz w:val="22"/>
                <w:szCs w:val="22"/>
                <w:highlight w:val="none"/>
              </w:rPr>
              <w:t>范围等符合</w:t>
            </w:r>
            <w:r>
              <w:rPr>
                <w:rFonts w:hint="eastAsia" w:cs="宋体"/>
                <w:sz w:val="22"/>
                <w:szCs w:val="22"/>
                <w:highlight w:val="none"/>
                <w:lang w:val="en-US" w:eastAsia="zh-CN"/>
              </w:rPr>
              <w:t>采购</w:t>
            </w:r>
            <w:r>
              <w:rPr>
                <w:rFonts w:hint="eastAsia" w:ascii="宋体" w:hAnsi="宋体" w:cs="宋体"/>
                <w:sz w:val="22"/>
                <w:szCs w:val="22"/>
                <w:highlight w:val="none"/>
              </w:rPr>
              <w:t>文件的要求</w:t>
            </w:r>
          </w:p>
        </w:tc>
        <w:tc>
          <w:tcPr>
            <w:tcW w:w="853" w:type="dxa"/>
            <w:shd w:val="clear" w:color="auto" w:fill="auto"/>
            <w:vAlign w:val="center"/>
          </w:tcPr>
          <w:p w14:paraId="76B79BDB">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7CE4A476">
            <w:pPr>
              <w:pStyle w:val="49"/>
              <w:rPr>
                <w:rFonts w:hint="eastAsia" w:ascii="宋体" w:hAnsi="宋体" w:eastAsia="宋体" w:cs="宋体"/>
                <w:i w:val="0"/>
                <w:iCs w:val="0"/>
                <w:color w:val="auto"/>
                <w:sz w:val="21"/>
                <w:szCs w:val="21"/>
                <w:highlight w:val="none"/>
                <w:lang w:val="zh-CN"/>
              </w:rPr>
            </w:pPr>
          </w:p>
        </w:tc>
      </w:tr>
      <w:tr w14:paraId="2B4B8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jc w:val="center"/>
        </w:trPr>
        <w:tc>
          <w:tcPr>
            <w:tcW w:w="467" w:type="dxa"/>
            <w:shd w:val="clear" w:color="auto" w:fill="auto"/>
            <w:vAlign w:val="center"/>
          </w:tcPr>
          <w:p w14:paraId="6C1A0C8A">
            <w:pPr>
              <w:pStyle w:val="49"/>
              <w:numPr>
                <w:ilvl w:val="0"/>
                <w:numId w:val="0"/>
              </w:numPr>
              <w:ind w:left="420" w:leftChars="0" w:hanging="420" w:firstLineChars="0"/>
              <w:jc w:val="center"/>
              <w:rPr>
                <w:rFonts w:hint="eastAsia" w:ascii="宋体" w:hAnsi="宋体" w:eastAsia="宋体" w:cs="宋体"/>
                <w:i w:val="0"/>
                <w:iCs w:val="0"/>
                <w:color w:val="auto"/>
                <w:kern w:val="2"/>
                <w:sz w:val="21"/>
                <w:szCs w:val="21"/>
                <w:highlight w:val="none"/>
                <w:lang w:val="zh-CN" w:eastAsia="zh-CN" w:bidi="ar-SA"/>
              </w:rPr>
            </w:pPr>
            <w:r>
              <w:rPr>
                <w:rFonts w:hint="eastAsia" w:ascii="宋体" w:hAnsi="宋体" w:eastAsia="宋体" w:cs="宋体"/>
                <w:i w:val="0"/>
                <w:iCs w:val="0"/>
                <w:color w:val="auto"/>
                <w:kern w:val="2"/>
                <w:sz w:val="21"/>
                <w:szCs w:val="21"/>
                <w:highlight w:val="none"/>
                <w:lang w:val="zh-CN" w:eastAsia="zh-CN" w:bidi="ar-SA"/>
              </w:rPr>
              <w:t>3</w:t>
            </w:r>
          </w:p>
        </w:tc>
        <w:tc>
          <w:tcPr>
            <w:tcW w:w="2003" w:type="dxa"/>
            <w:vAlign w:val="center"/>
          </w:tcPr>
          <w:p w14:paraId="455F9B13">
            <w:pPr>
              <w:pStyle w:val="49"/>
              <w:rPr>
                <w:rFonts w:hint="eastAsia" w:ascii="宋体" w:hAnsi="宋体" w:eastAsia="宋体" w:cs="宋体"/>
                <w:i w:val="0"/>
                <w:iCs w:val="0"/>
                <w:color w:val="auto"/>
                <w:sz w:val="21"/>
                <w:szCs w:val="21"/>
                <w:highlight w:val="none"/>
                <w:lang w:val="zh-CN"/>
              </w:rPr>
            </w:pPr>
            <w:r>
              <w:rPr>
                <w:rFonts w:hint="eastAsia" w:ascii="宋体" w:hAnsi="宋体" w:eastAsia="宋体" w:cs="宋体"/>
                <w:i w:val="0"/>
                <w:iCs w:val="0"/>
                <w:color w:val="auto"/>
                <w:sz w:val="21"/>
                <w:szCs w:val="21"/>
                <w:highlight w:val="none"/>
                <w:lang w:val="zh-CN"/>
              </w:rPr>
              <w:t>磋商响应性报价</w:t>
            </w:r>
          </w:p>
        </w:tc>
        <w:tc>
          <w:tcPr>
            <w:tcW w:w="4583" w:type="dxa"/>
            <w:shd w:val="clear" w:color="auto" w:fill="auto"/>
            <w:vAlign w:val="center"/>
          </w:tcPr>
          <w:p w14:paraId="4B6DEB66">
            <w:pPr>
              <w:pStyle w:val="49"/>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sz w:val="21"/>
                <w:szCs w:val="21"/>
                <w:highlight w:val="none"/>
                <w:lang w:val="en-US" w:eastAsia="zh-CN"/>
              </w:rPr>
              <w:t>供应商报价未超过磋商文件中规定的最高限价或者预算金额的</w:t>
            </w:r>
          </w:p>
        </w:tc>
        <w:tc>
          <w:tcPr>
            <w:tcW w:w="853" w:type="dxa"/>
            <w:shd w:val="clear" w:color="auto" w:fill="auto"/>
            <w:vAlign w:val="center"/>
          </w:tcPr>
          <w:p w14:paraId="3F17FF37">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5BA178C0">
            <w:pPr>
              <w:pStyle w:val="49"/>
              <w:rPr>
                <w:rFonts w:hint="eastAsia" w:ascii="宋体" w:hAnsi="宋体" w:eastAsia="宋体" w:cs="宋体"/>
                <w:i w:val="0"/>
                <w:iCs w:val="0"/>
                <w:color w:val="auto"/>
                <w:sz w:val="21"/>
                <w:szCs w:val="21"/>
                <w:highlight w:val="none"/>
                <w:lang w:val="zh-CN"/>
              </w:rPr>
            </w:pPr>
          </w:p>
        </w:tc>
      </w:tr>
      <w:tr w14:paraId="7E8EF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467" w:type="dxa"/>
            <w:shd w:val="clear" w:color="auto" w:fill="auto"/>
            <w:vAlign w:val="center"/>
          </w:tcPr>
          <w:p w14:paraId="1B278841">
            <w:pPr>
              <w:pStyle w:val="49"/>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4</w:t>
            </w:r>
          </w:p>
        </w:tc>
        <w:tc>
          <w:tcPr>
            <w:tcW w:w="2003" w:type="dxa"/>
            <w:shd w:val="clear" w:color="auto" w:fill="auto"/>
            <w:vAlign w:val="center"/>
          </w:tcPr>
          <w:p w14:paraId="28FC7B3D">
            <w:pPr>
              <w:pStyle w:val="4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采购清单</w:t>
            </w:r>
          </w:p>
        </w:tc>
        <w:tc>
          <w:tcPr>
            <w:tcW w:w="4583" w:type="dxa"/>
            <w:shd w:val="clear" w:color="auto" w:fill="auto"/>
            <w:vAlign w:val="center"/>
          </w:tcPr>
          <w:p w14:paraId="7F1B3056">
            <w:pPr>
              <w:pStyle w:val="4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未改变招标文件提供的采购</w:t>
            </w:r>
            <w:r>
              <w:rPr>
                <w:rFonts w:hint="eastAsia" w:cs="宋体"/>
                <w:color w:val="auto"/>
                <w:kern w:val="2"/>
                <w:sz w:val="21"/>
                <w:szCs w:val="21"/>
                <w:highlight w:val="none"/>
                <w:lang w:val="en-US" w:eastAsia="zh-CN" w:bidi="ar-SA"/>
              </w:rPr>
              <w:t>标的</w:t>
            </w:r>
            <w:r>
              <w:rPr>
                <w:rFonts w:hint="eastAsia" w:ascii="宋体" w:hAnsi="宋体" w:eastAsia="宋体" w:cs="宋体"/>
                <w:color w:val="auto"/>
                <w:kern w:val="2"/>
                <w:sz w:val="21"/>
                <w:szCs w:val="21"/>
                <w:highlight w:val="none"/>
                <w:lang w:val="en-US" w:eastAsia="zh-CN" w:bidi="ar-SA"/>
              </w:rPr>
              <w:t>清单</w:t>
            </w:r>
            <w:r>
              <w:rPr>
                <w:rFonts w:hint="eastAsia" w:cs="宋体"/>
                <w:color w:val="auto"/>
                <w:kern w:val="2"/>
                <w:sz w:val="21"/>
                <w:szCs w:val="21"/>
                <w:highlight w:val="none"/>
                <w:lang w:val="en-US" w:eastAsia="zh-CN" w:bidi="ar-SA"/>
              </w:rPr>
              <w:t>数量</w:t>
            </w:r>
            <w:r>
              <w:rPr>
                <w:rFonts w:hint="eastAsia" w:ascii="宋体" w:hAnsi="宋体" w:eastAsia="宋体" w:cs="宋体"/>
                <w:color w:val="auto"/>
                <w:kern w:val="2"/>
                <w:sz w:val="21"/>
                <w:szCs w:val="21"/>
                <w:highlight w:val="none"/>
                <w:lang w:val="en-US" w:eastAsia="zh-CN" w:bidi="ar-SA"/>
              </w:rPr>
              <w:t>的</w:t>
            </w:r>
          </w:p>
        </w:tc>
        <w:tc>
          <w:tcPr>
            <w:tcW w:w="853" w:type="dxa"/>
            <w:shd w:val="clear" w:color="auto" w:fill="auto"/>
            <w:vAlign w:val="center"/>
          </w:tcPr>
          <w:p w14:paraId="0BB329FD">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0000CD68">
            <w:pPr>
              <w:pStyle w:val="49"/>
              <w:rPr>
                <w:rFonts w:hint="eastAsia" w:ascii="宋体" w:hAnsi="宋体" w:eastAsia="宋体" w:cs="宋体"/>
                <w:i w:val="0"/>
                <w:iCs w:val="0"/>
                <w:color w:val="auto"/>
                <w:sz w:val="21"/>
                <w:szCs w:val="21"/>
                <w:highlight w:val="none"/>
                <w:lang w:val="zh-CN"/>
              </w:rPr>
            </w:pPr>
          </w:p>
        </w:tc>
      </w:tr>
      <w:tr w14:paraId="49892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467" w:type="dxa"/>
            <w:shd w:val="clear" w:color="auto" w:fill="auto"/>
            <w:vAlign w:val="center"/>
          </w:tcPr>
          <w:p w14:paraId="5650F3E0">
            <w:pPr>
              <w:pStyle w:val="49"/>
              <w:numPr>
                <w:ilvl w:val="0"/>
                <w:numId w:val="0"/>
              </w:numPr>
              <w:ind w:left="420" w:leftChars="0" w:hanging="420" w:firstLineChars="0"/>
              <w:jc w:val="center"/>
              <w:rPr>
                <w:rFonts w:hint="eastAsia" w:ascii="宋体" w:hAnsi="宋体" w:eastAsia="宋体" w:cs="宋体"/>
                <w:i w:val="0"/>
                <w:iCs w:val="0"/>
                <w:color w:val="auto"/>
                <w:kern w:val="2"/>
                <w:sz w:val="21"/>
                <w:szCs w:val="21"/>
                <w:highlight w:val="none"/>
                <w:lang w:val="zh-CN" w:eastAsia="zh-CN" w:bidi="ar-SA"/>
              </w:rPr>
            </w:pPr>
            <w:r>
              <w:rPr>
                <w:rFonts w:hint="eastAsia" w:cs="宋体"/>
                <w:i w:val="0"/>
                <w:iCs w:val="0"/>
                <w:color w:val="auto"/>
                <w:kern w:val="2"/>
                <w:sz w:val="21"/>
                <w:szCs w:val="21"/>
                <w:highlight w:val="none"/>
                <w:lang w:val="en-US" w:eastAsia="zh-CN" w:bidi="ar-SA"/>
              </w:rPr>
              <w:t>5</w:t>
            </w:r>
          </w:p>
        </w:tc>
        <w:tc>
          <w:tcPr>
            <w:tcW w:w="2003" w:type="dxa"/>
            <w:vAlign w:val="center"/>
          </w:tcPr>
          <w:p w14:paraId="05889676">
            <w:pPr>
              <w:pStyle w:val="4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磋商保证金</w:t>
            </w:r>
          </w:p>
        </w:tc>
        <w:tc>
          <w:tcPr>
            <w:tcW w:w="4583" w:type="dxa"/>
            <w:shd w:val="clear" w:color="auto" w:fill="auto"/>
            <w:vAlign w:val="center"/>
          </w:tcPr>
          <w:p w14:paraId="2817C9FA">
            <w:pPr>
              <w:pStyle w:val="49"/>
              <w:rPr>
                <w:rFonts w:hint="eastAsia" w:ascii="宋体" w:hAnsi="宋体" w:eastAsia="宋体" w:cs="宋体"/>
                <w:i w:val="0"/>
                <w:iCs w:val="0"/>
                <w:color w:val="auto"/>
                <w:kern w:val="2"/>
                <w:sz w:val="21"/>
                <w:szCs w:val="21"/>
                <w:highlight w:val="none"/>
                <w:lang w:val="zh-CN" w:eastAsia="zh-CN" w:bidi="ar-SA"/>
              </w:rPr>
            </w:pPr>
            <w:r>
              <w:rPr>
                <w:rFonts w:hint="eastAsia" w:ascii="宋体" w:hAnsi="宋体" w:eastAsia="宋体" w:cs="宋体"/>
                <w:i w:val="0"/>
                <w:iCs w:val="0"/>
                <w:color w:val="auto"/>
                <w:sz w:val="21"/>
                <w:szCs w:val="21"/>
                <w:highlight w:val="none"/>
                <w:lang w:val="en-US" w:eastAsia="zh-CN"/>
              </w:rPr>
              <w:t>磋商文件规定应当缴纳的，供应商按磋商文件的规定缴纳磋商保证金的</w:t>
            </w:r>
          </w:p>
        </w:tc>
        <w:tc>
          <w:tcPr>
            <w:tcW w:w="853" w:type="dxa"/>
            <w:shd w:val="clear" w:color="auto" w:fill="auto"/>
            <w:vAlign w:val="center"/>
          </w:tcPr>
          <w:p w14:paraId="3428EA7F">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626228BB">
            <w:pPr>
              <w:pStyle w:val="49"/>
              <w:rPr>
                <w:rFonts w:hint="eastAsia" w:ascii="宋体" w:hAnsi="宋体" w:eastAsia="宋体" w:cs="宋体"/>
                <w:i w:val="0"/>
                <w:iCs w:val="0"/>
                <w:color w:val="auto"/>
                <w:sz w:val="21"/>
                <w:szCs w:val="21"/>
                <w:highlight w:val="none"/>
                <w:lang w:val="zh-CN"/>
              </w:rPr>
            </w:pPr>
          </w:p>
        </w:tc>
      </w:tr>
      <w:tr w14:paraId="5B9F2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467" w:type="dxa"/>
            <w:shd w:val="clear" w:color="auto" w:fill="auto"/>
            <w:vAlign w:val="center"/>
          </w:tcPr>
          <w:p w14:paraId="2AF87EB5">
            <w:pPr>
              <w:pStyle w:val="49"/>
              <w:numPr>
                <w:ilvl w:val="0"/>
                <w:numId w:val="0"/>
              </w:numPr>
              <w:ind w:left="0" w:leftChars="0" w:firstLine="0" w:firstLineChars="0"/>
              <w:jc w:val="center"/>
              <w:rPr>
                <w:rFonts w:hint="eastAsia" w:ascii="宋体" w:hAnsi="宋体" w:eastAsia="宋体" w:cs="宋体"/>
                <w:i w:val="0"/>
                <w:iCs w:val="0"/>
                <w:color w:val="auto"/>
                <w:kern w:val="2"/>
                <w:sz w:val="21"/>
                <w:szCs w:val="21"/>
                <w:highlight w:val="none"/>
                <w:lang w:val="zh-CN" w:eastAsia="zh-CN" w:bidi="ar-SA"/>
              </w:rPr>
            </w:pPr>
            <w:r>
              <w:rPr>
                <w:rFonts w:hint="eastAsia" w:cs="宋体"/>
                <w:i w:val="0"/>
                <w:iCs w:val="0"/>
                <w:color w:val="auto"/>
                <w:sz w:val="21"/>
                <w:szCs w:val="21"/>
                <w:highlight w:val="none"/>
                <w:lang w:val="en-US" w:eastAsia="zh-CN"/>
              </w:rPr>
              <w:t>6</w:t>
            </w:r>
          </w:p>
        </w:tc>
        <w:tc>
          <w:tcPr>
            <w:tcW w:w="2003" w:type="dxa"/>
            <w:vAlign w:val="center"/>
          </w:tcPr>
          <w:p w14:paraId="14AFF26A">
            <w:pPr>
              <w:pStyle w:val="4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响应文件的澄清、说明、补正</w:t>
            </w:r>
          </w:p>
        </w:tc>
        <w:tc>
          <w:tcPr>
            <w:tcW w:w="4583" w:type="dxa"/>
            <w:shd w:val="clear" w:color="auto" w:fill="auto"/>
            <w:vAlign w:val="center"/>
          </w:tcPr>
          <w:p w14:paraId="4137F6DB">
            <w:pPr>
              <w:pStyle w:val="49"/>
              <w:rPr>
                <w:rFonts w:hint="eastAsia" w:ascii="宋体" w:hAnsi="宋体" w:eastAsia="宋体" w:cs="宋体"/>
                <w:i w:val="0"/>
                <w:iCs w:val="0"/>
                <w:color w:val="auto"/>
                <w:kern w:val="2"/>
                <w:sz w:val="21"/>
                <w:szCs w:val="21"/>
                <w:highlight w:val="none"/>
                <w:lang w:val="zh-CN" w:eastAsia="zh-CN" w:bidi="ar-SA"/>
              </w:rPr>
            </w:pPr>
            <w:r>
              <w:rPr>
                <w:rFonts w:hint="eastAsia" w:ascii="宋体" w:hAnsi="宋体" w:eastAsia="宋体" w:cs="宋体"/>
                <w:i w:val="0"/>
                <w:iCs w:val="0"/>
                <w:color w:val="auto"/>
                <w:sz w:val="21"/>
                <w:szCs w:val="21"/>
                <w:highlight w:val="none"/>
                <w:lang w:val="zh-CN" w:eastAsia="zh-CN"/>
              </w:rPr>
              <w:t>评审期间,</w:t>
            </w:r>
            <w:r>
              <w:rPr>
                <w:rFonts w:hint="eastAsia" w:ascii="宋体" w:hAnsi="宋体" w:eastAsia="宋体" w:cs="宋体"/>
                <w:i w:val="0"/>
                <w:iCs w:val="0"/>
                <w:color w:val="auto"/>
                <w:sz w:val="21"/>
                <w:szCs w:val="21"/>
                <w:highlight w:val="none"/>
                <w:lang w:val="en-US" w:eastAsia="zh-CN"/>
              </w:rPr>
              <w:t>供应商</w:t>
            </w:r>
            <w:r>
              <w:rPr>
                <w:rFonts w:hint="eastAsia" w:ascii="宋体" w:hAnsi="宋体" w:eastAsia="宋体" w:cs="宋体"/>
                <w:i w:val="0"/>
                <w:iCs w:val="0"/>
                <w:color w:val="auto"/>
                <w:sz w:val="21"/>
                <w:szCs w:val="21"/>
                <w:highlight w:val="none"/>
                <w:lang w:val="zh-CN" w:eastAsia="zh-CN"/>
              </w:rPr>
              <w:t>按磋商小组的要求提交经授权代表签字的澄清、说明、更正且澄清、说明、更正未超出响应文件范围或</w:t>
            </w:r>
            <w:r>
              <w:rPr>
                <w:rFonts w:hint="eastAsia" w:ascii="宋体" w:hAnsi="宋体" w:eastAsia="宋体" w:cs="宋体"/>
                <w:i w:val="0"/>
                <w:iCs w:val="0"/>
                <w:color w:val="auto"/>
                <w:sz w:val="21"/>
                <w:szCs w:val="21"/>
                <w:highlight w:val="none"/>
                <w:lang w:val="en-US" w:eastAsia="zh-CN"/>
              </w:rPr>
              <w:t>未</w:t>
            </w:r>
            <w:r>
              <w:rPr>
                <w:rFonts w:hint="eastAsia" w:ascii="宋体" w:hAnsi="宋体" w:eastAsia="宋体" w:cs="宋体"/>
                <w:i w:val="0"/>
                <w:iCs w:val="0"/>
                <w:color w:val="auto"/>
                <w:sz w:val="21"/>
                <w:szCs w:val="21"/>
                <w:highlight w:val="none"/>
                <w:lang w:val="zh-CN" w:eastAsia="zh-CN"/>
              </w:rPr>
              <w:t>改变</w:t>
            </w:r>
            <w:r>
              <w:rPr>
                <w:rFonts w:hint="eastAsia" w:ascii="宋体" w:hAnsi="宋体" w:eastAsia="宋体" w:cs="宋体"/>
                <w:i w:val="0"/>
                <w:iCs w:val="0"/>
                <w:color w:val="auto"/>
                <w:sz w:val="21"/>
                <w:szCs w:val="21"/>
                <w:highlight w:val="none"/>
                <w:lang w:val="en-US" w:eastAsia="zh-CN"/>
              </w:rPr>
              <w:t>响应</w:t>
            </w:r>
            <w:r>
              <w:rPr>
                <w:rFonts w:hint="eastAsia" w:ascii="宋体" w:hAnsi="宋体" w:eastAsia="宋体" w:cs="宋体"/>
                <w:i w:val="0"/>
                <w:iCs w:val="0"/>
                <w:color w:val="auto"/>
                <w:sz w:val="21"/>
                <w:szCs w:val="21"/>
                <w:highlight w:val="none"/>
                <w:lang w:val="zh-CN" w:eastAsia="zh-CN"/>
              </w:rPr>
              <w:t>文件的实质性内容</w:t>
            </w:r>
          </w:p>
        </w:tc>
        <w:tc>
          <w:tcPr>
            <w:tcW w:w="853" w:type="dxa"/>
            <w:shd w:val="clear" w:color="auto" w:fill="auto"/>
            <w:vAlign w:val="center"/>
          </w:tcPr>
          <w:p w14:paraId="4E894C39">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4768E8E7">
            <w:pPr>
              <w:pStyle w:val="49"/>
              <w:rPr>
                <w:rFonts w:hint="eastAsia" w:ascii="宋体" w:hAnsi="宋体" w:eastAsia="宋体" w:cs="宋体"/>
                <w:i w:val="0"/>
                <w:iCs w:val="0"/>
                <w:color w:val="auto"/>
                <w:sz w:val="21"/>
                <w:szCs w:val="21"/>
                <w:highlight w:val="none"/>
                <w:lang w:val="zh-CN"/>
              </w:rPr>
            </w:pPr>
          </w:p>
        </w:tc>
      </w:tr>
      <w:tr w14:paraId="668A2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467" w:type="dxa"/>
            <w:shd w:val="clear" w:color="auto" w:fill="auto"/>
            <w:vAlign w:val="center"/>
          </w:tcPr>
          <w:p w14:paraId="20D6E6D6">
            <w:pPr>
              <w:pStyle w:val="49"/>
              <w:numPr>
                <w:ilvl w:val="0"/>
                <w:numId w:val="0"/>
              </w:numPr>
              <w:ind w:left="420" w:leftChars="0" w:hanging="420" w:firstLineChars="0"/>
              <w:jc w:val="center"/>
              <w:rPr>
                <w:rFonts w:hint="eastAsia" w:ascii="宋体" w:hAnsi="宋体" w:eastAsia="宋体" w:cs="宋体"/>
                <w:i w:val="0"/>
                <w:iCs w:val="0"/>
                <w:color w:val="auto"/>
                <w:kern w:val="2"/>
                <w:sz w:val="21"/>
                <w:szCs w:val="21"/>
                <w:highlight w:val="none"/>
                <w:lang w:val="zh-CN" w:eastAsia="zh-CN" w:bidi="ar-SA"/>
              </w:rPr>
            </w:pPr>
            <w:r>
              <w:rPr>
                <w:rFonts w:hint="eastAsia" w:cs="宋体"/>
                <w:i w:val="0"/>
                <w:iCs w:val="0"/>
                <w:color w:val="auto"/>
                <w:kern w:val="2"/>
                <w:sz w:val="21"/>
                <w:szCs w:val="21"/>
                <w:highlight w:val="none"/>
                <w:lang w:val="en-US" w:eastAsia="zh-CN" w:bidi="ar-SA"/>
              </w:rPr>
              <w:t>7</w:t>
            </w:r>
          </w:p>
        </w:tc>
        <w:tc>
          <w:tcPr>
            <w:tcW w:w="2003" w:type="dxa"/>
            <w:vAlign w:val="center"/>
          </w:tcPr>
          <w:p w14:paraId="04B5D828">
            <w:pPr>
              <w:pStyle w:val="4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供应商影响评审</w:t>
            </w:r>
          </w:p>
        </w:tc>
        <w:tc>
          <w:tcPr>
            <w:tcW w:w="4583" w:type="dxa"/>
            <w:shd w:val="clear" w:color="auto" w:fill="auto"/>
            <w:vAlign w:val="center"/>
          </w:tcPr>
          <w:p w14:paraId="7594EC98">
            <w:pPr>
              <w:pStyle w:val="4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供应商</w:t>
            </w:r>
            <w:r>
              <w:rPr>
                <w:rFonts w:hint="eastAsia" w:ascii="宋体" w:hAnsi="宋体" w:eastAsia="宋体" w:cs="宋体"/>
                <w:i w:val="0"/>
                <w:iCs w:val="0"/>
                <w:color w:val="auto"/>
                <w:sz w:val="21"/>
                <w:szCs w:val="21"/>
                <w:highlight w:val="none"/>
                <w:lang w:val="zh-CN" w:eastAsia="zh-CN"/>
              </w:rPr>
              <w:t>对采购人、采购代理机构、磋商小组及其工作人员</w:t>
            </w:r>
            <w:r>
              <w:rPr>
                <w:rFonts w:hint="eastAsia" w:ascii="宋体" w:hAnsi="宋体" w:eastAsia="宋体" w:cs="宋体"/>
                <w:i w:val="0"/>
                <w:iCs w:val="0"/>
                <w:color w:val="auto"/>
                <w:sz w:val="21"/>
                <w:szCs w:val="21"/>
                <w:highlight w:val="none"/>
                <w:lang w:val="en-US" w:eastAsia="zh-CN"/>
              </w:rPr>
              <w:t>未</w:t>
            </w:r>
            <w:r>
              <w:rPr>
                <w:rFonts w:hint="eastAsia" w:ascii="宋体" w:hAnsi="宋体" w:eastAsia="宋体" w:cs="宋体"/>
                <w:i w:val="0"/>
                <w:iCs w:val="0"/>
                <w:color w:val="auto"/>
                <w:sz w:val="21"/>
                <w:szCs w:val="21"/>
                <w:highlight w:val="none"/>
                <w:lang w:val="zh-CN" w:eastAsia="zh-CN"/>
              </w:rPr>
              <w:t>施加影响,</w:t>
            </w:r>
            <w:r>
              <w:rPr>
                <w:rFonts w:hint="eastAsia" w:ascii="宋体" w:hAnsi="宋体" w:eastAsia="宋体" w:cs="宋体"/>
                <w:i w:val="0"/>
                <w:iCs w:val="0"/>
                <w:color w:val="auto"/>
                <w:sz w:val="21"/>
                <w:szCs w:val="21"/>
                <w:highlight w:val="none"/>
                <w:lang w:val="en-US" w:eastAsia="zh-CN"/>
              </w:rPr>
              <w:t>无</w:t>
            </w:r>
            <w:r>
              <w:rPr>
                <w:rFonts w:hint="eastAsia" w:ascii="宋体" w:hAnsi="宋体" w:eastAsia="宋体" w:cs="宋体"/>
                <w:i w:val="0"/>
                <w:iCs w:val="0"/>
                <w:color w:val="auto"/>
                <w:sz w:val="21"/>
                <w:szCs w:val="21"/>
                <w:highlight w:val="none"/>
                <w:lang w:val="zh-CN" w:eastAsia="zh-CN"/>
              </w:rPr>
              <w:t>有碍公平、公正</w:t>
            </w:r>
            <w:r>
              <w:rPr>
                <w:rFonts w:hint="eastAsia" w:ascii="宋体" w:hAnsi="宋体" w:eastAsia="宋体" w:cs="宋体"/>
                <w:i w:val="0"/>
                <w:iCs w:val="0"/>
                <w:color w:val="auto"/>
                <w:sz w:val="21"/>
                <w:szCs w:val="21"/>
                <w:highlight w:val="none"/>
                <w:lang w:val="en-US" w:eastAsia="zh-CN"/>
              </w:rPr>
              <w:t>行为的</w:t>
            </w:r>
          </w:p>
        </w:tc>
        <w:tc>
          <w:tcPr>
            <w:tcW w:w="853" w:type="dxa"/>
            <w:shd w:val="clear" w:color="auto" w:fill="auto"/>
            <w:vAlign w:val="center"/>
          </w:tcPr>
          <w:p w14:paraId="75D95297">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75CA4FCB">
            <w:pPr>
              <w:pStyle w:val="49"/>
              <w:rPr>
                <w:rFonts w:hint="eastAsia" w:ascii="宋体" w:hAnsi="宋体" w:eastAsia="宋体" w:cs="宋体"/>
                <w:i w:val="0"/>
                <w:iCs w:val="0"/>
                <w:color w:val="auto"/>
                <w:sz w:val="21"/>
                <w:szCs w:val="21"/>
                <w:highlight w:val="none"/>
                <w:lang w:val="zh-CN"/>
              </w:rPr>
            </w:pPr>
          </w:p>
        </w:tc>
      </w:tr>
      <w:tr w14:paraId="5DA9A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467" w:type="dxa"/>
            <w:shd w:val="clear" w:color="auto" w:fill="auto"/>
            <w:vAlign w:val="center"/>
          </w:tcPr>
          <w:p w14:paraId="654D93D9">
            <w:pPr>
              <w:pStyle w:val="49"/>
              <w:numPr>
                <w:ilvl w:val="0"/>
                <w:numId w:val="0"/>
              </w:numPr>
              <w:ind w:left="420" w:leftChars="0" w:hanging="420" w:firstLineChars="0"/>
              <w:jc w:val="center"/>
              <w:rPr>
                <w:rFonts w:hint="default" w:cs="宋体"/>
                <w:i w:val="0"/>
                <w:iCs w:val="0"/>
                <w:color w:val="auto"/>
                <w:kern w:val="2"/>
                <w:sz w:val="21"/>
                <w:szCs w:val="21"/>
                <w:highlight w:val="none"/>
                <w:lang w:val="en-US" w:eastAsia="zh-CN" w:bidi="ar-SA"/>
              </w:rPr>
            </w:pPr>
            <w:r>
              <w:rPr>
                <w:rFonts w:hint="eastAsia" w:cs="宋体"/>
                <w:i w:val="0"/>
                <w:iCs w:val="0"/>
                <w:color w:val="auto"/>
                <w:kern w:val="2"/>
                <w:sz w:val="21"/>
                <w:szCs w:val="21"/>
                <w:highlight w:val="none"/>
                <w:lang w:val="en-US" w:eastAsia="zh-CN" w:bidi="ar-SA"/>
              </w:rPr>
              <w:t>8</w:t>
            </w:r>
          </w:p>
        </w:tc>
        <w:tc>
          <w:tcPr>
            <w:tcW w:w="2003" w:type="dxa"/>
            <w:vAlign w:val="center"/>
          </w:tcPr>
          <w:p w14:paraId="1998EADB">
            <w:pPr>
              <w:pStyle w:val="77"/>
              <w:spacing w:line="360" w:lineRule="exact"/>
              <w:jc w:val="both"/>
              <w:rPr>
                <w:rFonts w:hint="eastAsia" w:ascii="宋体" w:hAnsi="宋体" w:eastAsia="宋体" w:cs="宋体"/>
                <w:i w:val="0"/>
                <w:iCs w:val="0"/>
                <w:color w:val="auto"/>
                <w:sz w:val="21"/>
                <w:szCs w:val="21"/>
                <w:highlight w:val="none"/>
                <w:lang w:val="en-US" w:eastAsia="zh-CN"/>
              </w:rPr>
            </w:pPr>
            <w:r>
              <w:rPr>
                <w:rFonts w:hint="eastAsia" w:ascii="宋体" w:hAnsi="宋体" w:cs="宋体"/>
                <w:sz w:val="22"/>
                <w:szCs w:val="28"/>
                <w:highlight w:val="none"/>
              </w:rPr>
              <w:t>其他实质性要求</w:t>
            </w:r>
          </w:p>
        </w:tc>
        <w:tc>
          <w:tcPr>
            <w:tcW w:w="4583" w:type="dxa"/>
            <w:shd w:val="clear" w:color="auto" w:fill="auto"/>
            <w:vAlign w:val="center"/>
          </w:tcPr>
          <w:p w14:paraId="39AF3AC8">
            <w:pPr>
              <w:pStyle w:val="77"/>
              <w:spacing w:line="360" w:lineRule="exact"/>
              <w:rPr>
                <w:rFonts w:hint="eastAsia" w:ascii="宋体" w:hAnsi="宋体" w:eastAsia="宋体" w:cs="宋体"/>
                <w:i w:val="0"/>
                <w:iCs w:val="0"/>
                <w:color w:val="auto"/>
                <w:sz w:val="21"/>
                <w:szCs w:val="21"/>
                <w:highlight w:val="none"/>
                <w:lang w:val="en-US" w:eastAsia="zh-CN"/>
              </w:rPr>
            </w:pPr>
            <w:r>
              <w:rPr>
                <w:rFonts w:hint="eastAsia" w:ascii="宋体" w:hAnsi="宋体" w:cs="宋体"/>
                <w:sz w:val="22"/>
                <w:szCs w:val="28"/>
                <w:highlight w:val="none"/>
              </w:rPr>
              <w:t>响应文件未出现不满足</w:t>
            </w:r>
            <w:r>
              <w:rPr>
                <w:rFonts w:hint="eastAsia" w:ascii="宋体" w:hAnsi="宋体" w:cs="宋体"/>
                <w:sz w:val="22"/>
                <w:szCs w:val="28"/>
                <w:highlight w:val="none"/>
                <w:lang w:val="en-US" w:eastAsia="zh-CN"/>
              </w:rPr>
              <w:t>磋商</w:t>
            </w:r>
            <w:r>
              <w:rPr>
                <w:rFonts w:hint="eastAsia" w:ascii="宋体" w:hAnsi="宋体" w:cs="宋体"/>
                <w:sz w:val="22"/>
                <w:szCs w:val="28"/>
                <w:highlight w:val="none"/>
              </w:rPr>
              <w:t>文件中带"★"号</w:t>
            </w:r>
            <w:r>
              <w:rPr>
                <w:rFonts w:hint="eastAsia" w:ascii="宋体" w:hAnsi="宋体" w:cs="宋体"/>
                <w:sz w:val="22"/>
                <w:szCs w:val="28"/>
                <w:highlight w:val="none"/>
                <w:lang w:val="en-US" w:eastAsia="zh-CN"/>
              </w:rPr>
              <w:t>的</w:t>
            </w:r>
            <w:r>
              <w:rPr>
                <w:rFonts w:hint="eastAsia" w:ascii="宋体" w:hAnsi="宋体" w:cs="宋体"/>
                <w:sz w:val="22"/>
                <w:szCs w:val="28"/>
                <w:highlight w:val="none"/>
              </w:rPr>
              <w:t>实质性条款</w:t>
            </w:r>
            <w:r>
              <w:rPr>
                <w:rFonts w:hint="eastAsia" w:ascii="宋体" w:hAnsi="宋体" w:cs="宋体"/>
                <w:sz w:val="22"/>
                <w:szCs w:val="28"/>
                <w:highlight w:val="none"/>
                <w:lang w:val="en-US" w:eastAsia="zh-CN"/>
              </w:rPr>
              <w:t>及</w:t>
            </w:r>
            <w:r>
              <w:rPr>
                <w:rFonts w:ascii="宋体" w:hAnsi="宋体" w:eastAsia="宋体" w:cs="宋体"/>
                <w:snapToGrid w:val="0"/>
                <w:color w:val="000000"/>
                <w:spacing w:val="9"/>
                <w:kern w:val="0"/>
                <w:sz w:val="22"/>
                <w:szCs w:val="22"/>
                <w:highlight w:val="none"/>
                <w:lang w:eastAsia="en-US"/>
              </w:rPr>
              <w:t>法律、法规和</w:t>
            </w:r>
            <w:r>
              <w:rPr>
                <w:rFonts w:hint="eastAsia" w:ascii="宋体" w:hAnsi="宋体" w:eastAsia="宋体" w:cs="宋体"/>
                <w:snapToGrid w:val="0"/>
                <w:color w:val="000000"/>
                <w:spacing w:val="9"/>
                <w:kern w:val="0"/>
                <w:sz w:val="22"/>
                <w:szCs w:val="22"/>
                <w:highlight w:val="none"/>
                <w:lang w:val="en-US" w:eastAsia="zh-CN"/>
              </w:rPr>
              <w:t>磋商</w:t>
            </w:r>
            <w:r>
              <w:rPr>
                <w:rFonts w:ascii="宋体" w:hAnsi="宋体" w:eastAsia="宋体" w:cs="宋体"/>
                <w:snapToGrid w:val="0"/>
                <w:color w:val="000000"/>
                <w:spacing w:val="9"/>
                <w:kern w:val="0"/>
                <w:sz w:val="22"/>
                <w:szCs w:val="22"/>
                <w:highlight w:val="none"/>
                <w:lang w:eastAsia="en-US"/>
              </w:rPr>
              <w:t>文件规定的其他实质性要求，须附承诺书</w:t>
            </w:r>
            <w:r>
              <w:rPr>
                <w:rFonts w:hint="eastAsia" w:ascii="宋体" w:hAnsi="宋体" w:eastAsia="宋体" w:cs="宋体"/>
                <w:snapToGrid w:val="0"/>
                <w:color w:val="000000"/>
                <w:spacing w:val="9"/>
                <w:kern w:val="0"/>
                <w:sz w:val="22"/>
                <w:szCs w:val="22"/>
                <w:highlight w:val="none"/>
                <w:lang w:val="en-US" w:eastAsia="zh-CN"/>
              </w:rPr>
              <w:t>并</w:t>
            </w:r>
            <w:r>
              <w:rPr>
                <w:rFonts w:ascii="宋体" w:hAnsi="宋体" w:eastAsia="宋体" w:cs="宋体"/>
                <w:snapToGrid w:val="0"/>
                <w:color w:val="000000"/>
                <w:spacing w:val="9"/>
                <w:kern w:val="0"/>
                <w:sz w:val="22"/>
                <w:szCs w:val="22"/>
                <w:highlight w:val="none"/>
                <w:lang w:eastAsia="en-US"/>
              </w:rPr>
              <w:t>加盖公章</w:t>
            </w:r>
          </w:p>
        </w:tc>
        <w:tc>
          <w:tcPr>
            <w:tcW w:w="853" w:type="dxa"/>
            <w:shd w:val="clear" w:color="auto" w:fill="auto"/>
            <w:vAlign w:val="center"/>
          </w:tcPr>
          <w:p w14:paraId="5F527A63">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4F952D35">
            <w:pPr>
              <w:pStyle w:val="49"/>
              <w:rPr>
                <w:rFonts w:hint="eastAsia" w:ascii="宋体" w:hAnsi="宋体" w:eastAsia="宋体" w:cs="宋体"/>
                <w:i w:val="0"/>
                <w:iCs w:val="0"/>
                <w:color w:val="auto"/>
                <w:sz w:val="21"/>
                <w:szCs w:val="21"/>
                <w:highlight w:val="none"/>
                <w:lang w:val="zh-CN"/>
              </w:rPr>
            </w:pPr>
          </w:p>
        </w:tc>
      </w:tr>
      <w:tr w14:paraId="125BC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467" w:type="dxa"/>
            <w:shd w:val="clear" w:color="auto" w:fill="auto"/>
            <w:vAlign w:val="center"/>
          </w:tcPr>
          <w:p w14:paraId="7A3834F0">
            <w:pPr>
              <w:pStyle w:val="49"/>
              <w:numPr>
                <w:ilvl w:val="0"/>
                <w:numId w:val="0"/>
              </w:numPr>
              <w:ind w:left="420" w:leftChars="0" w:hanging="420" w:firstLineChars="0"/>
              <w:jc w:val="center"/>
              <w:rPr>
                <w:rFonts w:hint="default" w:ascii="宋体" w:hAnsi="宋体" w:eastAsia="宋体" w:cs="宋体"/>
                <w:i w:val="0"/>
                <w:iCs w:val="0"/>
                <w:color w:val="auto"/>
                <w:kern w:val="2"/>
                <w:sz w:val="21"/>
                <w:szCs w:val="21"/>
                <w:highlight w:val="none"/>
                <w:lang w:val="en-US" w:eastAsia="zh-CN" w:bidi="ar-SA"/>
              </w:rPr>
            </w:pPr>
            <w:r>
              <w:rPr>
                <w:rFonts w:hint="eastAsia" w:cs="宋体"/>
                <w:i w:val="0"/>
                <w:iCs w:val="0"/>
                <w:color w:val="auto"/>
                <w:kern w:val="2"/>
                <w:sz w:val="21"/>
                <w:szCs w:val="21"/>
                <w:highlight w:val="none"/>
                <w:lang w:val="en-US" w:eastAsia="zh-CN" w:bidi="ar-SA"/>
              </w:rPr>
              <w:t>9</w:t>
            </w:r>
          </w:p>
        </w:tc>
        <w:tc>
          <w:tcPr>
            <w:tcW w:w="2003" w:type="dxa"/>
            <w:vAlign w:val="center"/>
          </w:tcPr>
          <w:p w14:paraId="4F3359C4">
            <w:pPr>
              <w:pStyle w:val="4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附加条件</w:t>
            </w:r>
          </w:p>
        </w:tc>
        <w:tc>
          <w:tcPr>
            <w:tcW w:w="4583" w:type="dxa"/>
            <w:shd w:val="clear" w:color="auto" w:fill="auto"/>
            <w:vAlign w:val="center"/>
          </w:tcPr>
          <w:p w14:paraId="19721043">
            <w:pPr>
              <w:pStyle w:val="4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响应文件没有采购人不能接受的附加条件的</w:t>
            </w:r>
          </w:p>
        </w:tc>
        <w:tc>
          <w:tcPr>
            <w:tcW w:w="853" w:type="dxa"/>
            <w:shd w:val="clear" w:color="auto" w:fill="auto"/>
            <w:vAlign w:val="center"/>
          </w:tcPr>
          <w:p w14:paraId="057E18CD">
            <w:pPr>
              <w:pStyle w:val="49"/>
              <w:rPr>
                <w:rFonts w:hint="eastAsia" w:ascii="宋体" w:hAnsi="宋体" w:eastAsia="宋体" w:cs="宋体"/>
                <w:i w:val="0"/>
                <w:iCs w:val="0"/>
                <w:color w:val="auto"/>
                <w:sz w:val="21"/>
                <w:szCs w:val="21"/>
                <w:highlight w:val="none"/>
                <w:lang w:val="zh-CN"/>
              </w:rPr>
            </w:pPr>
          </w:p>
        </w:tc>
        <w:tc>
          <w:tcPr>
            <w:tcW w:w="850" w:type="dxa"/>
            <w:shd w:val="clear" w:color="auto" w:fill="auto"/>
            <w:vAlign w:val="center"/>
          </w:tcPr>
          <w:p w14:paraId="0B880228">
            <w:pPr>
              <w:pStyle w:val="49"/>
              <w:rPr>
                <w:rFonts w:hint="eastAsia" w:ascii="宋体" w:hAnsi="宋体" w:eastAsia="宋体" w:cs="宋体"/>
                <w:i w:val="0"/>
                <w:iCs w:val="0"/>
                <w:color w:val="auto"/>
                <w:sz w:val="21"/>
                <w:szCs w:val="21"/>
                <w:highlight w:val="none"/>
                <w:lang w:val="zh-CN"/>
              </w:rPr>
            </w:pPr>
          </w:p>
        </w:tc>
      </w:tr>
    </w:tbl>
    <w:p w14:paraId="65720328">
      <w:pPr>
        <w:shd w:val="clear" w:color="auto" w:fill="FFFFFF"/>
        <w:tabs>
          <w:tab w:val="left" w:pos="3045"/>
        </w:tabs>
        <w:autoSpaceDE w:val="0"/>
        <w:autoSpaceDN w:val="0"/>
        <w:adjustRightInd w:val="0"/>
        <w:snapToGrid w:val="0"/>
        <w:spacing w:line="360" w:lineRule="exact"/>
        <w:rPr>
          <w:rFonts w:hint="eastAsia" w:ascii="宋体" w:hAnsi="宋体" w:cs="宋体"/>
          <w:b/>
          <w:i w:val="0"/>
          <w:iCs w:val="0"/>
          <w:color w:val="auto"/>
          <w:sz w:val="24"/>
          <w:highlight w:val="none"/>
        </w:rPr>
      </w:pPr>
    </w:p>
    <w:p w14:paraId="2DEF2993">
      <w:pPr>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br w:type="page"/>
      </w:r>
    </w:p>
    <w:p w14:paraId="6DC1E375">
      <w:pPr>
        <w:pStyle w:val="6"/>
        <w:keepNext w:val="0"/>
        <w:keepLines w:val="0"/>
        <w:pageBreakBefore w:val="0"/>
        <w:widowControl w:val="0"/>
        <w:numPr>
          <w:ilvl w:val="0"/>
          <w:numId w:val="0"/>
        </w:numPr>
        <w:kinsoku/>
        <w:wordWrap/>
        <w:overflowPunct/>
        <w:topLinePunct w:val="0"/>
        <w:autoSpaceDE/>
        <w:autoSpaceDN/>
        <w:bidi w:val="0"/>
        <w:adjustRightInd/>
        <w:snapToGrid/>
        <w:spacing w:before="160" w:after="160" w:line="360" w:lineRule="auto"/>
        <w:ind w:left="420" w:leftChars="0" w:hanging="420" w:firstLineChars="0"/>
        <w:textAlignment w:val="auto"/>
        <w:rPr>
          <w:rFonts w:hint="default"/>
          <w:i w:val="0"/>
          <w:iCs w:val="0"/>
          <w:color w:val="auto"/>
          <w:sz w:val="21"/>
          <w:szCs w:val="21"/>
          <w:highlight w:val="none"/>
          <w:lang w:val="en-US" w:eastAsia="zh-CN"/>
        </w:rPr>
      </w:pPr>
      <w:r>
        <w:rPr>
          <w:rFonts w:hint="eastAsia" w:ascii="宋体" w:hAnsi="宋体" w:eastAsia="宋体" w:cs="宋体"/>
          <w:b/>
          <w:bCs/>
          <w:i w:val="0"/>
          <w:iCs w:val="0"/>
          <w:color w:val="auto"/>
          <w:kern w:val="2"/>
          <w:sz w:val="24"/>
          <w:szCs w:val="24"/>
          <w:highlight w:val="none"/>
          <w:lang w:val="en-US" w:eastAsia="zh-CN" w:bidi="ar-SA"/>
        </w:rPr>
        <w:t>（三）</w:t>
      </w:r>
      <w:r>
        <w:rPr>
          <w:rFonts w:hint="eastAsia" w:ascii="宋体" w:hAnsi="宋体" w:eastAsia="宋体" w:cs="宋体"/>
          <w:b/>
          <w:bCs/>
          <w:i w:val="0"/>
          <w:iCs w:val="0"/>
          <w:color w:val="auto"/>
          <w:kern w:val="2"/>
          <w:sz w:val="24"/>
          <w:szCs w:val="24"/>
          <w:highlight w:val="none"/>
          <w:lang w:val="zh-CN" w:eastAsia="zh-CN" w:bidi="ar-SA"/>
        </w:rPr>
        <w:t>评分标准</w:t>
      </w:r>
      <w:bookmarkEnd w:id="466"/>
    </w:p>
    <w:tbl>
      <w:tblPr>
        <w:tblStyle w:val="31"/>
        <w:tblpPr w:leftFromText="180" w:rightFromText="180" w:vertAnchor="text" w:horzAnchor="page" w:tblpX="1124" w:tblpY="253"/>
        <w:tblOverlap w:val="never"/>
        <w:tblW w:w="9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1063"/>
        <w:gridCol w:w="987"/>
        <w:gridCol w:w="5900"/>
        <w:gridCol w:w="1035"/>
      </w:tblGrid>
      <w:tr w14:paraId="6704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690" w:type="dxa"/>
            <w:tcBorders>
              <w:tl2br w:val="nil"/>
              <w:tr2bl w:val="nil"/>
            </w:tcBorders>
            <w:noWrap w:val="0"/>
            <w:tcMar>
              <w:top w:w="15" w:type="dxa"/>
              <w:left w:w="15" w:type="dxa"/>
              <w:right w:w="15" w:type="dxa"/>
            </w:tcMar>
            <w:vAlign w:val="center"/>
          </w:tcPr>
          <w:p w14:paraId="4C687A8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bookmarkStart w:id="467" w:name="_Toc383"/>
            <w:r>
              <w:rPr>
                <w:rFonts w:hint="eastAsia" w:ascii="宋体" w:hAnsi="宋体" w:eastAsia="宋体" w:cs="宋体"/>
                <w:i w:val="0"/>
                <w:iCs w:val="0"/>
                <w:color w:val="auto"/>
                <w:kern w:val="2"/>
                <w:sz w:val="21"/>
                <w:szCs w:val="21"/>
                <w:highlight w:val="none"/>
                <w:lang w:val="en-US" w:eastAsia="zh-CN" w:bidi="ar-SA"/>
              </w:rPr>
              <w:t>序号</w:t>
            </w:r>
          </w:p>
        </w:tc>
        <w:tc>
          <w:tcPr>
            <w:tcW w:w="1063" w:type="dxa"/>
            <w:tcBorders>
              <w:tl2br w:val="nil"/>
              <w:tr2bl w:val="nil"/>
            </w:tcBorders>
            <w:noWrap w:val="0"/>
            <w:tcMar>
              <w:top w:w="15" w:type="dxa"/>
              <w:left w:w="15" w:type="dxa"/>
              <w:right w:w="15" w:type="dxa"/>
            </w:tcMar>
            <w:vAlign w:val="center"/>
          </w:tcPr>
          <w:p w14:paraId="08C32E6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评分因素</w:t>
            </w:r>
          </w:p>
        </w:tc>
        <w:tc>
          <w:tcPr>
            <w:tcW w:w="987" w:type="dxa"/>
            <w:tcBorders>
              <w:tl2br w:val="nil"/>
              <w:tr2bl w:val="nil"/>
            </w:tcBorders>
            <w:noWrap w:val="0"/>
            <w:tcMar>
              <w:top w:w="15" w:type="dxa"/>
              <w:left w:w="15" w:type="dxa"/>
              <w:right w:w="15" w:type="dxa"/>
            </w:tcMar>
            <w:vAlign w:val="center"/>
          </w:tcPr>
          <w:p w14:paraId="580E3DD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评分点</w:t>
            </w:r>
          </w:p>
        </w:tc>
        <w:tc>
          <w:tcPr>
            <w:tcW w:w="5900" w:type="dxa"/>
            <w:tcBorders>
              <w:tl2br w:val="nil"/>
              <w:tr2bl w:val="nil"/>
            </w:tcBorders>
            <w:noWrap w:val="0"/>
            <w:tcMar>
              <w:top w:w="15" w:type="dxa"/>
              <w:left w:w="15" w:type="dxa"/>
              <w:right w:w="15" w:type="dxa"/>
            </w:tcMar>
            <w:vAlign w:val="center"/>
          </w:tcPr>
          <w:p w14:paraId="49DCB53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要求</w:t>
            </w:r>
          </w:p>
        </w:tc>
        <w:tc>
          <w:tcPr>
            <w:tcW w:w="1035" w:type="dxa"/>
            <w:tcBorders>
              <w:tl2br w:val="nil"/>
              <w:tr2bl w:val="nil"/>
            </w:tcBorders>
            <w:noWrap w:val="0"/>
            <w:tcMar>
              <w:top w:w="15" w:type="dxa"/>
              <w:left w:w="15" w:type="dxa"/>
              <w:right w:w="15" w:type="dxa"/>
            </w:tcMar>
            <w:vAlign w:val="center"/>
          </w:tcPr>
          <w:p w14:paraId="56844AD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zh-CN" w:eastAsia="zh-CN" w:bidi="ar-SA"/>
              </w:rPr>
            </w:pPr>
            <w:r>
              <w:rPr>
                <w:rFonts w:hint="eastAsia" w:ascii="宋体" w:hAnsi="宋体" w:eastAsia="宋体" w:cs="宋体"/>
                <w:i w:val="0"/>
                <w:iCs w:val="0"/>
                <w:color w:val="auto"/>
                <w:kern w:val="2"/>
                <w:sz w:val="21"/>
                <w:szCs w:val="21"/>
                <w:highlight w:val="none"/>
                <w:lang w:val="zh-CN" w:eastAsia="zh-CN" w:bidi="ar-SA"/>
              </w:rPr>
              <w:t>标准分值</w:t>
            </w:r>
          </w:p>
        </w:tc>
      </w:tr>
      <w:tr w14:paraId="010E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0" w:hRule="atLeast"/>
        </w:trPr>
        <w:tc>
          <w:tcPr>
            <w:tcW w:w="690" w:type="dxa"/>
            <w:tcBorders>
              <w:tl2br w:val="nil"/>
              <w:tr2bl w:val="nil"/>
            </w:tcBorders>
            <w:noWrap w:val="0"/>
            <w:tcMar>
              <w:top w:w="15" w:type="dxa"/>
              <w:left w:w="15" w:type="dxa"/>
              <w:right w:w="15" w:type="dxa"/>
            </w:tcMar>
            <w:vAlign w:val="center"/>
          </w:tcPr>
          <w:p w14:paraId="4F59185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一</w:t>
            </w:r>
          </w:p>
        </w:tc>
        <w:tc>
          <w:tcPr>
            <w:tcW w:w="1063" w:type="dxa"/>
            <w:tcBorders>
              <w:tl2br w:val="nil"/>
              <w:tr2bl w:val="nil"/>
            </w:tcBorders>
            <w:noWrap w:val="0"/>
            <w:tcMar>
              <w:top w:w="15" w:type="dxa"/>
              <w:left w:w="15" w:type="dxa"/>
              <w:right w:w="15" w:type="dxa"/>
            </w:tcMar>
            <w:vAlign w:val="center"/>
          </w:tcPr>
          <w:p w14:paraId="7B0D7C0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价格评审</w:t>
            </w:r>
            <w:r>
              <w:rPr>
                <w:rFonts w:hint="eastAsia" w:ascii="宋体" w:hAnsi="宋体" w:eastAsia="宋体" w:cs="宋体"/>
                <w:i w:val="0"/>
                <w:iCs w:val="0"/>
                <w:color w:val="auto"/>
                <w:kern w:val="2"/>
                <w:sz w:val="21"/>
                <w:szCs w:val="21"/>
                <w:highlight w:val="none"/>
                <w:lang w:val="en-US" w:eastAsia="zh-CN" w:bidi="ar-SA"/>
              </w:rPr>
              <w:br w:type="textWrapping"/>
            </w:r>
          </w:p>
        </w:tc>
        <w:tc>
          <w:tcPr>
            <w:tcW w:w="987" w:type="dxa"/>
            <w:tcBorders>
              <w:tl2br w:val="nil"/>
              <w:tr2bl w:val="nil"/>
            </w:tcBorders>
            <w:noWrap w:val="0"/>
            <w:tcMar>
              <w:top w:w="15" w:type="dxa"/>
              <w:left w:w="15" w:type="dxa"/>
              <w:right w:w="15" w:type="dxa"/>
            </w:tcMar>
            <w:vAlign w:val="center"/>
          </w:tcPr>
          <w:p w14:paraId="4F74605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磋商报价</w:t>
            </w:r>
          </w:p>
        </w:tc>
        <w:tc>
          <w:tcPr>
            <w:tcW w:w="5900" w:type="dxa"/>
            <w:tcBorders>
              <w:tl2br w:val="nil"/>
              <w:tr2bl w:val="nil"/>
            </w:tcBorders>
            <w:noWrap w:val="0"/>
            <w:tcMar>
              <w:top w:w="15" w:type="dxa"/>
              <w:left w:w="15" w:type="dxa"/>
              <w:right w:w="15" w:type="dxa"/>
            </w:tcMar>
            <w:vAlign w:val="center"/>
          </w:tcPr>
          <w:p w14:paraId="23F39248">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Hans" w:bidi="ar-SA"/>
              </w:rPr>
            </w:pPr>
            <w:r>
              <w:rPr>
                <w:rFonts w:hint="eastAsia" w:ascii="宋体" w:hAnsi="宋体" w:eastAsia="宋体" w:cs="宋体"/>
                <w:i w:val="0"/>
                <w:iCs w:val="0"/>
                <w:color w:val="auto"/>
                <w:kern w:val="2"/>
                <w:sz w:val="21"/>
                <w:szCs w:val="21"/>
                <w:highlight w:val="none"/>
                <w:lang w:val="en-US" w:eastAsia="zh-Hans" w:bidi="ar-SA"/>
              </w:rPr>
              <w:t>价格分采用低价优先法计算，即满足本</w:t>
            </w:r>
            <w:r>
              <w:rPr>
                <w:rFonts w:hint="eastAsia" w:ascii="宋体" w:hAnsi="宋体" w:eastAsia="宋体" w:cs="宋体"/>
                <w:i w:val="0"/>
                <w:iCs w:val="0"/>
                <w:color w:val="auto"/>
                <w:kern w:val="2"/>
                <w:sz w:val="21"/>
                <w:szCs w:val="21"/>
                <w:highlight w:val="none"/>
                <w:lang w:val="en-US" w:eastAsia="zh-CN" w:bidi="ar-SA"/>
              </w:rPr>
              <w:t>采购</w:t>
            </w:r>
            <w:r>
              <w:rPr>
                <w:rFonts w:hint="eastAsia" w:ascii="宋体" w:hAnsi="宋体" w:eastAsia="宋体" w:cs="宋体"/>
                <w:i w:val="0"/>
                <w:iCs w:val="0"/>
                <w:color w:val="auto"/>
                <w:kern w:val="2"/>
                <w:sz w:val="21"/>
                <w:szCs w:val="21"/>
                <w:highlight w:val="none"/>
                <w:lang w:val="en-US" w:eastAsia="zh-Hans" w:bidi="ar-SA"/>
              </w:rPr>
              <w:t>文件要求的最低投标报价为评标基准价，其价格分为满分，其它投标人的价格分统一按照下列公式计算：</w:t>
            </w:r>
          </w:p>
          <w:p w14:paraId="58453738">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Hans" w:bidi="ar-SA"/>
              </w:rPr>
              <w:t>投标报价得分=（评标基准价／</w:t>
            </w:r>
            <w:r>
              <w:rPr>
                <w:rFonts w:hint="eastAsia" w:ascii="宋体" w:hAnsi="宋体" w:eastAsia="宋体" w:cs="宋体"/>
                <w:i w:val="0"/>
                <w:iCs w:val="0"/>
                <w:color w:val="auto"/>
                <w:kern w:val="2"/>
                <w:sz w:val="21"/>
                <w:szCs w:val="21"/>
                <w:highlight w:val="none"/>
                <w:lang w:val="en-US" w:eastAsia="zh-CN" w:bidi="ar-SA"/>
              </w:rPr>
              <w:t>最后</w:t>
            </w:r>
            <w:r>
              <w:rPr>
                <w:rFonts w:hint="eastAsia" w:ascii="宋体" w:hAnsi="宋体" w:eastAsia="宋体" w:cs="宋体"/>
                <w:i w:val="0"/>
                <w:iCs w:val="0"/>
                <w:color w:val="auto"/>
                <w:kern w:val="2"/>
                <w:sz w:val="21"/>
                <w:szCs w:val="21"/>
                <w:highlight w:val="none"/>
                <w:lang w:val="en-US" w:eastAsia="zh-Hans" w:bidi="ar-SA"/>
              </w:rPr>
              <w:t>报价）×价格分分值（精确到小数点后两位）。超过了采购项目最高限价的，为无效</w:t>
            </w:r>
            <w:r>
              <w:rPr>
                <w:rFonts w:hint="eastAsia" w:ascii="宋体" w:hAnsi="宋体" w:eastAsia="宋体" w:cs="宋体"/>
                <w:i w:val="0"/>
                <w:iCs w:val="0"/>
                <w:color w:val="auto"/>
                <w:kern w:val="2"/>
                <w:sz w:val="21"/>
                <w:szCs w:val="21"/>
                <w:highlight w:val="none"/>
                <w:lang w:val="en-US" w:eastAsia="zh-CN" w:bidi="ar-SA"/>
              </w:rPr>
              <w:t>响应</w:t>
            </w:r>
            <w:r>
              <w:rPr>
                <w:rFonts w:hint="eastAsia" w:ascii="宋体" w:hAnsi="宋体" w:eastAsia="宋体" w:cs="宋体"/>
                <w:i w:val="0"/>
                <w:iCs w:val="0"/>
                <w:color w:val="auto"/>
                <w:kern w:val="2"/>
                <w:sz w:val="21"/>
                <w:szCs w:val="21"/>
                <w:highlight w:val="none"/>
                <w:lang w:val="en-US" w:eastAsia="zh-Hans" w:bidi="ar-SA"/>
              </w:rPr>
              <w:t>。</w:t>
            </w:r>
          </w:p>
        </w:tc>
        <w:tc>
          <w:tcPr>
            <w:tcW w:w="1035" w:type="dxa"/>
            <w:tcBorders>
              <w:tl2br w:val="nil"/>
              <w:tr2bl w:val="nil"/>
            </w:tcBorders>
            <w:noWrap w:val="0"/>
            <w:tcMar>
              <w:top w:w="15" w:type="dxa"/>
              <w:left w:w="15" w:type="dxa"/>
              <w:right w:w="15" w:type="dxa"/>
            </w:tcMar>
            <w:vAlign w:val="center"/>
          </w:tcPr>
          <w:p w14:paraId="153A5A0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10</w:t>
            </w:r>
          </w:p>
        </w:tc>
      </w:tr>
      <w:tr w14:paraId="2D79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90" w:type="dxa"/>
            <w:vMerge w:val="restart"/>
            <w:tcBorders>
              <w:tl2br w:val="nil"/>
              <w:tr2bl w:val="nil"/>
            </w:tcBorders>
            <w:noWrap w:val="0"/>
            <w:tcMar>
              <w:top w:w="15" w:type="dxa"/>
              <w:left w:w="15" w:type="dxa"/>
              <w:right w:w="15" w:type="dxa"/>
            </w:tcMar>
            <w:vAlign w:val="center"/>
          </w:tcPr>
          <w:p w14:paraId="7880BC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二</w:t>
            </w:r>
          </w:p>
        </w:tc>
        <w:tc>
          <w:tcPr>
            <w:tcW w:w="1063" w:type="dxa"/>
            <w:vMerge w:val="restart"/>
            <w:tcBorders>
              <w:tl2br w:val="nil"/>
              <w:tr2bl w:val="nil"/>
            </w:tcBorders>
            <w:noWrap w:val="0"/>
            <w:tcMar>
              <w:top w:w="15" w:type="dxa"/>
              <w:left w:w="15" w:type="dxa"/>
              <w:right w:w="15" w:type="dxa"/>
            </w:tcMar>
            <w:vAlign w:val="center"/>
          </w:tcPr>
          <w:p w14:paraId="76B8BF2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商务因素评审</w:t>
            </w:r>
          </w:p>
        </w:tc>
        <w:tc>
          <w:tcPr>
            <w:tcW w:w="987" w:type="dxa"/>
            <w:tcBorders>
              <w:tl2br w:val="nil"/>
              <w:tr2bl w:val="nil"/>
            </w:tcBorders>
            <w:noWrap w:val="0"/>
            <w:tcMar>
              <w:top w:w="15" w:type="dxa"/>
              <w:left w:w="15" w:type="dxa"/>
              <w:right w:w="15" w:type="dxa"/>
            </w:tcMar>
            <w:vAlign w:val="center"/>
          </w:tcPr>
          <w:p w14:paraId="5095D2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en-US" w:bidi="ar-SA"/>
              </w:rPr>
              <w:t>投标人</w:t>
            </w:r>
          </w:p>
          <w:p w14:paraId="426ACCD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en-US" w:bidi="ar-SA"/>
              </w:rPr>
              <w:t>业绩</w:t>
            </w:r>
          </w:p>
        </w:tc>
        <w:tc>
          <w:tcPr>
            <w:tcW w:w="5900" w:type="dxa"/>
            <w:tcBorders>
              <w:tl2br w:val="nil"/>
              <w:tr2bl w:val="nil"/>
            </w:tcBorders>
            <w:noWrap w:val="0"/>
            <w:tcMar>
              <w:top w:w="15" w:type="dxa"/>
              <w:left w:w="15" w:type="dxa"/>
              <w:right w:w="15" w:type="dxa"/>
            </w:tcMar>
            <w:vAlign w:val="center"/>
          </w:tcPr>
          <w:p w14:paraId="383E69A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Hans" w:bidi="ar-SA"/>
              </w:rPr>
              <w:t>供应商</w:t>
            </w:r>
            <w:r>
              <w:rPr>
                <w:rFonts w:hint="eastAsia" w:ascii="宋体" w:hAnsi="宋体" w:eastAsia="宋体" w:cs="宋体"/>
                <w:i w:val="0"/>
                <w:iCs w:val="0"/>
                <w:color w:val="auto"/>
                <w:kern w:val="2"/>
                <w:sz w:val="21"/>
                <w:szCs w:val="21"/>
                <w:highlight w:val="none"/>
                <w:lang w:val="en-US" w:eastAsia="zh-CN" w:bidi="ar-SA"/>
              </w:rPr>
              <w:t>具有近三年类似</w:t>
            </w:r>
            <w:r>
              <w:rPr>
                <w:rFonts w:hint="eastAsia" w:ascii="宋体" w:hAnsi="宋体" w:eastAsia="宋体" w:cs="宋体"/>
                <w:i w:val="0"/>
                <w:iCs w:val="0"/>
                <w:color w:val="auto"/>
                <w:kern w:val="2"/>
                <w:sz w:val="21"/>
                <w:szCs w:val="21"/>
                <w:highlight w:val="none"/>
                <w:lang w:val="en-US" w:eastAsia="zh-Hans" w:bidi="ar-SA"/>
              </w:rPr>
              <w:t>业绩</w:t>
            </w:r>
            <w:r>
              <w:rPr>
                <w:rFonts w:hint="eastAsia" w:ascii="宋体" w:hAnsi="宋体" w:eastAsia="宋体" w:cs="宋体"/>
                <w:i w:val="0"/>
                <w:iCs w:val="0"/>
                <w:color w:val="auto"/>
                <w:kern w:val="2"/>
                <w:sz w:val="21"/>
                <w:szCs w:val="21"/>
                <w:highlight w:val="none"/>
                <w:lang w:val="en-US" w:eastAsia="zh-CN" w:bidi="ar-SA"/>
              </w:rPr>
              <w:t>，每提供1</w:t>
            </w:r>
            <w:r>
              <w:rPr>
                <w:rFonts w:hint="default" w:ascii="宋体" w:hAnsi="宋体" w:eastAsia="宋体" w:cs="宋体"/>
                <w:i w:val="0"/>
                <w:iCs w:val="0"/>
                <w:color w:val="auto"/>
                <w:kern w:val="2"/>
                <w:sz w:val="21"/>
                <w:szCs w:val="21"/>
                <w:highlight w:val="none"/>
                <w:lang w:val="en-US" w:eastAsia="zh-CN" w:bidi="ar-SA"/>
              </w:rPr>
              <w:t>个得</w:t>
            </w:r>
            <w:r>
              <w:rPr>
                <w:rFonts w:hint="eastAsia" w:cs="宋体"/>
                <w:i w:val="0"/>
                <w:iCs w:val="0"/>
                <w:color w:val="auto"/>
                <w:kern w:val="2"/>
                <w:sz w:val="21"/>
                <w:szCs w:val="21"/>
                <w:highlight w:val="none"/>
                <w:lang w:val="en-US" w:eastAsia="zh-CN" w:bidi="ar-SA"/>
              </w:rPr>
              <w:t>3</w:t>
            </w:r>
            <w:r>
              <w:rPr>
                <w:rFonts w:hint="default" w:ascii="宋体" w:hAnsi="宋体" w:eastAsia="宋体" w:cs="宋体"/>
                <w:i w:val="0"/>
                <w:iCs w:val="0"/>
                <w:color w:val="auto"/>
                <w:kern w:val="2"/>
                <w:sz w:val="21"/>
                <w:szCs w:val="21"/>
                <w:highlight w:val="none"/>
                <w:lang w:val="en-US" w:eastAsia="zh-CN" w:bidi="ar-SA"/>
              </w:rPr>
              <w:t>分，最高得</w:t>
            </w:r>
            <w:r>
              <w:rPr>
                <w:rFonts w:hint="eastAsia" w:cs="宋体"/>
                <w:i w:val="0"/>
                <w:iCs w:val="0"/>
                <w:color w:val="auto"/>
                <w:kern w:val="2"/>
                <w:sz w:val="21"/>
                <w:szCs w:val="21"/>
                <w:highlight w:val="none"/>
                <w:lang w:val="en-US" w:eastAsia="zh-CN" w:bidi="ar-SA"/>
              </w:rPr>
              <w:t>9</w:t>
            </w:r>
            <w:r>
              <w:rPr>
                <w:rFonts w:hint="default" w:ascii="宋体" w:hAnsi="宋体" w:eastAsia="宋体" w:cs="宋体"/>
                <w:i w:val="0"/>
                <w:iCs w:val="0"/>
                <w:color w:val="auto"/>
                <w:kern w:val="2"/>
                <w:sz w:val="21"/>
                <w:szCs w:val="21"/>
                <w:highlight w:val="none"/>
                <w:lang w:val="en-US" w:eastAsia="zh-CN" w:bidi="ar-SA"/>
              </w:rPr>
              <w:t>分。</w:t>
            </w:r>
          </w:p>
          <w:p w14:paraId="3539257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须提供</w:t>
            </w:r>
            <w:r>
              <w:rPr>
                <w:rFonts w:hint="default" w:ascii="宋体" w:hAnsi="宋体" w:eastAsia="宋体" w:cs="宋体"/>
                <w:i w:val="0"/>
                <w:iCs w:val="0"/>
                <w:color w:val="auto"/>
                <w:kern w:val="2"/>
                <w:sz w:val="21"/>
                <w:szCs w:val="21"/>
                <w:highlight w:val="none"/>
                <w:lang w:val="en-US" w:eastAsia="zh-CN" w:bidi="ar-SA"/>
              </w:rPr>
              <w:t>合同</w:t>
            </w:r>
            <w:r>
              <w:rPr>
                <w:rFonts w:hint="eastAsia" w:ascii="宋体" w:hAnsi="宋体" w:eastAsia="宋体" w:cs="宋体"/>
                <w:i w:val="0"/>
                <w:iCs w:val="0"/>
                <w:color w:val="auto"/>
                <w:kern w:val="2"/>
                <w:sz w:val="21"/>
                <w:szCs w:val="21"/>
                <w:highlight w:val="none"/>
                <w:lang w:val="en-US" w:eastAsia="zh-CN" w:bidi="ar-SA"/>
              </w:rPr>
              <w:t>或中标通知书</w:t>
            </w:r>
            <w:r>
              <w:rPr>
                <w:rFonts w:hint="default" w:ascii="宋体" w:hAnsi="宋体" w:eastAsia="宋体" w:cs="宋体"/>
                <w:i w:val="0"/>
                <w:iCs w:val="0"/>
                <w:color w:val="auto"/>
                <w:kern w:val="2"/>
                <w:sz w:val="21"/>
                <w:szCs w:val="21"/>
                <w:highlight w:val="none"/>
                <w:lang w:val="en-US" w:eastAsia="zh-CN" w:bidi="ar-SA"/>
              </w:rPr>
              <w:t>；以合同签订时间</w:t>
            </w:r>
            <w:r>
              <w:rPr>
                <w:rFonts w:hint="eastAsia" w:ascii="宋体" w:hAnsi="宋体" w:eastAsia="宋体" w:cs="宋体"/>
                <w:i w:val="0"/>
                <w:iCs w:val="0"/>
                <w:color w:val="auto"/>
                <w:kern w:val="2"/>
                <w:sz w:val="21"/>
                <w:szCs w:val="21"/>
                <w:highlight w:val="none"/>
                <w:lang w:val="en-US" w:eastAsia="zh-CN" w:bidi="ar-SA"/>
              </w:rPr>
              <w:t>或中标通知书落款时间</w:t>
            </w:r>
            <w:r>
              <w:rPr>
                <w:rFonts w:hint="default" w:ascii="宋体" w:hAnsi="宋体" w:eastAsia="宋体" w:cs="宋体"/>
                <w:i w:val="0"/>
                <w:iCs w:val="0"/>
                <w:color w:val="auto"/>
                <w:kern w:val="2"/>
                <w:sz w:val="21"/>
                <w:szCs w:val="21"/>
                <w:highlight w:val="none"/>
                <w:lang w:val="en-US" w:eastAsia="zh-CN" w:bidi="ar-SA"/>
              </w:rPr>
              <w:t>为准</w:t>
            </w:r>
            <w:r>
              <w:rPr>
                <w:rFonts w:hint="eastAsia" w:ascii="宋体" w:hAnsi="宋体" w:eastAsia="宋体" w:cs="宋体"/>
                <w:i w:val="0"/>
                <w:iCs w:val="0"/>
                <w:color w:val="auto"/>
                <w:kern w:val="2"/>
                <w:sz w:val="21"/>
                <w:szCs w:val="21"/>
                <w:highlight w:val="none"/>
                <w:lang w:val="en-US" w:eastAsia="zh-CN" w:bidi="ar-SA"/>
              </w:rPr>
              <w:t>。</w:t>
            </w:r>
          </w:p>
        </w:tc>
        <w:tc>
          <w:tcPr>
            <w:tcW w:w="1035" w:type="dxa"/>
            <w:tcBorders>
              <w:tl2br w:val="nil"/>
              <w:tr2bl w:val="nil"/>
            </w:tcBorders>
            <w:noWrap w:val="0"/>
            <w:tcMar>
              <w:top w:w="15" w:type="dxa"/>
              <w:left w:w="15" w:type="dxa"/>
              <w:right w:w="15" w:type="dxa"/>
            </w:tcMar>
            <w:vAlign w:val="center"/>
          </w:tcPr>
          <w:p w14:paraId="3374B02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cs="宋体"/>
                <w:i w:val="0"/>
                <w:iCs w:val="0"/>
                <w:color w:val="auto"/>
                <w:kern w:val="2"/>
                <w:sz w:val="21"/>
                <w:szCs w:val="21"/>
                <w:highlight w:val="none"/>
                <w:lang w:val="en-US" w:eastAsia="zh-CN" w:bidi="ar-SA"/>
              </w:rPr>
              <w:t>9</w:t>
            </w:r>
          </w:p>
        </w:tc>
      </w:tr>
      <w:tr w14:paraId="2DFD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trPr>
        <w:tc>
          <w:tcPr>
            <w:tcW w:w="690" w:type="dxa"/>
            <w:vMerge w:val="continue"/>
            <w:tcBorders>
              <w:tl2br w:val="nil"/>
              <w:tr2bl w:val="nil"/>
            </w:tcBorders>
            <w:noWrap w:val="0"/>
            <w:tcMar>
              <w:top w:w="15" w:type="dxa"/>
              <w:left w:w="15" w:type="dxa"/>
              <w:right w:w="15" w:type="dxa"/>
            </w:tcMar>
            <w:vAlign w:val="center"/>
          </w:tcPr>
          <w:p w14:paraId="06FDEC1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zh-CN" w:bidi="ar-SA"/>
              </w:rPr>
            </w:pPr>
          </w:p>
        </w:tc>
        <w:tc>
          <w:tcPr>
            <w:tcW w:w="1063" w:type="dxa"/>
            <w:vMerge w:val="continue"/>
            <w:tcBorders>
              <w:tl2br w:val="nil"/>
              <w:tr2bl w:val="nil"/>
            </w:tcBorders>
            <w:noWrap w:val="0"/>
            <w:tcMar>
              <w:top w:w="15" w:type="dxa"/>
              <w:left w:w="15" w:type="dxa"/>
              <w:right w:w="15" w:type="dxa"/>
            </w:tcMar>
            <w:vAlign w:val="center"/>
          </w:tcPr>
          <w:p w14:paraId="48CB786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zh-CN" w:bidi="ar-SA"/>
              </w:rPr>
            </w:pPr>
          </w:p>
        </w:tc>
        <w:tc>
          <w:tcPr>
            <w:tcW w:w="987" w:type="dxa"/>
            <w:vMerge w:val="restart"/>
            <w:tcBorders>
              <w:tl2br w:val="nil"/>
              <w:tr2bl w:val="nil"/>
            </w:tcBorders>
            <w:noWrap w:val="0"/>
            <w:tcMar>
              <w:top w:w="15" w:type="dxa"/>
              <w:left w:w="15" w:type="dxa"/>
              <w:right w:w="15" w:type="dxa"/>
            </w:tcMar>
            <w:vAlign w:val="center"/>
          </w:tcPr>
          <w:p w14:paraId="3E0C0B7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拟投入的团队</w:t>
            </w:r>
          </w:p>
        </w:tc>
        <w:tc>
          <w:tcPr>
            <w:tcW w:w="5900" w:type="dxa"/>
            <w:tcBorders>
              <w:tl2br w:val="nil"/>
              <w:tr2bl w:val="nil"/>
            </w:tcBorders>
            <w:noWrap w:val="0"/>
            <w:tcMar>
              <w:top w:w="15" w:type="dxa"/>
              <w:left w:w="15" w:type="dxa"/>
              <w:right w:w="15" w:type="dxa"/>
            </w:tcMar>
            <w:vAlign w:val="top"/>
          </w:tcPr>
          <w:p w14:paraId="7D98B048">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团队核心成员不少于10人（包含项目负责人、培训专员、数据管理专员、技术支持专员及运营专员等岗位），核心成员10人得</w:t>
            </w:r>
            <w:r>
              <w:rPr>
                <w:rFonts w:hint="eastAsia" w:cs="宋体"/>
                <w:i w:val="0"/>
                <w:iCs w:val="0"/>
                <w:color w:val="auto"/>
                <w:kern w:val="2"/>
                <w:sz w:val="21"/>
                <w:szCs w:val="21"/>
                <w:highlight w:val="none"/>
                <w:lang w:val="en-US" w:eastAsia="zh-CN" w:bidi="ar-SA"/>
              </w:rPr>
              <w:t>3</w:t>
            </w:r>
            <w:r>
              <w:rPr>
                <w:rFonts w:hint="eastAsia" w:ascii="宋体" w:hAnsi="宋体" w:eastAsia="宋体" w:cs="宋体"/>
                <w:i w:val="0"/>
                <w:iCs w:val="0"/>
                <w:color w:val="auto"/>
                <w:kern w:val="2"/>
                <w:sz w:val="21"/>
                <w:szCs w:val="21"/>
                <w:highlight w:val="none"/>
                <w:lang w:val="en-US" w:eastAsia="zh-CN" w:bidi="ar-SA"/>
              </w:rPr>
              <w:t>分，10人以上每增加1名，并明确在本项目中的职务，得1分</w:t>
            </w:r>
            <w:r>
              <w:rPr>
                <w:rFonts w:hint="eastAsia" w:cs="宋体"/>
                <w:i w:val="0"/>
                <w:iCs w:val="0"/>
                <w:color w:val="auto"/>
                <w:kern w:val="2"/>
                <w:sz w:val="21"/>
                <w:szCs w:val="21"/>
                <w:highlight w:val="none"/>
                <w:lang w:val="en-US" w:eastAsia="zh-CN" w:bidi="ar-SA"/>
              </w:rPr>
              <w:t>。</w:t>
            </w:r>
          </w:p>
          <w:p w14:paraId="43D71C92">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cs="宋体"/>
                <w:i w:val="0"/>
                <w:iCs w:val="0"/>
                <w:color w:val="auto"/>
                <w:kern w:val="2"/>
                <w:sz w:val="21"/>
                <w:szCs w:val="21"/>
                <w:highlight w:val="none"/>
                <w:lang w:val="en-US" w:eastAsia="zh-CN" w:bidi="ar-SA"/>
              </w:rPr>
              <w:t>本项</w:t>
            </w:r>
            <w:r>
              <w:rPr>
                <w:rFonts w:hint="eastAsia" w:ascii="宋体" w:hAnsi="宋体" w:eastAsia="宋体" w:cs="宋体"/>
                <w:i w:val="0"/>
                <w:iCs w:val="0"/>
                <w:color w:val="auto"/>
                <w:kern w:val="2"/>
                <w:sz w:val="21"/>
                <w:szCs w:val="21"/>
                <w:highlight w:val="none"/>
                <w:lang w:val="en-US" w:eastAsia="zh-CN" w:bidi="ar-SA"/>
              </w:rPr>
              <w:t>最高得7分。</w:t>
            </w:r>
          </w:p>
          <w:p w14:paraId="4C59249B">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须提供团队人员名单，在名单中岗位分工；同一人员不得复用。</w:t>
            </w:r>
          </w:p>
        </w:tc>
        <w:tc>
          <w:tcPr>
            <w:tcW w:w="1035" w:type="dxa"/>
            <w:tcBorders>
              <w:tl2br w:val="nil"/>
              <w:tr2bl w:val="nil"/>
            </w:tcBorders>
            <w:noWrap w:val="0"/>
            <w:tcMar>
              <w:top w:w="15" w:type="dxa"/>
              <w:left w:w="15" w:type="dxa"/>
              <w:right w:w="15" w:type="dxa"/>
            </w:tcMar>
            <w:vAlign w:val="center"/>
          </w:tcPr>
          <w:p w14:paraId="0F7C9E3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cs="宋体"/>
                <w:i w:val="0"/>
                <w:iCs w:val="0"/>
                <w:color w:val="auto"/>
                <w:kern w:val="2"/>
                <w:sz w:val="21"/>
                <w:szCs w:val="21"/>
                <w:highlight w:val="none"/>
                <w:lang w:val="en-US" w:eastAsia="zh-CN" w:bidi="ar-SA"/>
              </w:rPr>
              <w:t>7</w:t>
            </w:r>
          </w:p>
        </w:tc>
      </w:tr>
      <w:tr w14:paraId="4FEB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5" w:hRule="atLeast"/>
        </w:trPr>
        <w:tc>
          <w:tcPr>
            <w:tcW w:w="690" w:type="dxa"/>
            <w:vMerge w:val="continue"/>
            <w:tcBorders>
              <w:tl2br w:val="nil"/>
              <w:tr2bl w:val="nil"/>
            </w:tcBorders>
            <w:noWrap w:val="0"/>
            <w:tcMar>
              <w:top w:w="15" w:type="dxa"/>
              <w:left w:w="15" w:type="dxa"/>
              <w:right w:w="15" w:type="dxa"/>
            </w:tcMar>
            <w:vAlign w:val="center"/>
          </w:tcPr>
          <w:p w14:paraId="127728BF">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zh-CN" w:eastAsia="zh-CN" w:bidi="ar-SA"/>
              </w:rPr>
            </w:pPr>
          </w:p>
        </w:tc>
        <w:tc>
          <w:tcPr>
            <w:tcW w:w="1063" w:type="dxa"/>
            <w:vMerge w:val="continue"/>
            <w:tcBorders>
              <w:tl2br w:val="nil"/>
              <w:tr2bl w:val="nil"/>
            </w:tcBorders>
            <w:noWrap w:val="0"/>
            <w:tcMar>
              <w:top w:w="15" w:type="dxa"/>
              <w:left w:w="15" w:type="dxa"/>
              <w:right w:w="15" w:type="dxa"/>
            </w:tcMar>
            <w:vAlign w:val="center"/>
          </w:tcPr>
          <w:p w14:paraId="4E6CD676">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zh-CN" w:eastAsia="zh-CN" w:bidi="ar-SA"/>
              </w:rPr>
            </w:pPr>
          </w:p>
        </w:tc>
        <w:tc>
          <w:tcPr>
            <w:tcW w:w="987" w:type="dxa"/>
            <w:vMerge w:val="continue"/>
            <w:tcBorders>
              <w:tl2br w:val="nil"/>
              <w:tr2bl w:val="nil"/>
            </w:tcBorders>
            <w:noWrap w:val="0"/>
            <w:tcMar>
              <w:top w:w="15" w:type="dxa"/>
              <w:left w:w="15" w:type="dxa"/>
              <w:right w:w="15" w:type="dxa"/>
            </w:tcMar>
            <w:vAlign w:val="center"/>
          </w:tcPr>
          <w:p w14:paraId="1FD6BCFF">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zh-CN" w:eastAsia="zh-CN" w:bidi="ar-SA"/>
              </w:rPr>
            </w:pPr>
          </w:p>
        </w:tc>
        <w:tc>
          <w:tcPr>
            <w:tcW w:w="5900" w:type="dxa"/>
            <w:tcBorders>
              <w:tl2br w:val="nil"/>
              <w:tr2bl w:val="nil"/>
            </w:tcBorders>
            <w:noWrap w:val="0"/>
            <w:tcMar>
              <w:top w:w="15" w:type="dxa"/>
              <w:left w:w="15" w:type="dxa"/>
              <w:right w:w="15" w:type="dxa"/>
            </w:tcMar>
            <w:vAlign w:val="top"/>
          </w:tcPr>
          <w:p w14:paraId="3A91C705">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团队中持有职业指导师、创业指导师、企业人力资源管理师、培训师等与就业服务相关</w:t>
            </w:r>
            <w:r>
              <w:rPr>
                <w:rFonts w:hint="eastAsia" w:cs="宋体"/>
                <w:i w:val="0"/>
                <w:iCs w:val="0"/>
                <w:color w:val="auto"/>
                <w:kern w:val="2"/>
                <w:sz w:val="21"/>
                <w:szCs w:val="21"/>
                <w:highlight w:val="none"/>
                <w:lang w:val="en-US" w:eastAsia="zh-CN" w:bidi="ar-SA"/>
              </w:rPr>
              <w:t>专</w:t>
            </w:r>
            <w:r>
              <w:rPr>
                <w:rFonts w:hint="eastAsia" w:ascii="宋体" w:hAnsi="宋体" w:eastAsia="宋体" w:cs="宋体"/>
                <w:i w:val="0"/>
                <w:iCs w:val="0"/>
                <w:color w:val="auto"/>
                <w:kern w:val="2"/>
                <w:sz w:val="21"/>
                <w:szCs w:val="21"/>
                <w:highlight w:val="none"/>
                <w:lang w:val="en-US" w:eastAsia="zh-CN" w:bidi="ar-SA"/>
              </w:rPr>
              <w:t>业资格证书</w:t>
            </w:r>
            <w:r>
              <w:rPr>
                <w:rFonts w:hint="eastAsia" w:cs="宋体"/>
                <w:i w:val="0"/>
                <w:iCs w:val="0"/>
                <w:color w:val="auto"/>
                <w:kern w:val="2"/>
                <w:sz w:val="21"/>
                <w:szCs w:val="21"/>
                <w:highlight w:val="none"/>
                <w:lang w:val="en-US" w:eastAsia="zh-CN" w:bidi="ar-SA"/>
              </w:rPr>
              <w:t>或职业技能证书</w:t>
            </w:r>
            <w:r>
              <w:rPr>
                <w:rFonts w:hint="eastAsia" w:ascii="宋体" w:hAnsi="宋体" w:eastAsia="宋体" w:cs="宋体"/>
                <w:i w:val="0"/>
                <w:iCs w:val="0"/>
                <w:color w:val="auto"/>
                <w:kern w:val="2"/>
                <w:sz w:val="21"/>
                <w:szCs w:val="21"/>
                <w:highlight w:val="none"/>
                <w:lang w:val="en-US" w:eastAsia="zh-CN" w:bidi="ar-SA"/>
              </w:rPr>
              <w:t>的人员不少于3人（任意一个证书均可），3人得</w:t>
            </w:r>
            <w:r>
              <w:rPr>
                <w:rFonts w:hint="eastAsia" w:cs="宋体"/>
                <w:i w:val="0"/>
                <w:iCs w:val="0"/>
                <w:color w:val="auto"/>
                <w:kern w:val="2"/>
                <w:sz w:val="21"/>
                <w:szCs w:val="21"/>
                <w:highlight w:val="none"/>
                <w:lang w:val="en-US" w:eastAsia="zh-CN" w:bidi="ar-SA"/>
              </w:rPr>
              <w:t>3</w:t>
            </w:r>
            <w:r>
              <w:rPr>
                <w:rFonts w:hint="eastAsia" w:ascii="宋体" w:hAnsi="宋体" w:eastAsia="宋体" w:cs="宋体"/>
                <w:i w:val="0"/>
                <w:iCs w:val="0"/>
                <w:color w:val="auto"/>
                <w:kern w:val="2"/>
                <w:sz w:val="21"/>
                <w:szCs w:val="21"/>
                <w:highlight w:val="none"/>
                <w:lang w:val="en-US" w:eastAsia="zh-CN" w:bidi="ar-SA"/>
              </w:rPr>
              <w:t>分，3人以上每增加1人得3分，</w:t>
            </w:r>
          </w:p>
          <w:p w14:paraId="579B3274">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cs="宋体"/>
                <w:i w:val="0"/>
                <w:iCs w:val="0"/>
                <w:color w:val="auto"/>
                <w:kern w:val="2"/>
                <w:sz w:val="21"/>
                <w:szCs w:val="21"/>
                <w:highlight w:val="none"/>
                <w:lang w:val="en-US" w:eastAsia="zh-CN" w:bidi="ar-SA"/>
              </w:rPr>
              <w:t>本项</w:t>
            </w:r>
            <w:r>
              <w:rPr>
                <w:rFonts w:hint="eastAsia" w:ascii="宋体" w:hAnsi="宋体" w:eastAsia="宋体" w:cs="宋体"/>
                <w:i w:val="0"/>
                <w:iCs w:val="0"/>
                <w:color w:val="auto"/>
                <w:kern w:val="2"/>
                <w:sz w:val="21"/>
                <w:szCs w:val="21"/>
                <w:highlight w:val="none"/>
                <w:lang w:val="en-US" w:eastAsia="zh-CN" w:bidi="ar-SA"/>
              </w:rPr>
              <w:t>最高得9分。</w:t>
            </w:r>
          </w:p>
          <w:p w14:paraId="6991D49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须提供团队人员名单，附人员资质证书扫描件或复印件。同一人员多个证书不重复计算。</w:t>
            </w:r>
          </w:p>
        </w:tc>
        <w:tc>
          <w:tcPr>
            <w:tcW w:w="1035" w:type="dxa"/>
            <w:tcBorders>
              <w:tl2br w:val="nil"/>
              <w:tr2bl w:val="nil"/>
            </w:tcBorders>
            <w:noWrap w:val="0"/>
            <w:tcMar>
              <w:top w:w="15" w:type="dxa"/>
              <w:left w:w="15" w:type="dxa"/>
              <w:right w:w="15" w:type="dxa"/>
            </w:tcMar>
            <w:vAlign w:val="center"/>
          </w:tcPr>
          <w:p w14:paraId="06986B4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9</w:t>
            </w:r>
          </w:p>
        </w:tc>
      </w:tr>
      <w:tr w14:paraId="75D1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690" w:type="dxa"/>
            <w:vMerge w:val="restart"/>
            <w:tcBorders>
              <w:tl2br w:val="nil"/>
              <w:tr2bl w:val="nil"/>
            </w:tcBorders>
            <w:noWrap w:val="0"/>
            <w:tcMar>
              <w:top w:w="15" w:type="dxa"/>
              <w:left w:w="15" w:type="dxa"/>
              <w:right w:w="15" w:type="dxa"/>
            </w:tcMar>
            <w:vAlign w:val="center"/>
          </w:tcPr>
          <w:p w14:paraId="562E7FD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三</w:t>
            </w:r>
          </w:p>
        </w:tc>
        <w:tc>
          <w:tcPr>
            <w:tcW w:w="1063" w:type="dxa"/>
            <w:vMerge w:val="restart"/>
            <w:tcBorders>
              <w:tl2br w:val="nil"/>
              <w:tr2bl w:val="nil"/>
            </w:tcBorders>
            <w:noWrap w:val="0"/>
            <w:tcMar>
              <w:top w:w="15" w:type="dxa"/>
              <w:left w:w="15" w:type="dxa"/>
              <w:right w:w="15" w:type="dxa"/>
            </w:tcMar>
            <w:vAlign w:val="center"/>
          </w:tcPr>
          <w:p w14:paraId="77C3487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技术因素评审</w:t>
            </w:r>
          </w:p>
        </w:tc>
        <w:tc>
          <w:tcPr>
            <w:tcW w:w="987" w:type="dxa"/>
            <w:tcBorders>
              <w:tl2br w:val="nil"/>
              <w:tr2bl w:val="nil"/>
            </w:tcBorders>
            <w:noWrap w:val="0"/>
            <w:tcMar>
              <w:top w:w="15" w:type="dxa"/>
              <w:left w:w="15" w:type="dxa"/>
              <w:right w:w="15" w:type="dxa"/>
            </w:tcMar>
            <w:vAlign w:val="center"/>
          </w:tcPr>
          <w:p w14:paraId="7BD246C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en-US" w:bidi="ar-SA"/>
              </w:rPr>
              <w:t>项目分析</w:t>
            </w:r>
          </w:p>
        </w:tc>
        <w:tc>
          <w:tcPr>
            <w:tcW w:w="5900" w:type="dxa"/>
            <w:tcBorders>
              <w:tl2br w:val="nil"/>
              <w:tr2bl w:val="nil"/>
            </w:tcBorders>
            <w:noWrap w:val="0"/>
            <w:tcMar>
              <w:top w:w="15" w:type="dxa"/>
              <w:left w:w="15" w:type="dxa"/>
              <w:right w:w="15" w:type="dxa"/>
            </w:tcMar>
            <w:vAlign w:val="top"/>
          </w:tcPr>
          <w:p w14:paraId="17EDD09F">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依据供应商提供的项目分析方案，进行评审，包括以下内容：</w:t>
            </w:r>
          </w:p>
          <w:p w14:paraId="045512D1">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①项目背景</w:t>
            </w:r>
          </w:p>
          <w:p w14:paraId="0B9A84D4">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②现有系统架构、业务</w:t>
            </w:r>
          </w:p>
          <w:p w14:paraId="5B527BD5">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③项目重难点</w:t>
            </w:r>
          </w:p>
          <w:p w14:paraId="4C299A07">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④相关法规政策</w:t>
            </w:r>
          </w:p>
          <w:p w14:paraId="43C48BBF">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⑤风险分析</w:t>
            </w:r>
          </w:p>
          <w:p w14:paraId="5E4B59C5">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其方案内容完整无缺陷且满足实际情况的得10分，每有一项缺项或漏项扣2分，每有一处缺陷扣0.5分，扣完为止。</w:t>
            </w:r>
          </w:p>
        </w:tc>
        <w:tc>
          <w:tcPr>
            <w:tcW w:w="1035" w:type="dxa"/>
            <w:tcBorders>
              <w:tl2br w:val="nil"/>
              <w:tr2bl w:val="nil"/>
            </w:tcBorders>
            <w:noWrap w:val="0"/>
            <w:tcMar>
              <w:top w:w="15" w:type="dxa"/>
              <w:left w:w="15" w:type="dxa"/>
              <w:right w:w="15" w:type="dxa"/>
            </w:tcMar>
            <w:vAlign w:val="center"/>
          </w:tcPr>
          <w:p w14:paraId="598C3780">
            <w:pPr>
              <w:keepNext w:val="0"/>
              <w:keepLines w:val="0"/>
              <w:pageBreakBefore w:val="0"/>
              <w:widowControl/>
              <w:tabs>
                <w:tab w:val="left" w:pos="479"/>
              </w:tabs>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10</w:t>
            </w:r>
          </w:p>
        </w:tc>
      </w:tr>
      <w:tr w14:paraId="635A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trPr>
        <w:tc>
          <w:tcPr>
            <w:tcW w:w="690" w:type="dxa"/>
            <w:vMerge w:val="continue"/>
            <w:tcBorders>
              <w:tl2br w:val="nil"/>
              <w:tr2bl w:val="nil"/>
            </w:tcBorders>
            <w:noWrap w:val="0"/>
            <w:tcMar>
              <w:top w:w="15" w:type="dxa"/>
              <w:left w:w="15" w:type="dxa"/>
              <w:right w:w="15" w:type="dxa"/>
            </w:tcMar>
            <w:vAlign w:val="center"/>
          </w:tcPr>
          <w:p w14:paraId="60FEE36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1063" w:type="dxa"/>
            <w:vMerge w:val="continue"/>
            <w:tcBorders>
              <w:tl2br w:val="nil"/>
              <w:tr2bl w:val="nil"/>
            </w:tcBorders>
            <w:noWrap w:val="0"/>
            <w:tcMar>
              <w:top w:w="15" w:type="dxa"/>
              <w:left w:w="15" w:type="dxa"/>
              <w:right w:w="15" w:type="dxa"/>
            </w:tcMar>
            <w:vAlign w:val="center"/>
          </w:tcPr>
          <w:p w14:paraId="3DD89D3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987" w:type="dxa"/>
            <w:tcBorders>
              <w:tl2br w:val="nil"/>
              <w:tr2bl w:val="nil"/>
            </w:tcBorders>
            <w:noWrap w:val="0"/>
            <w:tcMar>
              <w:top w:w="15" w:type="dxa"/>
              <w:left w:w="15" w:type="dxa"/>
              <w:right w:w="15" w:type="dxa"/>
            </w:tcMar>
            <w:vAlign w:val="center"/>
          </w:tcPr>
          <w:p w14:paraId="0BD1BD1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运维服务及管理机制</w:t>
            </w:r>
          </w:p>
        </w:tc>
        <w:tc>
          <w:tcPr>
            <w:tcW w:w="5900" w:type="dxa"/>
            <w:tcBorders>
              <w:tl2br w:val="nil"/>
              <w:tr2bl w:val="nil"/>
            </w:tcBorders>
            <w:noWrap w:val="0"/>
            <w:tcMar>
              <w:top w:w="15" w:type="dxa"/>
              <w:left w:w="15" w:type="dxa"/>
              <w:right w:w="15" w:type="dxa"/>
            </w:tcMar>
            <w:vAlign w:val="top"/>
          </w:tcPr>
          <w:p w14:paraId="1E715C86">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供应商提供运行维护服务、质量保证方案及完整运维管理机制，内容包含：</w:t>
            </w:r>
          </w:p>
          <w:p w14:paraId="7DAF8B1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①系统维护更新、漏洞修复及数据上报；</w:t>
            </w:r>
          </w:p>
          <w:p w14:paraId="2E6A9D55">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②系统安全、数据质量与备份保障；</w:t>
            </w:r>
          </w:p>
          <w:p w14:paraId="6CD1D520">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③日常巡检、故障响应处置；</w:t>
            </w:r>
          </w:p>
          <w:p w14:paraId="3FD95447">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④变更管控机制；</w:t>
            </w:r>
          </w:p>
          <w:p w14:paraId="0EC5D64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⑤运维质量、人员保障及持续改进；</w:t>
            </w:r>
          </w:p>
          <w:p w14:paraId="4CDF8057">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⑥运维台账与报告报送。</w:t>
            </w:r>
          </w:p>
          <w:p w14:paraId="2419E10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其方案内容完整无缺陷且满足实际情况的得</w:t>
            </w:r>
            <w:r>
              <w:rPr>
                <w:rFonts w:hint="default" w:ascii="宋体" w:hAnsi="宋体" w:eastAsia="宋体" w:cs="宋体"/>
                <w:i w:val="0"/>
                <w:iCs w:val="0"/>
                <w:color w:val="auto"/>
                <w:kern w:val="2"/>
                <w:sz w:val="21"/>
                <w:szCs w:val="21"/>
                <w:highlight w:val="none"/>
                <w:lang w:val="en-US" w:eastAsia="zh-CN" w:bidi="ar-SA"/>
              </w:rPr>
              <w:t>18</w:t>
            </w:r>
            <w:r>
              <w:rPr>
                <w:rFonts w:hint="eastAsia" w:ascii="宋体" w:hAnsi="宋体" w:eastAsia="宋体" w:cs="宋体"/>
                <w:i w:val="0"/>
                <w:iCs w:val="0"/>
                <w:color w:val="auto"/>
                <w:kern w:val="2"/>
                <w:sz w:val="21"/>
                <w:szCs w:val="21"/>
                <w:highlight w:val="none"/>
                <w:lang w:val="en-US" w:eastAsia="zh-CN" w:bidi="ar-SA"/>
              </w:rPr>
              <w:t>分，每有一项缺项或漏项扣3分，每有一处缺陷扣0.5分，扣完为止。</w:t>
            </w:r>
          </w:p>
        </w:tc>
        <w:tc>
          <w:tcPr>
            <w:tcW w:w="1035" w:type="dxa"/>
            <w:tcBorders>
              <w:tl2br w:val="nil"/>
              <w:tr2bl w:val="nil"/>
            </w:tcBorders>
            <w:noWrap w:val="0"/>
            <w:tcMar>
              <w:top w:w="15" w:type="dxa"/>
              <w:left w:w="15" w:type="dxa"/>
              <w:right w:w="15" w:type="dxa"/>
            </w:tcMar>
            <w:vAlign w:val="center"/>
          </w:tcPr>
          <w:p w14:paraId="28DB1D6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18</w:t>
            </w:r>
          </w:p>
        </w:tc>
      </w:tr>
      <w:tr w14:paraId="10D7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trPr>
        <w:tc>
          <w:tcPr>
            <w:tcW w:w="690" w:type="dxa"/>
            <w:vMerge w:val="continue"/>
            <w:tcBorders>
              <w:tl2br w:val="nil"/>
              <w:tr2bl w:val="nil"/>
            </w:tcBorders>
            <w:noWrap w:val="0"/>
            <w:tcMar>
              <w:top w:w="15" w:type="dxa"/>
              <w:left w:w="15" w:type="dxa"/>
              <w:right w:w="15" w:type="dxa"/>
            </w:tcMar>
            <w:vAlign w:val="center"/>
          </w:tcPr>
          <w:p w14:paraId="701F2F9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1063" w:type="dxa"/>
            <w:vMerge w:val="continue"/>
            <w:tcBorders>
              <w:tl2br w:val="nil"/>
              <w:tr2bl w:val="nil"/>
            </w:tcBorders>
            <w:noWrap w:val="0"/>
            <w:tcMar>
              <w:top w:w="15" w:type="dxa"/>
              <w:left w:w="15" w:type="dxa"/>
              <w:right w:w="15" w:type="dxa"/>
            </w:tcMar>
            <w:vAlign w:val="center"/>
          </w:tcPr>
          <w:p w14:paraId="4192368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987" w:type="dxa"/>
            <w:tcBorders>
              <w:tl2br w:val="nil"/>
              <w:tr2bl w:val="nil"/>
            </w:tcBorders>
            <w:noWrap w:val="0"/>
            <w:tcMar>
              <w:top w:w="15" w:type="dxa"/>
              <w:left w:w="15" w:type="dxa"/>
              <w:right w:w="15" w:type="dxa"/>
            </w:tcMar>
            <w:vAlign w:val="center"/>
          </w:tcPr>
          <w:p w14:paraId="1456490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default" w:ascii="宋体" w:hAnsi="宋体" w:eastAsia="宋体" w:cs="宋体"/>
                <w:i w:val="0"/>
                <w:iCs w:val="0"/>
                <w:color w:val="auto"/>
                <w:kern w:val="2"/>
                <w:sz w:val="21"/>
                <w:szCs w:val="21"/>
                <w:highlight w:val="none"/>
                <w:lang w:val="en-US" w:eastAsia="en-US" w:bidi="ar-SA"/>
              </w:rPr>
              <w:t>公共就业服务站宣传文化墙设计制作服务方案</w:t>
            </w:r>
          </w:p>
        </w:tc>
        <w:tc>
          <w:tcPr>
            <w:tcW w:w="5900" w:type="dxa"/>
            <w:tcBorders>
              <w:tl2br w:val="nil"/>
              <w:tr2bl w:val="nil"/>
            </w:tcBorders>
            <w:noWrap w:val="0"/>
            <w:tcMar>
              <w:top w:w="15" w:type="dxa"/>
              <w:left w:w="15" w:type="dxa"/>
              <w:right w:w="15" w:type="dxa"/>
            </w:tcMar>
            <w:vAlign w:val="center"/>
          </w:tcPr>
          <w:p w14:paraId="11C8E514">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en-US" w:bidi="ar-SA"/>
              </w:rPr>
            </w:pPr>
            <w:r>
              <w:rPr>
                <w:rFonts w:hint="default" w:ascii="宋体" w:hAnsi="宋体" w:eastAsia="宋体" w:cs="宋体"/>
                <w:i w:val="0"/>
                <w:iCs w:val="0"/>
                <w:color w:val="auto"/>
                <w:kern w:val="2"/>
                <w:sz w:val="21"/>
                <w:szCs w:val="21"/>
                <w:highlight w:val="none"/>
                <w:lang w:val="en-US" w:eastAsia="en-US" w:bidi="ar-SA"/>
              </w:rPr>
              <w:t>供应商提供公共就业服务站文化墙设计制作、安装及售后整体服务方案，内容包含：</w:t>
            </w:r>
          </w:p>
          <w:p w14:paraId="5C827B14">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en-US" w:bidi="ar-SA"/>
              </w:rPr>
            </w:pPr>
            <w:r>
              <w:rPr>
                <w:rFonts w:hint="default" w:ascii="宋体" w:hAnsi="宋体" w:eastAsia="宋体" w:cs="宋体"/>
                <w:i w:val="0"/>
                <w:iCs w:val="0"/>
                <w:color w:val="auto"/>
                <w:kern w:val="2"/>
                <w:sz w:val="21"/>
                <w:szCs w:val="21"/>
                <w:highlight w:val="none"/>
                <w:lang w:val="en-US" w:eastAsia="en-US" w:bidi="ar-SA"/>
              </w:rPr>
              <w:t>①整体设计理念、主题风格及版面布局规划；</w:t>
            </w:r>
          </w:p>
          <w:p w14:paraId="1892D528">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en-US" w:bidi="ar-SA"/>
              </w:rPr>
            </w:pPr>
            <w:r>
              <w:rPr>
                <w:rFonts w:hint="default" w:ascii="宋体" w:hAnsi="宋体" w:eastAsia="宋体" w:cs="宋体"/>
                <w:i w:val="0"/>
                <w:iCs w:val="0"/>
                <w:color w:val="auto"/>
                <w:kern w:val="2"/>
                <w:sz w:val="21"/>
                <w:szCs w:val="21"/>
                <w:highlight w:val="none"/>
                <w:lang w:val="en-US" w:eastAsia="en-US" w:bidi="ar-SA"/>
              </w:rPr>
              <w:t>②就业创业、便民服务</w:t>
            </w:r>
            <w:r>
              <w:rPr>
                <w:rFonts w:hint="eastAsia" w:ascii="宋体" w:hAnsi="宋体" w:eastAsia="宋体" w:cs="宋体"/>
                <w:i w:val="0"/>
                <w:iCs w:val="0"/>
                <w:color w:val="auto"/>
                <w:kern w:val="2"/>
                <w:sz w:val="21"/>
                <w:szCs w:val="21"/>
                <w:highlight w:val="none"/>
                <w:lang w:val="en-US" w:eastAsia="zh-CN" w:bidi="ar-SA"/>
              </w:rPr>
              <w:t>和</w:t>
            </w:r>
            <w:r>
              <w:rPr>
                <w:rFonts w:hint="default" w:ascii="宋体" w:hAnsi="宋体" w:eastAsia="宋体" w:cs="宋体"/>
                <w:i w:val="0"/>
                <w:iCs w:val="0"/>
                <w:color w:val="auto"/>
                <w:kern w:val="2"/>
                <w:sz w:val="21"/>
                <w:szCs w:val="21"/>
                <w:highlight w:val="none"/>
                <w:lang w:val="en-US" w:eastAsia="en-US" w:bidi="ar-SA"/>
              </w:rPr>
              <w:t>政策宣传板块</w:t>
            </w:r>
            <w:r>
              <w:rPr>
                <w:rFonts w:hint="eastAsia" w:ascii="宋体" w:hAnsi="宋体" w:eastAsia="宋体" w:cs="宋体"/>
                <w:i w:val="0"/>
                <w:iCs w:val="0"/>
                <w:color w:val="auto"/>
                <w:kern w:val="2"/>
                <w:sz w:val="21"/>
                <w:szCs w:val="21"/>
                <w:highlight w:val="none"/>
                <w:lang w:val="en-US" w:eastAsia="zh-CN" w:bidi="ar-SA"/>
              </w:rPr>
              <w:t>设计方案</w:t>
            </w:r>
          </w:p>
          <w:p w14:paraId="4DEC653D">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③</w:t>
            </w:r>
            <w:r>
              <w:rPr>
                <w:rFonts w:hint="default" w:ascii="宋体" w:hAnsi="宋体" w:eastAsia="宋体" w:cs="宋体"/>
                <w:i w:val="0"/>
                <w:iCs w:val="0"/>
                <w:color w:val="auto"/>
                <w:kern w:val="2"/>
                <w:sz w:val="21"/>
                <w:szCs w:val="21"/>
                <w:highlight w:val="none"/>
                <w:lang w:val="en-US" w:eastAsia="en-US" w:bidi="ar-SA"/>
              </w:rPr>
              <w:t>制作材质选型、工艺标准及质量保障</w:t>
            </w:r>
            <w:r>
              <w:rPr>
                <w:rFonts w:hint="eastAsia" w:ascii="宋体" w:hAnsi="宋体" w:eastAsia="宋体" w:cs="宋体"/>
                <w:i w:val="0"/>
                <w:iCs w:val="0"/>
                <w:color w:val="auto"/>
                <w:kern w:val="2"/>
                <w:sz w:val="21"/>
                <w:szCs w:val="21"/>
                <w:highlight w:val="none"/>
                <w:lang w:val="en-US" w:eastAsia="zh-CN" w:bidi="ar-SA"/>
              </w:rPr>
              <w:t>措施</w:t>
            </w:r>
            <w:r>
              <w:rPr>
                <w:rFonts w:hint="default" w:ascii="宋体" w:hAnsi="宋体" w:eastAsia="宋体" w:cs="宋体"/>
                <w:i w:val="0"/>
                <w:iCs w:val="0"/>
                <w:color w:val="auto"/>
                <w:kern w:val="2"/>
                <w:sz w:val="21"/>
                <w:szCs w:val="21"/>
                <w:highlight w:val="none"/>
                <w:lang w:val="en-US" w:eastAsia="en-US" w:bidi="ar-SA"/>
              </w:rPr>
              <w:t>；</w:t>
            </w:r>
          </w:p>
          <w:p w14:paraId="045F786D">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④</w:t>
            </w:r>
            <w:r>
              <w:rPr>
                <w:rFonts w:hint="default" w:ascii="宋体" w:hAnsi="宋体" w:eastAsia="宋体" w:cs="宋体"/>
                <w:i w:val="0"/>
                <w:iCs w:val="0"/>
                <w:color w:val="auto"/>
                <w:kern w:val="2"/>
                <w:sz w:val="21"/>
                <w:szCs w:val="21"/>
                <w:highlight w:val="none"/>
                <w:lang w:val="en-US" w:eastAsia="en-US" w:bidi="ar-SA"/>
              </w:rPr>
              <w:t>现场勘测、安全施工及现场安装方案；</w:t>
            </w:r>
          </w:p>
          <w:p w14:paraId="011E1AA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zh-CN" w:bidi="ar-SA"/>
              </w:rPr>
              <w:t>⑤</w:t>
            </w:r>
            <w:r>
              <w:rPr>
                <w:rFonts w:hint="default" w:ascii="宋体" w:hAnsi="宋体" w:eastAsia="宋体" w:cs="宋体"/>
                <w:i w:val="0"/>
                <w:iCs w:val="0"/>
                <w:color w:val="auto"/>
                <w:kern w:val="2"/>
                <w:sz w:val="21"/>
                <w:szCs w:val="21"/>
                <w:highlight w:val="none"/>
                <w:lang w:val="en-US" w:eastAsia="en-US" w:bidi="ar-SA"/>
              </w:rPr>
              <w:t>成品保护、验收交付实施措施；</w:t>
            </w:r>
          </w:p>
          <w:p w14:paraId="599F3CE6">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en-US" w:bidi="ar-SA"/>
              </w:rPr>
            </w:pPr>
            <w:r>
              <w:rPr>
                <w:rFonts w:hint="default" w:ascii="宋体" w:hAnsi="宋体" w:eastAsia="宋体" w:cs="宋体"/>
                <w:i w:val="0"/>
                <w:iCs w:val="0"/>
                <w:color w:val="auto"/>
                <w:kern w:val="2"/>
                <w:sz w:val="21"/>
                <w:szCs w:val="21"/>
                <w:highlight w:val="none"/>
                <w:lang w:val="en-US" w:eastAsia="en-US" w:bidi="ar-SA"/>
              </w:rPr>
              <w:t>⑥质保服务、后期维护及应急保障机制。</w:t>
            </w:r>
          </w:p>
          <w:p w14:paraId="4654F1DA">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en-US" w:bidi="ar-SA"/>
              </w:rPr>
            </w:pPr>
            <w:r>
              <w:rPr>
                <w:rFonts w:hint="default" w:ascii="宋体" w:hAnsi="宋体" w:eastAsia="宋体" w:cs="宋体"/>
                <w:i w:val="0"/>
                <w:iCs w:val="0"/>
                <w:color w:val="auto"/>
                <w:kern w:val="2"/>
                <w:sz w:val="21"/>
                <w:szCs w:val="21"/>
                <w:highlight w:val="none"/>
                <w:lang w:val="en-US" w:eastAsia="en-US" w:bidi="ar-SA"/>
              </w:rPr>
              <w:t>方案</w:t>
            </w:r>
            <w:r>
              <w:rPr>
                <w:rFonts w:hint="eastAsia" w:ascii="宋体" w:hAnsi="宋体" w:eastAsia="宋体" w:cs="宋体"/>
                <w:i w:val="0"/>
                <w:iCs w:val="0"/>
                <w:color w:val="auto"/>
                <w:kern w:val="2"/>
                <w:sz w:val="21"/>
                <w:szCs w:val="21"/>
                <w:highlight w:val="none"/>
                <w:lang w:val="en-US" w:eastAsia="zh-CN" w:bidi="ar-SA"/>
              </w:rPr>
              <w:t>内容完整无缺陷且满足实际情况</w:t>
            </w:r>
            <w:r>
              <w:rPr>
                <w:rFonts w:hint="default" w:ascii="宋体" w:hAnsi="宋体" w:eastAsia="宋体" w:cs="宋体"/>
                <w:i w:val="0"/>
                <w:iCs w:val="0"/>
                <w:color w:val="auto"/>
                <w:kern w:val="2"/>
                <w:sz w:val="21"/>
                <w:szCs w:val="21"/>
                <w:highlight w:val="none"/>
                <w:lang w:val="en-US" w:eastAsia="en-US" w:bidi="ar-SA"/>
              </w:rPr>
              <w:t>的得</w:t>
            </w:r>
            <w:r>
              <w:rPr>
                <w:rFonts w:hint="eastAsia" w:ascii="宋体" w:hAnsi="宋体" w:eastAsia="宋体" w:cs="宋体"/>
                <w:i w:val="0"/>
                <w:iCs w:val="0"/>
                <w:color w:val="auto"/>
                <w:kern w:val="2"/>
                <w:sz w:val="21"/>
                <w:szCs w:val="21"/>
                <w:highlight w:val="none"/>
                <w:lang w:val="en-US" w:eastAsia="zh-CN" w:bidi="ar-SA"/>
              </w:rPr>
              <w:t>18</w:t>
            </w:r>
            <w:r>
              <w:rPr>
                <w:rFonts w:hint="default" w:ascii="宋体" w:hAnsi="宋体" w:eastAsia="宋体" w:cs="宋体"/>
                <w:i w:val="0"/>
                <w:iCs w:val="0"/>
                <w:color w:val="auto"/>
                <w:kern w:val="2"/>
                <w:sz w:val="21"/>
                <w:szCs w:val="21"/>
                <w:highlight w:val="none"/>
                <w:lang w:val="en-US" w:eastAsia="en-US" w:bidi="ar-SA"/>
              </w:rPr>
              <w:t>分，每有一项缺项或漏项扣3分，每有一处缺陷扣0.5分，扣完为止。</w:t>
            </w:r>
          </w:p>
        </w:tc>
        <w:tc>
          <w:tcPr>
            <w:tcW w:w="1035" w:type="dxa"/>
            <w:tcBorders>
              <w:tl2br w:val="nil"/>
              <w:tr2bl w:val="nil"/>
            </w:tcBorders>
            <w:noWrap w:val="0"/>
            <w:tcMar>
              <w:top w:w="15" w:type="dxa"/>
              <w:left w:w="15" w:type="dxa"/>
              <w:right w:w="15" w:type="dxa"/>
            </w:tcMar>
            <w:vAlign w:val="center"/>
          </w:tcPr>
          <w:p w14:paraId="5B039B1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p>
          <w:p w14:paraId="1BAAB7F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18</w:t>
            </w:r>
          </w:p>
        </w:tc>
      </w:tr>
      <w:tr w14:paraId="5318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trPr>
        <w:tc>
          <w:tcPr>
            <w:tcW w:w="690" w:type="dxa"/>
            <w:vMerge w:val="continue"/>
            <w:tcBorders>
              <w:tl2br w:val="nil"/>
              <w:tr2bl w:val="nil"/>
            </w:tcBorders>
            <w:noWrap w:val="0"/>
            <w:tcMar>
              <w:top w:w="15" w:type="dxa"/>
              <w:left w:w="15" w:type="dxa"/>
              <w:right w:w="15" w:type="dxa"/>
            </w:tcMar>
            <w:vAlign w:val="center"/>
          </w:tcPr>
          <w:p w14:paraId="6FC8E2B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1063" w:type="dxa"/>
            <w:vMerge w:val="continue"/>
            <w:tcBorders>
              <w:tl2br w:val="nil"/>
              <w:tr2bl w:val="nil"/>
            </w:tcBorders>
            <w:noWrap w:val="0"/>
            <w:tcMar>
              <w:top w:w="15" w:type="dxa"/>
              <w:left w:w="15" w:type="dxa"/>
              <w:right w:w="15" w:type="dxa"/>
            </w:tcMar>
            <w:vAlign w:val="center"/>
          </w:tcPr>
          <w:p w14:paraId="635B801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987" w:type="dxa"/>
            <w:tcBorders>
              <w:tl2br w:val="nil"/>
              <w:tr2bl w:val="nil"/>
            </w:tcBorders>
            <w:noWrap w:val="0"/>
            <w:tcMar>
              <w:top w:w="15" w:type="dxa"/>
              <w:left w:w="15" w:type="dxa"/>
              <w:right w:w="15" w:type="dxa"/>
            </w:tcMar>
            <w:vAlign w:val="center"/>
          </w:tcPr>
          <w:p w14:paraId="0D00AFA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en-US" w:bidi="ar-SA"/>
              </w:rPr>
              <w:t>人员培训方案</w:t>
            </w:r>
          </w:p>
        </w:tc>
        <w:tc>
          <w:tcPr>
            <w:tcW w:w="5900" w:type="dxa"/>
            <w:tcBorders>
              <w:tl2br w:val="nil"/>
              <w:tr2bl w:val="nil"/>
            </w:tcBorders>
            <w:noWrap w:val="0"/>
            <w:tcMar>
              <w:top w:w="15" w:type="dxa"/>
              <w:left w:w="15" w:type="dxa"/>
              <w:right w:w="15" w:type="dxa"/>
            </w:tcMar>
            <w:vAlign w:val="center"/>
          </w:tcPr>
          <w:p w14:paraId="57D85B18">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供应商提供人员培训方案，内容包含：</w:t>
            </w:r>
          </w:p>
          <w:p w14:paraId="33E69014">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①培训目标：结合公共就业业务，明确参训人员、预期掌握技能、培训达标量化要求；</w:t>
            </w:r>
          </w:p>
          <w:p w14:paraId="49CEFDC5">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②培训计划：明确培训方式、培训课时、课程大纲、培训时间安排；</w:t>
            </w:r>
          </w:p>
          <w:p w14:paraId="15D73C9A">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③培训考核：设置量化考核方式（笔试/实操），明确合格分数线、考核结果应用、补考机制。</w:t>
            </w:r>
          </w:p>
          <w:p w14:paraId="0A4FCD7A">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其方案</w:t>
            </w:r>
            <w:r>
              <w:rPr>
                <w:rFonts w:hint="eastAsia" w:ascii="宋体" w:hAnsi="宋体" w:eastAsia="宋体" w:cs="宋体"/>
                <w:i w:val="0"/>
                <w:iCs w:val="0"/>
                <w:color w:val="auto"/>
                <w:kern w:val="2"/>
                <w:sz w:val="21"/>
                <w:szCs w:val="21"/>
                <w:highlight w:val="none"/>
                <w:lang w:val="en-US" w:eastAsia="zh-CN" w:bidi="ar-SA"/>
              </w:rPr>
              <w:t>内容完整无缺陷且满足实际情况</w:t>
            </w:r>
            <w:r>
              <w:rPr>
                <w:rFonts w:hint="default" w:ascii="宋体" w:hAnsi="宋体" w:eastAsia="宋体" w:cs="宋体"/>
                <w:i w:val="0"/>
                <w:iCs w:val="0"/>
                <w:color w:val="auto"/>
                <w:kern w:val="2"/>
                <w:sz w:val="21"/>
                <w:szCs w:val="21"/>
                <w:highlight w:val="none"/>
                <w:lang w:val="en-US" w:eastAsia="zh-CN" w:bidi="ar-SA"/>
              </w:rPr>
              <w:t>的得</w:t>
            </w:r>
            <w:r>
              <w:rPr>
                <w:rFonts w:hint="eastAsia" w:ascii="宋体" w:hAnsi="宋体" w:eastAsia="宋体" w:cs="宋体"/>
                <w:i w:val="0"/>
                <w:iCs w:val="0"/>
                <w:color w:val="auto"/>
                <w:kern w:val="2"/>
                <w:sz w:val="21"/>
                <w:szCs w:val="21"/>
                <w:highlight w:val="none"/>
                <w:lang w:val="en-US" w:eastAsia="zh-CN" w:bidi="ar-SA"/>
              </w:rPr>
              <w:t>9</w:t>
            </w:r>
            <w:r>
              <w:rPr>
                <w:rFonts w:hint="default" w:ascii="宋体" w:hAnsi="宋体" w:eastAsia="宋体" w:cs="宋体"/>
                <w:i w:val="0"/>
                <w:iCs w:val="0"/>
                <w:color w:val="auto"/>
                <w:kern w:val="2"/>
                <w:sz w:val="21"/>
                <w:szCs w:val="21"/>
                <w:highlight w:val="none"/>
                <w:lang w:val="en-US" w:eastAsia="zh-CN" w:bidi="ar-SA"/>
              </w:rPr>
              <w:t>分，每有一项缺项或漏项扣</w:t>
            </w:r>
            <w:r>
              <w:rPr>
                <w:rFonts w:hint="eastAsia" w:ascii="宋体" w:hAnsi="宋体" w:eastAsia="宋体" w:cs="宋体"/>
                <w:i w:val="0"/>
                <w:iCs w:val="0"/>
                <w:color w:val="auto"/>
                <w:kern w:val="2"/>
                <w:sz w:val="21"/>
                <w:szCs w:val="21"/>
                <w:highlight w:val="none"/>
                <w:lang w:val="en-US" w:eastAsia="zh-CN" w:bidi="ar-SA"/>
              </w:rPr>
              <w:t>3</w:t>
            </w:r>
            <w:r>
              <w:rPr>
                <w:rFonts w:hint="default" w:ascii="宋体" w:hAnsi="宋体" w:eastAsia="宋体" w:cs="宋体"/>
                <w:i w:val="0"/>
                <w:iCs w:val="0"/>
                <w:color w:val="auto"/>
                <w:kern w:val="2"/>
                <w:sz w:val="21"/>
                <w:szCs w:val="21"/>
                <w:highlight w:val="none"/>
                <w:lang w:val="en-US" w:eastAsia="zh-CN" w:bidi="ar-SA"/>
              </w:rPr>
              <w:t>分，每有一处缺陷扣0.5分，扣完为止。</w:t>
            </w:r>
          </w:p>
        </w:tc>
        <w:tc>
          <w:tcPr>
            <w:tcW w:w="1035" w:type="dxa"/>
            <w:tcBorders>
              <w:tl2br w:val="nil"/>
              <w:tr2bl w:val="nil"/>
            </w:tcBorders>
            <w:noWrap w:val="0"/>
            <w:tcMar>
              <w:top w:w="15" w:type="dxa"/>
              <w:left w:w="15" w:type="dxa"/>
              <w:right w:w="15" w:type="dxa"/>
            </w:tcMar>
            <w:vAlign w:val="center"/>
          </w:tcPr>
          <w:p w14:paraId="1AA8C2E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9</w:t>
            </w:r>
          </w:p>
        </w:tc>
      </w:tr>
      <w:tr w14:paraId="7AC2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1" w:hRule="atLeast"/>
        </w:trPr>
        <w:tc>
          <w:tcPr>
            <w:tcW w:w="690" w:type="dxa"/>
            <w:vMerge w:val="continue"/>
            <w:tcBorders>
              <w:tl2br w:val="nil"/>
              <w:tr2bl w:val="nil"/>
            </w:tcBorders>
            <w:noWrap w:val="0"/>
            <w:tcMar>
              <w:top w:w="15" w:type="dxa"/>
              <w:left w:w="15" w:type="dxa"/>
              <w:right w:w="15" w:type="dxa"/>
            </w:tcMar>
            <w:vAlign w:val="center"/>
          </w:tcPr>
          <w:p w14:paraId="384D734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1063" w:type="dxa"/>
            <w:vMerge w:val="continue"/>
            <w:tcBorders>
              <w:tl2br w:val="nil"/>
              <w:tr2bl w:val="nil"/>
            </w:tcBorders>
            <w:noWrap w:val="0"/>
            <w:tcMar>
              <w:top w:w="15" w:type="dxa"/>
              <w:left w:w="15" w:type="dxa"/>
              <w:right w:w="15" w:type="dxa"/>
            </w:tcMar>
            <w:vAlign w:val="center"/>
          </w:tcPr>
          <w:p w14:paraId="22FD63C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p>
        </w:tc>
        <w:tc>
          <w:tcPr>
            <w:tcW w:w="987" w:type="dxa"/>
            <w:tcBorders>
              <w:tl2br w:val="nil"/>
              <w:tr2bl w:val="nil"/>
            </w:tcBorders>
            <w:noWrap w:val="0"/>
            <w:tcMar>
              <w:top w:w="15" w:type="dxa"/>
              <w:left w:w="15" w:type="dxa"/>
              <w:right w:w="15" w:type="dxa"/>
            </w:tcMar>
            <w:vAlign w:val="center"/>
          </w:tcPr>
          <w:p w14:paraId="4FEA2CA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olor w:val="auto"/>
                <w:kern w:val="2"/>
                <w:sz w:val="21"/>
                <w:szCs w:val="21"/>
                <w:highlight w:val="none"/>
                <w:lang w:val="en-US" w:eastAsia="en-US" w:bidi="ar-SA"/>
              </w:rPr>
            </w:pPr>
            <w:r>
              <w:rPr>
                <w:rFonts w:hint="eastAsia" w:ascii="宋体" w:hAnsi="宋体" w:eastAsia="宋体" w:cs="宋体"/>
                <w:i w:val="0"/>
                <w:iCs w:val="0"/>
                <w:color w:val="auto"/>
                <w:kern w:val="2"/>
                <w:sz w:val="21"/>
                <w:szCs w:val="21"/>
                <w:highlight w:val="none"/>
                <w:lang w:val="en-US" w:eastAsia="en-US" w:bidi="ar-SA"/>
              </w:rPr>
              <w:t>系统应急保障方案</w:t>
            </w:r>
          </w:p>
        </w:tc>
        <w:tc>
          <w:tcPr>
            <w:tcW w:w="5900" w:type="dxa"/>
            <w:tcBorders>
              <w:tl2br w:val="nil"/>
              <w:tr2bl w:val="nil"/>
            </w:tcBorders>
            <w:noWrap w:val="0"/>
            <w:tcMar>
              <w:top w:w="15" w:type="dxa"/>
              <w:left w:w="15" w:type="dxa"/>
              <w:right w:w="15" w:type="dxa"/>
            </w:tcMar>
            <w:vAlign w:val="center"/>
          </w:tcPr>
          <w:p w14:paraId="647036BC">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系统应急保障方案内容完整、科学合理、切实可行，包含：</w:t>
            </w:r>
          </w:p>
          <w:p w14:paraId="2BCFFC70">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①应急响应时间：明确故障分级响应时限，区分重大、一般故障，承诺对应响应到场/远程处置时间；</w:t>
            </w:r>
          </w:p>
          <w:p w14:paraId="5B00A3E7">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②应急处置流程：含故障上报、研判、处置、业务恢复、事后复盘全流程；</w:t>
            </w:r>
          </w:p>
          <w:p w14:paraId="45F1B954">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③应急处置记录：建立台账，完整记录故障现象、处置过程、恢复时间、整改措施；</w:t>
            </w:r>
          </w:p>
          <w:p w14:paraId="485789CD">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④保障措施：含数据备份、安全隔离、备用环境、备品备件、定期应急演练；</w:t>
            </w:r>
          </w:p>
          <w:p w14:paraId="029491B2">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⑤应急保障团队：固定应急小组，明确岗位职责、7×24小时联络机制。</w:t>
            </w:r>
          </w:p>
          <w:p w14:paraId="37BAFF65">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default" w:ascii="宋体" w:hAnsi="宋体" w:eastAsia="宋体" w:cs="宋体"/>
                <w:i w:val="0"/>
                <w:iCs w:val="0"/>
                <w:color w:val="auto"/>
                <w:kern w:val="2"/>
                <w:sz w:val="21"/>
                <w:szCs w:val="21"/>
                <w:highlight w:val="none"/>
                <w:lang w:val="en-US" w:eastAsia="zh-CN" w:bidi="ar-SA"/>
              </w:rPr>
              <w:t>其方案</w:t>
            </w:r>
            <w:r>
              <w:rPr>
                <w:rFonts w:hint="eastAsia" w:ascii="宋体" w:hAnsi="宋体" w:eastAsia="宋体" w:cs="宋体"/>
                <w:i w:val="0"/>
                <w:iCs w:val="0"/>
                <w:color w:val="auto"/>
                <w:kern w:val="2"/>
                <w:sz w:val="21"/>
                <w:szCs w:val="21"/>
                <w:highlight w:val="none"/>
                <w:lang w:val="en-US" w:eastAsia="zh-CN" w:bidi="ar-SA"/>
              </w:rPr>
              <w:t>内容完整无缺陷且满足实际情况</w:t>
            </w:r>
            <w:r>
              <w:rPr>
                <w:rFonts w:hint="default" w:ascii="宋体" w:hAnsi="宋体" w:eastAsia="宋体" w:cs="宋体"/>
                <w:i w:val="0"/>
                <w:iCs w:val="0"/>
                <w:color w:val="auto"/>
                <w:kern w:val="2"/>
                <w:sz w:val="21"/>
                <w:szCs w:val="21"/>
                <w:highlight w:val="none"/>
                <w:lang w:val="en-US" w:eastAsia="zh-CN" w:bidi="ar-SA"/>
              </w:rPr>
              <w:t>的得10分，每有一项缺项或漏项扣2分，每有一处缺陷扣1分，扣完为止。</w:t>
            </w:r>
          </w:p>
        </w:tc>
        <w:tc>
          <w:tcPr>
            <w:tcW w:w="1035" w:type="dxa"/>
            <w:tcBorders>
              <w:tl2br w:val="nil"/>
              <w:tr2bl w:val="nil"/>
            </w:tcBorders>
            <w:noWrap w:val="0"/>
            <w:tcMar>
              <w:top w:w="15" w:type="dxa"/>
              <w:left w:w="15" w:type="dxa"/>
              <w:right w:w="15" w:type="dxa"/>
            </w:tcMar>
            <w:vAlign w:val="center"/>
          </w:tcPr>
          <w:p w14:paraId="5BD6705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10</w:t>
            </w:r>
          </w:p>
        </w:tc>
      </w:tr>
      <w:tr w14:paraId="7626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1" w:hRule="atLeast"/>
        </w:trPr>
        <w:tc>
          <w:tcPr>
            <w:tcW w:w="9675" w:type="dxa"/>
            <w:gridSpan w:val="5"/>
            <w:tcBorders>
              <w:tl2br w:val="nil"/>
              <w:tr2bl w:val="nil"/>
            </w:tcBorders>
            <w:noWrap w:val="0"/>
            <w:tcMar>
              <w:top w:w="15" w:type="dxa"/>
              <w:left w:w="15" w:type="dxa"/>
              <w:right w:w="15" w:type="dxa"/>
            </w:tcMar>
            <w:vAlign w:val="top"/>
          </w:tcPr>
          <w:p w14:paraId="4C725D4C">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说明：</w:t>
            </w:r>
          </w:p>
          <w:p w14:paraId="4B2DBE12">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1.本评审内容中“内容完整且无缺陷"是指：①内容与项目技术服务需求高度吻合，内容层次清晰、细化详实，具备具体、可落地的阐述；②方案结合项目背景、项目实际需求及市场供应现状精准识别项目重点与难点，并提出科学、合理、专业的技术建议及解决方案；③内容符合国家地方、行业相关标准及行业惯例，贴合项目特点，具备可操作性、可落地性，能够保障项目高质量履约，达成本次招标目标；④文本内容清晰明了、表述规范严谨、含义准确、无歧义。</w:t>
            </w:r>
          </w:p>
          <w:p w14:paraId="1137703A">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2.</w:t>
            </w:r>
            <w:r>
              <w:rPr>
                <w:rFonts w:hint="default" w:ascii="宋体" w:hAnsi="宋体" w:eastAsia="宋体" w:cs="宋体"/>
                <w:i w:val="0"/>
                <w:iCs w:val="0"/>
                <w:color w:val="auto"/>
                <w:kern w:val="2"/>
                <w:sz w:val="21"/>
                <w:szCs w:val="21"/>
                <w:highlight w:val="none"/>
                <w:lang w:val="en-US" w:eastAsia="zh-CN" w:bidi="ar-SA"/>
              </w:rPr>
              <w:t>“不满足实际情况”是指：存在内容脱离实际情况不可能实施或套用其他项目方案或引用科学原理错误或项目名称、实施地点、涉及的规范、技术服务标准要求与本项目不一致的任一情形</w:t>
            </w:r>
            <w:r>
              <w:rPr>
                <w:rFonts w:hint="eastAsia" w:ascii="宋体" w:hAnsi="宋体" w:eastAsia="宋体" w:cs="宋体"/>
                <w:i w:val="0"/>
                <w:iCs w:val="0"/>
                <w:color w:val="auto"/>
                <w:kern w:val="2"/>
                <w:sz w:val="21"/>
                <w:szCs w:val="21"/>
                <w:highlight w:val="none"/>
                <w:lang w:val="en-US" w:eastAsia="zh-CN" w:bidi="ar-SA"/>
              </w:rPr>
              <w:t>。</w:t>
            </w:r>
          </w:p>
          <w:p w14:paraId="21425C90">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i w:val="0"/>
                <w:iCs w:val="0"/>
                <w:color w:val="auto"/>
                <w:kern w:val="2"/>
                <w:sz w:val="21"/>
                <w:szCs w:val="21"/>
                <w:highlight w:val="none"/>
                <w:lang w:val="en-US" w:eastAsia="zh-CN" w:bidi="ar-SA"/>
              </w:rPr>
            </w:pPr>
            <w:r>
              <w:rPr>
                <w:rFonts w:hint="eastAsia" w:ascii="宋体" w:hAnsi="宋体" w:eastAsia="宋体" w:cs="宋体"/>
                <w:i w:val="0"/>
                <w:iCs w:val="0"/>
                <w:color w:val="auto"/>
                <w:kern w:val="2"/>
                <w:sz w:val="21"/>
                <w:szCs w:val="21"/>
                <w:highlight w:val="none"/>
                <w:lang w:val="en-US" w:eastAsia="zh-CN" w:bidi="ar-SA"/>
              </w:rPr>
              <w:t>3.本评审内容中“缺陷”情形是指存在以下任意一种情况：①内容与项目实际情况不匹配；②内容不符合项目需求及服务要求；③内容不完善、缺失关键内容或关键实施节点；④未针对招标文件需求对应阐述；⑤方案描述过于简略、无实质性内容；⑥要素缺失、内容不全；⑦前后内容逻辑冲突、自相矛盾；⑧表述模糊、条理不清；⑨内容凭空编造、脱离实际；⑩逻辑混乱、架构错误；⑪引用标准、规范有误或方案内容不具备可实施性、无法落地。</w:t>
            </w:r>
          </w:p>
        </w:tc>
      </w:tr>
    </w:tbl>
    <w:p w14:paraId="578D7C18">
      <w:pPr>
        <w:pStyle w:val="56"/>
        <w:rPr>
          <w:rFonts w:hint="eastAsia" w:cs="方正仿宋_GB2312" w:asciiTheme="minorEastAsia" w:hAnsiTheme="minorEastAsia" w:eastAsiaTheme="minorEastAsia"/>
          <w:b/>
          <w:bCs/>
          <w:sz w:val="31"/>
          <w:szCs w:val="31"/>
          <w:highlight w:val="none"/>
          <w:lang w:eastAsia="zh-CN"/>
        </w:rPr>
      </w:pPr>
    </w:p>
    <w:p w14:paraId="48BB7EF1">
      <w:pPr>
        <w:rPr>
          <w:rFonts w:hint="eastAsia" w:ascii="宋体" w:hAnsi="宋体" w:eastAsia="宋体" w:cs="宋体"/>
          <w:b/>
          <w:bCs/>
          <w:i w:val="0"/>
          <w:iCs w:val="0"/>
          <w:color w:val="auto"/>
          <w:kern w:val="44"/>
          <w:sz w:val="36"/>
          <w:szCs w:val="36"/>
          <w:highlight w:val="none"/>
          <w:lang w:val="en-US" w:eastAsia="zh-CN" w:bidi="ar-SA"/>
        </w:rPr>
      </w:pPr>
      <w:r>
        <w:rPr>
          <w:rFonts w:hint="eastAsia" w:ascii="宋体" w:hAnsi="宋体" w:eastAsia="宋体" w:cs="宋体"/>
          <w:b/>
          <w:bCs/>
          <w:i w:val="0"/>
          <w:iCs w:val="0"/>
          <w:color w:val="auto"/>
          <w:kern w:val="44"/>
          <w:sz w:val="36"/>
          <w:szCs w:val="36"/>
          <w:highlight w:val="none"/>
          <w:lang w:val="en-US" w:eastAsia="zh-CN" w:bidi="ar-SA"/>
        </w:rPr>
        <w:br w:type="page"/>
      </w:r>
    </w:p>
    <w:p w14:paraId="1ECA498E">
      <w:pPr>
        <w:pStyle w:val="4"/>
        <w:keepNext/>
        <w:keepLines/>
        <w:pageBreakBefore w:val="0"/>
        <w:widowControl w:val="0"/>
        <w:numPr>
          <w:ilvl w:val="0"/>
          <w:numId w:val="0"/>
        </w:numPr>
        <w:kinsoku/>
        <w:wordWrap/>
        <w:overflowPunct/>
        <w:topLinePunct w:val="0"/>
        <w:autoSpaceDE/>
        <w:autoSpaceDN/>
        <w:bidi w:val="0"/>
        <w:adjustRightInd/>
        <w:snapToGrid/>
        <w:spacing w:before="220" w:after="220" w:line="480" w:lineRule="auto"/>
        <w:ind w:left="420" w:leftChars="0" w:hanging="420" w:firstLineChars="0"/>
        <w:textAlignment w:val="auto"/>
        <w:rPr>
          <w:rFonts w:hint="eastAsia" w:ascii="宋体" w:hAnsi="宋体" w:eastAsia="宋体" w:cs="宋体"/>
          <w:b/>
          <w:bCs/>
          <w:i w:val="0"/>
          <w:iCs w:val="0"/>
          <w:color w:val="auto"/>
          <w:kern w:val="44"/>
          <w:sz w:val="36"/>
          <w:szCs w:val="36"/>
          <w:highlight w:val="none"/>
          <w:lang w:val="zh-CN" w:eastAsia="zh-CN" w:bidi="ar-SA"/>
        </w:rPr>
      </w:pPr>
      <w:r>
        <w:rPr>
          <w:rFonts w:hint="eastAsia" w:ascii="宋体" w:hAnsi="宋体" w:eastAsia="宋体" w:cs="宋体"/>
          <w:b/>
          <w:bCs/>
          <w:i w:val="0"/>
          <w:iCs w:val="0"/>
          <w:color w:val="auto"/>
          <w:kern w:val="44"/>
          <w:sz w:val="36"/>
          <w:szCs w:val="36"/>
          <w:highlight w:val="none"/>
          <w:lang w:val="en-US" w:eastAsia="zh-CN" w:bidi="ar-SA"/>
        </w:rPr>
        <w:t xml:space="preserve">第五章 </w:t>
      </w:r>
      <w:r>
        <w:rPr>
          <w:rFonts w:hint="eastAsia" w:ascii="宋体" w:hAnsi="宋体" w:eastAsia="宋体" w:cs="宋体"/>
          <w:b/>
          <w:bCs/>
          <w:i w:val="0"/>
          <w:iCs w:val="0"/>
          <w:color w:val="auto"/>
          <w:kern w:val="44"/>
          <w:sz w:val="36"/>
          <w:szCs w:val="36"/>
          <w:highlight w:val="none"/>
          <w:lang w:val="zh-CN" w:eastAsia="zh-CN" w:bidi="ar-SA"/>
        </w:rPr>
        <w:t>合同草案</w:t>
      </w:r>
      <w:bookmarkEnd w:id="467"/>
    </w:p>
    <w:p w14:paraId="2D441BB3">
      <w:pPr>
        <w:spacing w:line="360" w:lineRule="auto"/>
        <w:jc w:val="center"/>
        <w:rPr>
          <w:rFonts w:ascii="宋体" w:hAnsi="宋体" w:cs="宋体"/>
          <w:b/>
          <w:sz w:val="28"/>
          <w:szCs w:val="28"/>
          <w:highlight w:val="none"/>
        </w:rPr>
      </w:pPr>
      <w:r>
        <w:rPr>
          <w:rFonts w:hint="eastAsia" w:ascii="宋体" w:hAnsi="宋体" w:cs="宋体"/>
          <w:b/>
          <w:sz w:val="30"/>
          <w:szCs w:val="30"/>
          <w:highlight w:val="none"/>
        </w:rPr>
        <w:t>｛</w:t>
      </w:r>
      <w:r>
        <w:rPr>
          <w:rFonts w:hint="eastAsia" w:ascii="宋体" w:hAnsi="宋体" w:cs="宋体"/>
          <w:b/>
          <w:sz w:val="30"/>
          <w:szCs w:val="30"/>
          <w:highlight w:val="none"/>
          <w:lang w:val="en-US" w:eastAsia="zh-CN"/>
        </w:rPr>
        <w:t>最终以</w:t>
      </w:r>
      <w:r>
        <w:rPr>
          <w:rFonts w:hint="eastAsia" w:ascii="宋体" w:hAnsi="宋体" w:cs="宋体"/>
          <w:b/>
          <w:sz w:val="30"/>
          <w:szCs w:val="30"/>
          <w:highlight w:val="none"/>
        </w:rPr>
        <w:t>采购人与成交供应商协商签定</w:t>
      </w:r>
      <w:r>
        <w:rPr>
          <w:rFonts w:hint="eastAsia" w:ascii="宋体" w:hAnsi="宋体" w:cs="宋体"/>
          <w:b/>
          <w:sz w:val="30"/>
          <w:szCs w:val="30"/>
          <w:highlight w:val="none"/>
          <w:lang w:val="en-US" w:eastAsia="zh-CN"/>
        </w:rPr>
        <w:t>为准</w:t>
      </w:r>
      <w:r>
        <w:rPr>
          <w:rFonts w:hint="eastAsia" w:ascii="宋体" w:hAnsi="宋体" w:cs="宋体"/>
          <w:b/>
          <w:sz w:val="30"/>
          <w:szCs w:val="30"/>
          <w:highlight w:val="none"/>
        </w:rPr>
        <w:t>｝</w:t>
      </w:r>
    </w:p>
    <w:p w14:paraId="0FFD4912">
      <w:pPr>
        <w:wordWrap w:val="0"/>
        <w:rPr>
          <w:bCs/>
          <w:i w:val="0"/>
          <w:iCs w:val="0"/>
          <w:color w:val="auto"/>
          <w:sz w:val="28"/>
          <w:szCs w:val="28"/>
          <w:highlight w:val="none"/>
        </w:rPr>
      </w:pPr>
      <w:r>
        <w:rPr>
          <w:rFonts w:hint="eastAsia" w:cs="Helvetica"/>
          <w:bCs/>
          <w:i w:val="0"/>
          <w:iCs w:val="0"/>
          <w:color w:val="auto"/>
          <w:sz w:val="24"/>
          <w:szCs w:val="24"/>
          <w:highlight w:val="none"/>
          <w:lang w:val="zh-CN"/>
        </w:rPr>
        <w:t>合同编号：</w:t>
      </w:r>
      <w:r>
        <w:rPr>
          <w:rFonts w:hint="eastAsia" w:cs="Helvetica"/>
          <w:bCs/>
          <w:i w:val="0"/>
          <w:iCs w:val="0"/>
          <w:color w:val="auto"/>
          <w:sz w:val="24"/>
          <w:szCs w:val="24"/>
          <w:highlight w:val="none"/>
          <w:u w:val="single"/>
        </w:rPr>
        <w:t xml:space="preserve">              </w:t>
      </w:r>
    </w:p>
    <w:p w14:paraId="198795FC">
      <w:pPr>
        <w:pStyle w:val="15"/>
        <w:spacing w:after="0"/>
        <w:jc w:val="center"/>
        <w:rPr>
          <w:rFonts w:ascii="宋体" w:hAnsi="宋体" w:cs="宋体"/>
          <w:b/>
          <w:bCs/>
          <w:i w:val="0"/>
          <w:iCs w:val="0"/>
          <w:color w:val="auto"/>
          <w:spacing w:val="-20"/>
          <w:kern w:val="44"/>
          <w:sz w:val="48"/>
          <w:szCs w:val="48"/>
          <w:highlight w:val="none"/>
        </w:rPr>
      </w:pPr>
      <w:bookmarkStart w:id="468" w:name="_Toc3995"/>
    </w:p>
    <w:p w14:paraId="1651DDE2">
      <w:pPr>
        <w:pStyle w:val="15"/>
        <w:spacing w:after="0"/>
        <w:jc w:val="center"/>
        <w:rPr>
          <w:rFonts w:ascii="宋体" w:hAnsi="宋体" w:cs="宋体"/>
          <w:b/>
          <w:bCs/>
          <w:i w:val="0"/>
          <w:iCs w:val="0"/>
          <w:color w:val="auto"/>
          <w:spacing w:val="-20"/>
          <w:kern w:val="44"/>
          <w:sz w:val="48"/>
          <w:szCs w:val="48"/>
          <w:highlight w:val="none"/>
        </w:rPr>
      </w:pPr>
    </w:p>
    <w:p w14:paraId="111E2E4C">
      <w:pPr>
        <w:spacing w:line="480" w:lineRule="auto"/>
        <w:jc w:val="center"/>
        <w:outlineLvl w:val="1"/>
        <w:rPr>
          <w:rFonts w:hint="eastAsia" w:ascii="宋体" w:hAnsi="宋体" w:eastAsia="宋体" w:cs="宋体"/>
          <w:b/>
          <w:bCs/>
          <w:i w:val="0"/>
          <w:iCs w:val="0"/>
          <w:color w:val="auto"/>
          <w:spacing w:val="-20"/>
          <w:kern w:val="44"/>
          <w:sz w:val="44"/>
          <w:szCs w:val="44"/>
          <w:highlight w:val="none"/>
          <w:lang w:val="en-US" w:eastAsia="zh-CN" w:bidi="ar-SA"/>
        </w:rPr>
      </w:pPr>
      <w:bookmarkStart w:id="469" w:name="_Toc10084"/>
      <w:bookmarkStart w:id="470" w:name="_Toc31237"/>
      <w:bookmarkStart w:id="471" w:name="_Toc3714"/>
      <w:r>
        <w:rPr>
          <w:rFonts w:hint="eastAsia" w:ascii="宋体" w:hAnsi="宋体" w:eastAsia="宋体" w:cs="宋体"/>
          <w:b/>
          <w:bCs/>
          <w:i w:val="0"/>
          <w:iCs w:val="0"/>
          <w:color w:val="auto"/>
          <w:spacing w:val="-20"/>
          <w:kern w:val="44"/>
          <w:sz w:val="44"/>
          <w:szCs w:val="44"/>
          <w:highlight w:val="none"/>
          <w:lang w:val="en-US" w:eastAsia="zh-CN" w:bidi="ar-SA"/>
        </w:rPr>
        <w:t>政府采购合同参考范本</w:t>
      </w:r>
      <w:bookmarkEnd w:id="469"/>
      <w:bookmarkEnd w:id="470"/>
      <w:bookmarkEnd w:id="471"/>
    </w:p>
    <w:p w14:paraId="2705894C">
      <w:pPr>
        <w:spacing w:line="480" w:lineRule="auto"/>
        <w:jc w:val="center"/>
        <w:outlineLvl w:val="1"/>
        <w:rPr>
          <w:rFonts w:hint="eastAsia" w:ascii="宋体" w:hAnsi="宋体" w:eastAsia="宋体" w:cs="宋体"/>
          <w:b/>
          <w:i w:val="0"/>
          <w:iCs w:val="0"/>
          <w:color w:val="auto"/>
          <w:sz w:val="28"/>
          <w:szCs w:val="28"/>
          <w:highlight w:val="none"/>
        </w:rPr>
      </w:pPr>
      <w:bookmarkStart w:id="472" w:name="_Toc19383"/>
      <w:bookmarkStart w:id="473" w:name="_Toc8560"/>
      <w:bookmarkStart w:id="474" w:name="_Toc1613"/>
      <w:r>
        <w:rPr>
          <w:rFonts w:hint="eastAsia" w:ascii="宋体" w:hAnsi="宋体" w:eastAsia="宋体" w:cs="宋体"/>
          <w:b/>
          <w:bCs/>
          <w:i w:val="0"/>
          <w:iCs w:val="0"/>
          <w:color w:val="auto"/>
          <w:spacing w:val="-20"/>
          <w:kern w:val="44"/>
          <w:sz w:val="44"/>
          <w:szCs w:val="44"/>
          <w:highlight w:val="none"/>
          <w:lang w:val="en-US" w:eastAsia="zh-CN" w:bidi="ar-SA"/>
        </w:rPr>
        <w:t>（服务类）</w:t>
      </w:r>
      <w:bookmarkEnd w:id="472"/>
      <w:bookmarkEnd w:id="473"/>
      <w:bookmarkEnd w:id="474"/>
    </w:p>
    <w:p w14:paraId="257739F2">
      <w:pPr>
        <w:spacing w:line="480" w:lineRule="auto"/>
        <w:jc w:val="center"/>
        <w:rPr>
          <w:rFonts w:hint="eastAsia" w:ascii="宋体" w:hAnsi="宋体" w:eastAsia="宋体" w:cs="宋体"/>
          <w:b/>
          <w:i w:val="0"/>
          <w:iCs w:val="0"/>
          <w:color w:val="auto"/>
          <w:sz w:val="24"/>
          <w:szCs w:val="24"/>
          <w:highlight w:val="none"/>
        </w:rPr>
      </w:pPr>
    </w:p>
    <w:p w14:paraId="6C81689A">
      <w:pPr>
        <w:pStyle w:val="5"/>
        <w:bidi w:val="0"/>
        <w:jc w:val="center"/>
        <w:rPr>
          <w:rFonts w:hint="eastAsia"/>
          <w:color w:val="auto"/>
          <w:sz w:val="36"/>
          <w:szCs w:val="36"/>
          <w:highlight w:val="none"/>
        </w:rPr>
      </w:pPr>
      <w:bookmarkStart w:id="475" w:name="_Toc6128"/>
      <w:bookmarkStart w:id="476" w:name="_Toc9879"/>
      <w:bookmarkStart w:id="477" w:name="_Toc2449"/>
      <w:r>
        <w:rPr>
          <w:rFonts w:hint="eastAsia"/>
          <w:color w:val="auto"/>
          <w:sz w:val="36"/>
          <w:szCs w:val="36"/>
          <w:highlight w:val="none"/>
        </w:rPr>
        <w:t>第一部分 合同书</w:t>
      </w:r>
      <w:bookmarkEnd w:id="475"/>
      <w:bookmarkEnd w:id="476"/>
      <w:bookmarkEnd w:id="477"/>
    </w:p>
    <w:p w14:paraId="021900A0">
      <w:pPr>
        <w:spacing w:line="480" w:lineRule="auto"/>
        <w:jc w:val="center"/>
        <w:rPr>
          <w:rFonts w:hint="eastAsia" w:ascii="宋体" w:hAnsi="宋体" w:eastAsia="宋体" w:cs="宋体"/>
          <w:b/>
          <w:i w:val="0"/>
          <w:iCs w:val="0"/>
          <w:color w:val="auto"/>
          <w:sz w:val="24"/>
          <w:szCs w:val="24"/>
          <w:highlight w:val="none"/>
        </w:rPr>
      </w:pPr>
    </w:p>
    <w:p w14:paraId="234C6209">
      <w:pPr>
        <w:pStyle w:val="15"/>
        <w:rPr>
          <w:rFonts w:hint="eastAsia" w:ascii="宋体" w:hAnsi="宋体" w:eastAsia="宋体" w:cs="宋体"/>
          <w:i w:val="0"/>
          <w:iCs w:val="0"/>
          <w:color w:val="auto"/>
          <w:highlight w:val="none"/>
        </w:rPr>
      </w:pPr>
    </w:p>
    <w:p w14:paraId="4C3E0641">
      <w:pPr>
        <w:pStyle w:val="15"/>
        <w:rPr>
          <w:rFonts w:hint="eastAsia" w:ascii="宋体" w:hAnsi="宋体" w:eastAsia="宋体" w:cs="宋体"/>
          <w:i w:val="0"/>
          <w:iCs w:val="0"/>
          <w:color w:val="auto"/>
          <w:highlight w:val="none"/>
        </w:rPr>
      </w:pPr>
    </w:p>
    <w:p w14:paraId="333896FE">
      <w:pPr>
        <w:spacing w:before="120" w:line="480" w:lineRule="auto"/>
        <w:ind w:left="960"/>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项目名称：</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（分包项目须填写完整的分包号及分包名称）</w:t>
      </w:r>
    </w:p>
    <w:p w14:paraId="6D3E42BD">
      <w:pPr>
        <w:spacing w:before="120" w:line="480" w:lineRule="auto"/>
        <w:ind w:left="96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项目编号</w:t>
      </w:r>
      <w:r>
        <w:rPr>
          <w:rFonts w:hint="eastAsia" w:ascii="宋体" w:hAnsi="宋体" w:eastAsia="宋体" w:cs="宋体"/>
          <w:i w:val="0"/>
          <w:iCs w:val="0"/>
          <w:color w:val="auto"/>
          <w:sz w:val="24"/>
          <w:szCs w:val="24"/>
          <w:highlight w:val="none"/>
          <w:lang w:val="en-US" w:eastAsia="zh-CN"/>
        </w:rPr>
        <w:t>/包号</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u w:val="single"/>
        </w:rPr>
        <w:t xml:space="preserve">        </w:t>
      </w:r>
    </w:p>
    <w:p w14:paraId="7633499B">
      <w:pPr>
        <w:spacing w:before="120" w:line="480" w:lineRule="auto"/>
        <w:ind w:left="960"/>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甲方（采购人）：</w:t>
      </w:r>
      <w:r>
        <w:rPr>
          <w:rFonts w:hint="eastAsia" w:ascii="宋体" w:hAnsi="宋体" w:eastAsia="宋体" w:cs="宋体"/>
          <w:i w:val="0"/>
          <w:iCs w:val="0"/>
          <w:color w:val="auto"/>
          <w:sz w:val="24"/>
          <w:szCs w:val="24"/>
          <w:highlight w:val="none"/>
          <w:u w:val="single"/>
        </w:rPr>
        <w:t xml:space="preserve">                              </w:t>
      </w:r>
    </w:p>
    <w:p w14:paraId="284C5813">
      <w:pPr>
        <w:spacing w:before="120" w:line="480" w:lineRule="auto"/>
        <w:ind w:left="960"/>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乙方（</w:t>
      </w:r>
      <w:r>
        <w:rPr>
          <w:rFonts w:hint="eastAsia"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rPr>
        <w:t>人）：</w:t>
      </w:r>
      <w:r>
        <w:rPr>
          <w:rFonts w:hint="eastAsia" w:ascii="宋体" w:hAnsi="宋体" w:eastAsia="宋体" w:cs="宋体"/>
          <w:i w:val="0"/>
          <w:iCs w:val="0"/>
          <w:color w:val="auto"/>
          <w:sz w:val="24"/>
          <w:szCs w:val="24"/>
          <w:highlight w:val="none"/>
          <w:u w:val="single"/>
        </w:rPr>
        <w:t xml:space="preserve">                              </w:t>
      </w:r>
    </w:p>
    <w:p w14:paraId="214456F6">
      <w:pPr>
        <w:spacing w:before="120" w:line="480" w:lineRule="auto"/>
        <w:ind w:firstLine="960" w:firstLineChars="400"/>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签订地：</w:t>
      </w:r>
      <w:r>
        <w:rPr>
          <w:rFonts w:hint="eastAsia" w:ascii="宋体" w:hAnsi="宋体" w:eastAsia="宋体" w:cs="宋体"/>
          <w:i w:val="0"/>
          <w:iCs w:val="0"/>
          <w:color w:val="auto"/>
          <w:sz w:val="24"/>
          <w:szCs w:val="24"/>
          <w:highlight w:val="none"/>
          <w:u w:val="single"/>
        </w:rPr>
        <w:t xml:space="preserve">                                     </w:t>
      </w:r>
    </w:p>
    <w:p w14:paraId="591C6EA1">
      <w:pPr>
        <w:spacing w:before="120" w:line="480" w:lineRule="auto"/>
        <w:ind w:firstLine="960" w:firstLineChars="4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签订日期：</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年</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月</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日</w:t>
      </w:r>
    </w:p>
    <w:p w14:paraId="4428F7DF">
      <w:pPr>
        <w:widowControl/>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br w:type="page"/>
      </w:r>
    </w:p>
    <w:p w14:paraId="4B4E4425">
      <w:pPr>
        <w:spacing w:line="360" w:lineRule="auto"/>
        <w:ind w:firstLine="435"/>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w:t>
      </w:r>
      <w:r>
        <w:rPr>
          <w:rFonts w:hint="eastAsia" w:ascii="宋体" w:hAnsi="宋体" w:eastAsia="宋体" w:cs="宋体"/>
          <w:i w:val="0"/>
          <w:iCs w:val="0"/>
          <w:color w:val="auto"/>
          <w:sz w:val="24"/>
          <w:szCs w:val="24"/>
          <w:highlight w:val="none"/>
          <w:lang w:val="zh-CN"/>
        </w:rPr>
        <w:t>以下简称：甲方</w:t>
      </w:r>
      <w:r>
        <w:rPr>
          <w:rFonts w:hint="eastAsia" w:ascii="宋体" w:hAnsi="宋体" w:eastAsia="宋体" w:cs="宋体"/>
          <w:i w:val="0"/>
          <w:iCs w:val="0"/>
          <w:color w:val="auto"/>
          <w:sz w:val="24"/>
          <w:highlight w:val="none"/>
        </w:rPr>
        <w:t>）通过</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组织的</w:t>
      </w:r>
      <w:r>
        <w:rPr>
          <w:rFonts w:hint="eastAsia" w:cs="宋体"/>
          <w:i w:val="0"/>
          <w:iCs w:val="0"/>
          <w:color w:val="auto"/>
          <w:sz w:val="24"/>
          <w:highlight w:val="none"/>
          <w:u w:val="single"/>
          <w:lang w:val="en-US" w:eastAsia="zh-CN"/>
        </w:rPr>
        <w:t>竞争性磋商</w:t>
      </w:r>
      <w:r>
        <w:rPr>
          <w:rFonts w:hint="eastAsia" w:ascii="宋体" w:hAnsi="宋体" w:eastAsia="宋体" w:cs="宋体"/>
          <w:i w:val="0"/>
          <w:iCs w:val="0"/>
          <w:color w:val="auto"/>
          <w:sz w:val="24"/>
          <w:highlight w:val="none"/>
        </w:rPr>
        <w:t>方式采购活动，经</w:t>
      </w:r>
      <w:r>
        <w:rPr>
          <w:rFonts w:hint="eastAsia"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u w:val="single"/>
        </w:rPr>
        <w:t>评</w:t>
      </w:r>
      <w:r>
        <w:rPr>
          <w:rFonts w:hint="eastAsia" w:cs="宋体"/>
          <w:i w:val="0"/>
          <w:iCs w:val="0"/>
          <w:color w:val="auto"/>
          <w:sz w:val="24"/>
          <w:highlight w:val="none"/>
          <w:u w:val="single"/>
          <w:lang w:val="en-US" w:eastAsia="zh-CN"/>
        </w:rPr>
        <w:t xml:space="preserve">审小组  </w:t>
      </w:r>
      <w:r>
        <w:rPr>
          <w:rFonts w:hint="eastAsia" w:ascii="宋体" w:hAnsi="宋体" w:eastAsia="宋体" w:cs="宋体"/>
          <w:i w:val="0"/>
          <w:iCs w:val="0"/>
          <w:color w:val="auto"/>
          <w:sz w:val="24"/>
          <w:highlight w:val="none"/>
        </w:rPr>
        <w:t>评定，</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w:t>
      </w:r>
      <w:r>
        <w:rPr>
          <w:rFonts w:hint="eastAsia" w:ascii="宋体" w:hAnsi="宋体" w:eastAsia="宋体" w:cs="宋体"/>
          <w:i w:val="0"/>
          <w:iCs w:val="0"/>
          <w:color w:val="auto"/>
          <w:sz w:val="24"/>
          <w:szCs w:val="24"/>
          <w:highlight w:val="none"/>
          <w:lang w:val="zh-CN"/>
        </w:rPr>
        <w:t>以下简称：乙方</w:t>
      </w:r>
      <w:r>
        <w:rPr>
          <w:rFonts w:hint="eastAsia" w:ascii="宋体" w:hAnsi="宋体" w:eastAsia="宋体" w:cs="宋体"/>
          <w:i w:val="0"/>
          <w:iCs w:val="0"/>
          <w:color w:val="auto"/>
          <w:sz w:val="24"/>
          <w:highlight w:val="none"/>
        </w:rPr>
        <w:t>）为本项目</w:t>
      </w:r>
      <w:r>
        <w:rPr>
          <w:rFonts w:hint="eastAsia" w:cs="宋体"/>
          <w:i w:val="0"/>
          <w:iCs w:val="0"/>
          <w:color w:val="auto"/>
          <w:sz w:val="24"/>
          <w:highlight w:val="none"/>
          <w:lang w:val="en-US" w:eastAsia="zh-CN"/>
        </w:rPr>
        <w:t>成交</w:t>
      </w:r>
      <w:r>
        <w:rPr>
          <w:rFonts w:hint="eastAsia" w:ascii="宋体" w:hAnsi="宋体" w:eastAsia="宋体" w:cs="宋体"/>
          <w:i w:val="0"/>
          <w:iCs w:val="0"/>
          <w:color w:val="auto"/>
          <w:sz w:val="24"/>
          <w:highlight w:val="none"/>
        </w:rPr>
        <w:t>人，现</w:t>
      </w:r>
      <w:r>
        <w:rPr>
          <w:rFonts w:hint="eastAsia" w:ascii="宋体" w:hAnsi="宋体" w:eastAsia="宋体" w:cs="宋体"/>
          <w:i w:val="0"/>
          <w:iCs w:val="0"/>
          <w:color w:val="auto"/>
          <w:sz w:val="24"/>
          <w:szCs w:val="24"/>
          <w:highlight w:val="none"/>
        </w:rPr>
        <w:t>按照采购文件确定的事项签订本合同。</w:t>
      </w:r>
    </w:p>
    <w:p w14:paraId="0BCD51BE">
      <w:pPr>
        <w:spacing w:line="360" w:lineRule="auto"/>
        <w:ind w:firstLine="435"/>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1C7C689">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478" w:name="_Toc24059"/>
      <w:bookmarkStart w:id="479" w:name="_Toc3029"/>
      <w:bookmarkStart w:id="480" w:name="_Toc2232"/>
      <w:r>
        <w:rPr>
          <w:rFonts w:hint="eastAsia" w:ascii="宋体" w:hAnsi="宋体" w:eastAsia="宋体" w:cs="宋体"/>
          <w:b/>
          <w:bCs/>
          <w:i w:val="0"/>
          <w:iCs w:val="0"/>
          <w:color w:val="auto"/>
          <w:sz w:val="24"/>
          <w:szCs w:val="24"/>
          <w:highlight w:val="none"/>
          <w:lang w:val="zh-CN"/>
        </w:rPr>
        <w:t>1.1 合同组成部分</w:t>
      </w:r>
      <w:bookmarkEnd w:id="478"/>
      <w:bookmarkEnd w:id="479"/>
      <w:bookmarkEnd w:id="480"/>
    </w:p>
    <w:p w14:paraId="28A11AB6">
      <w:pPr>
        <w:spacing w:line="360" w:lineRule="auto"/>
        <w:ind w:firstLine="435"/>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2978B8A">
      <w:pPr>
        <w:spacing w:line="360" w:lineRule="auto"/>
        <w:ind w:firstLine="435"/>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1.1.1本合同及其补充合同、变更协议；</w:t>
      </w:r>
    </w:p>
    <w:p w14:paraId="21C5D368">
      <w:pPr>
        <w:spacing w:line="360" w:lineRule="auto"/>
        <w:ind w:firstLine="435"/>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1.1.2</w:t>
      </w:r>
      <w:r>
        <w:rPr>
          <w:rFonts w:hint="eastAsia" w:cs="宋体"/>
          <w:i w:val="0"/>
          <w:iCs w:val="0"/>
          <w:color w:val="auto"/>
          <w:sz w:val="24"/>
          <w:szCs w:val="24"/>
          <w:highlight w:val="none"/>
          <w:lang w:val="en-US" w:eastAsia="zh-CN"/>
        </w:rPr>
        <w:t>成交</w:t>
      </w:r>
      <w:r>
        <w:rPr>
          <w:rFonts w:hint="eastAsia" w:ascii="宋体" w:hAnsi="宋体" w:eastAsia="宋体" w:cs="宋体"/>
          <w:i w:val="0"/>
          <w:iCs w:val="0"/>
          <w:color w:val="auto"/>
          <w:sz w:val="24"/>
          <w:szCs w:val="24"/>
          <w:highlight w:val="none"/>
          <w:lang w:val="zh-CN"/>
        </w:rPr>
        <w:t>通知书；</w:t>
      </w:r>
    </w:p>
    <w:p w14:paraId="1265946A">
      <w:pPr>
        <w:spacing w:line="360" w:lineRule="auto"/>
        <w:ind w:firstLine="435"/>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1.1.3</w:t>
      </w:r>
      <w:r>
        <w:rPr>
          <w:rFonts w:hint="eastAsia" w:cs="宋体"/>
          <w:i w:val="0"/>
          <w:iCs w:val="0"/>
          <w:color w:val="auto"/>
          <w:sz w:val="24"/>
          <w:szCs w:val="24"/>
          <w:highlight w:val="none"/>
          <w:lang w:val="en-US" w:eastAsia="zh-CN"/>
        </w:rPr>
        <w:t>响应</w:t>
      </w:r>
      <w:r>
        <w:rPr>
          <w:rFonts w:hint="eastAsia" w:ascii="宋体" w:hAnsi="宋体" w:eastAsia="宋体" w:cs="宋体"/>
          <w:i w:val="0"/>
          <w:iCs w:val="0"/>
          <w:color w:val="auto"/>
          <w:sz w:val="24"/>
          <w:szCs w:val="24"/>
          <w:highlight w:val="none"/>
          <w:lang w:val="zh-CN"/>
        </w:rPr>
        <w:t>文件（含澄清或者说明文件）；</w:t>
      </w:r>
    </w:p>
    <w:p w14:paraId="27BAB0C6">
      <w:pPr>
        <w:spacing w:line="360" w:lineRule="auto"/>
        <w:ind w:firstLine="435"/>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1.1.4</w:t>
      </w:r>
      <w:r>
        <w:rPr>
          <w:rFonts w:hint="eastAsia" w:cs="宋体"/>
          <w:i w:val="0"/>
          <w:iCs w:val="0"/>
          <w:color w:val="auto"/>
          <w:sz w:val="24"/>
          <w:szCs w:val="24"/>
          <w:highlight w:val="none"/>
          <w:lang w:val="en-US" w:eastAsia="zh-CN"/>
        </w:rPr>
        <w:t>竞争性磋商</w:t>
      </w:r>
      <w:r>
        <w:rPr>
          <w:rFonts w:hint="eastAsia" w:ascii="宋体" w:hAnsi="宋体" w:eastAsia="宋体" w:cs="宋体"/>
          <w:i w:val="0"/>
          <w:iCs w:val="0"/>
          <w:color w:val="auto"/>
          <w:sz w:val="24"/>
          <w:szCs w:val="24"/>
          <w:highlight w:val="none"/>
          <w:lang w:val="zh-CN"/>
        </w:rPr>
        <w:t>文件（含澄清或者修改文件）；</w:t>
      </w:r>
    </w:p>
    <w:p w14:paraId="4B0E2F2C">
      <w:pPr>
        <w:spacing w:line="360" w:lineRule="auto"/>
        <w:ind w:firstLine="435"/>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1.1.5其他相关采购文件。</w:t>
      </w:r>
    </w:p>
    <w:p w14:paraId="1DAC5EE6">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481" w:name="_Toc2918"/>
      <w:bookmarkStart w:id="482" w:name="_Toc6311"/>
      <w:bookmarkStart w:id="483" w:name="_Toc18585"/>
      <w:bookmarkStart w:id="484" w:name="_Toc22185"/>
      <w:bookmarkStart w:id="485" w:name="_Toc6773"/>
      <w:r>
        <w:rPr>
          <w:rFonts w:hint="eastAsia" w:ascii="宋体" w:hAnsi="宋体" w:eastAsia="宋体" w:cs="宋体"/>
          <w:b/>
          <w:bCs/>
          <w:i w:val="0"/>
          <w:iCs w:val="0"/>
          <w:color w:val="auto"/>
          <w:sz w:val="24"/>
          <w:szCs w:val="24"/>
          <w:highlight w:val="none"/>
          <w:lang w:val="zh-CN"/>
        </w:rPr>
        <w:t xml:space="preserve">1.2 </w:t>
      </w:r>
      <w:bookmarkEnd w:id="481"/>
      <w:bookmarkEnd w:id="482"/>
      <w:bookmarkEnd w:id="483"/>
      <w:bookmarkEnd w:id="484"/>
      <w:bookmarkEnd w:id="485"/>
      <w:r>
        <w:rPr>
          <w:rFonts w:hint="eastAsia" w:ascii="宋体" w:hAnsi="宋体" w:eastAsia="宋体" w:cs="宋体"/>
          <w:b/>
          <w:bCs/>
          <w:i w:val="0"/>
          <w:iCs w:val="0"/>
          <w:color w:val="auto"/>
          <w:sz w:val="24"/>
          <w:szCs w:val="24"/>
          <w:highlight w:val="none"/>
          <w:lang w:val="zh-CN"/>
        </w:rPr>
        <w:t>服务</w:t>
      </w:r>
    </w:p>
    <w:p w14:paraId="383A094A">
      <w:pPr>
        <w:spacing w:line="360" w:lineRule="auto"/>
        <w:ind w:firstLine="435"/>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1.2.1服务名称：</w:t>
      </w:r>
      <w:r>
        <w:rPr>
          <w:rFonts w:hint="eastAsia" w:ascii="宋体" w:hAnsi="宋体" w:eastAsia="宋体" w:cs="宋体"/>
          <w:i w:val="0"/>
          <w:iCs w:val="0"/>
          <w:color w:val="auto"/>
          <w:sz w:val="24"/>
          <w:szCs w:val="24"/>
          <w:highlight w:val="none"/>
          <w:u w:val="single"/>
        </w:rPr>
        <w:t xml:space="preserve">   </w:t>
      </w:r>
      <w:r>
        <w:rPr>
          <w:rFonts w:hint="eastAsia"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7B4138C6">
      <w:pPr>
        <w:spacing w:line="360" w:lineRule="auto"/>
        <w:ind w:firstLine="435"/>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1.2.2服务内容：</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5FDF7B4D">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1.2.3服务质量：</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798DBA4E">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486" w:name="_Toc21631"/>
      <w:bookmarkStart w:id="487" w:name="_Toc21551"/>
      <w:bookmarkStart w:id="488" w:name="_Toc23292"/>
      <w:r>
        <w:rPr>
          <w:rFonts w:hint="eastAsia" w:ascii="宋体" w:hAnsi="宋体" w:eastAsia="宋体" w:cs="宋体"/>
          <w:b/>
          <w:bCs/>
          <w:i w:val="0"/>
          <w:iCs w:val="0"/>
          <w:color w:val="auto"/>
          <w:sz w:val="24"/>
          <w:szCs w:val="24"/>
          <w:highlight w:val="none"/>
          <w:lang w:val="zh-CN"/>
        </w:rPr>
        <w:t>1.3 价款</w:t>
      </w:r>
      <w:bookmarkEnd w:id="486"/>
      <w:bookmarkEnd w:id="487"/>
      <w:bookmarkEnd w:id="488"/>
    </w:p>
    <w:p w14:paraId="7E621D0D">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本合同总价为：￥</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元（大写：人民币</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元）。</w:t>
      </w:r>
    </w:p>
    <w:p w14:paraId="3E854E04">
      <w:pPr>
        <w:spacing w:line="360" w:lineRule="auto"/>
        <w:ind w:firstLine="435"/>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分项价格：</w:t>
      </w:r>
    </w:p>
    <w:tbl>
      <w:tblPr>
        <w:tblStyle w:val="31"/>
        <w:tblW w:w="7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5"/>
        <w:gridCol w:w="2659"/>
        <w:gridCol w:w="2974"/>
      </w:tblGrid>
      <w:tr w14:paraId="1BA5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065" w:type="dxa"/>
            <w:vAlign w:val="center"/>
          </w:tcPr>
          <w:p w14:paraId="02BAF852">
            <w:pPr>
              <w:ind w:firstLine="200"/>
              <w:jc w:val="center"/>
              <w:rPr>
                <w:rFonts w:hint="eastAsia"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序号</w:t>
            </w:r>
          </w:p>
        </w:tc>
        <w:tc>
          <w:tcPr>
            <w:tcW w:w="2659" w:type="dxa"/>
            <w:vAlign w:val="center"/>
          </w:tcPr>
          <w:p w14:paraId="44E0A83C">
            <w:pPr>
              <w:ind w:firstLine="200"/>
              <w:jc w:val="center"/>
              <w:rPr>
                <w:rFonts w:hint="default"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分项名称</w:t>
            </w:r>
          </w:p>
        </w:tc>
        <w:tc>
          <w:tcPr>
            <w:tcW w:w="2974" w:type="dxa"/>
            <w:vAlign w:val="center"/>
          </w:tcPr>
          <w:p w14:paraId="3AD55695">
            <w:pPr>
              <w:ind w:firstLine="200"/>
              <w:jc w:val="center"/>
              <w:rPr>
                <w:rFonts w:hint="default"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分项价格</w:t>
            </w:r>
          </w:p>
        </w:tc>
      </w:tr>
      <w:tr w14:paraId="28D7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065" w:type="dxa"/>
            <w:vAlign w:val="center"/>
          </w:tcPr>
          <w:p w14:paraId="4774F0CC">
            <w:pPr>
              <w:ind w:firstLine="200"/>
              <w:jc w:val="center"/>
              <w:rPr>
                <w:rFonts w:hint="eastAsia"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1</w:t>
            </w:r>
          </w:p>
        </w:tc>
        <w:tc>
          <w:tcPr>
            <w:tcW w:w="2659" w:type="dxa"/>
            <w:vAlign w:val="center"/>
          </w:tcPr>
          <w:p w14:paraId="7D437777">
            <w:pPr>
              <w:ind w:firstLine="200"/>
              <w:jc w:val="center"/>
              <w:rPr>
                <w:rFonts w:hint="eastAsia" w:ascii="宋体" w:hAnsi="宋体" w:eastAsia="宋体" w:cs="宋体"/>
                <w:i w:val="0"/>
                <w:iCs w:val="0"/>
                <w:color w:val="auto"/>
                <w:sz w:val="22"/>
                <w:szCs w:val="22"/>
                <w:highlight w:val="none"/>
              </w:rPr>
            </w:pPr>
          </w:p>
        </w:tc>
        <w:tc>
          <w:tcPr>
            <w:tcW w:w="2974" w:type="dxa"/>
            <w:vAlign w:val="center"/>
          </w:tcPr>
          <w:p w14:paraId="4B463696">
            <w:pPr>
              <w:ind w:firstLine="200"/>
              <w:jc w:val="center"/>
              <w:rPr>
                <w:rFonts w:hint="eastAsia" w:ascii="宋体" w:hAnsi="宋体" w:eastAsia="宋体" w:cs="宋体"/>
                <w:i w:val="0"/>
                <w:iCs w:val="0"/>
                <w:color w:val="auto"/>
                <w:sz w:val="22"/>
                <w:szCs w:val="22"/>
                <w:highlight w:val="none"/>
              </w:rPr>
            </w:pPr>
          </w:p>
        </w:tc>
      </w:tr>
      <w:tr w14:paraId="6188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065" w:type="dxa"/>
            <w:vAlign w:val="center"/>
          </w:tcPr>
          <w:p w14:paraId="2573C22E">
            <w:pPr>
              <w:ind w:firstLine="200"/>
              <w:jc w:val="center"/>
              <w:rPr>
                <w:rFonts w:hint="eastAsia"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2</w:t>
            </w:r>
          </w:p>
        </w:tc>
        <w:tc>
          <w:tcPr>
            <w:tcW w:w="2659" w:type="dxa"/>
            <w:vAlign w:val="center"/>
          </w:tcPr>
          <w:p w14:paraId="70B76E13">
            <w:pPr>
              <w:ind w:firstLine="200"/>
              <w:jc w:val="center"/>
              <w:rPr>
                <w:rFonts w:hint="eastAsia" w:ascii="宋体" w:hAnsi="宋体" w:eastAsia="宋体" w:cs="宋体"/>
                <w:i w:val="0"/>
                <w:iCs w:val="0"/>
                <w:color w:val="auto"/>
                <w:sz w:val="22"/>
                <w:szCs w:val="22"/>
                <w:highlight w:val="none"/>
              </w:rPr>
            </w:pPr>
          </w:p>
        </w:tc>
        <w:tc>
          <w:tcPr>
            <w:tcW w:w="2974" w:type="dxa"/>
            <w:vAlign w:val="center"/>
          </w:tcPr>
          <w:p w14:paraId="5D4BE018">
            <w:pPr>
              <w:ind w:firstLine="200"/>
              <w:jc w:val="center"/>
              <w:rPr>
                <w:rFonts w:hint="eastAsia" w:ascii="宋体" w:hAnsi="宋体" w:eastAsia="宋体" w:cs="宋体"/>
                <w:i w:val="0"/>
                <w:iCs w:val="0"/>
                <w:color w:val="auto"/>
                <w:sz w:val="22"/>
                <w:szCs w:val="22"/>
                <w:highlight w:val="none"/>
              </w:rPr>
            </w:pPr>
          </w:p>
        </w:tc>
      </w:tr>
      <w:tr w14:paraId="614E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065" w:type="dxa"/>
            <w:vAlign w:val="center"/>
          </w:tcPr>
          <w:p w14:paraId="29767425">
            <w:pPr>
              <w:ind w:firstLine="200"/>
              <w:jc w:val="center"/>
              <w:rPr>
                <w:rFonts w:hint="eastAsia"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3</w:t>
            </w:r>
          </w:p>
        </w:tc>
        <w:tc>
          <w:tcPr>
            <w:tcW w:w="2659" w:type="dxa"/>
            <w:vAlign w:val="center"/>
          </w:tcPr>
          <w:p w14:paraId="111F1746">
            <w:pPr>
              <w:ind w:firstLine="200"/>
              <w:jc w:val="center"/>
              <w:rPr>
                <w:rFonts w:hint="eastAsia" w:ascii="宋体" w:hAnsi="宋体" w:eastAsia="宋体" w:cs="宋体"/>
                <w:i w:val="0"/>
                <w:iCs w:val="0"/>
                <w:color w:val="auto"/>
                <w:sz w:val="22"/>
                <w:szCs w:val="22"/>
                <w:highlight w:val="none"/>
              </w:rPr>
            </w:pPr>
          </w:p>
        </w:tc>
        <w:tc>
          <w:tcPr>
            <w:tcW w:w="2974" w:type="dxa"/>
            <w:vAlign w:val="center"/>
          </w:tcPr>
          <w:p w14:paraId="78039904">
            <w:pPr>
              <w:ind w:firstLine="200"/>
              <w:jc w:val="center"/>
              <w:rPr>
                <w:rFonts w:hint="eastAsia" w:ascii="宋体" w:hAnsi="宋体" w:eastAsia="宋体" w:cs="宋体"/>
                <w:i w:val="0"/>
                <w:iCs w:val="0"/>
                <w:color w:val="auto"/>
                <w:sz w:val="22"/>
                <w:szCs w:val="22"/>
                <w:highlight w:val="none"/>
              </w:rPr>
            </w:pPr>
          </w:p>
        </w:tc>
      </w:tr>
      <w:tr w14:paraId="246C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065" w:type="dxa"/>
            <w:vAlign w:val="center"/>
          </w:tcPr>
          <w:p w14:paraId="5BA1DD8F">
            <w:pPr>
              <w:ind w:firstLine="200"/>
              <w:jc w:val="center"/>
              <w:rPr>
                <w:rFonts w:hint="default" w:ascii="宋体" w:hAnsi="宋体" w:eastAsia="宋体" w:cs="宋体"/>
                <w:i w:val="0"/>
                <w:iCs w:val="0"/>
                <w:color w:val="auto"/>
                <w:sz w:val="22"/>
                <w:szCs w:val="22"/>
                <w:highlight w:val="none"/>
                <w:lang w:val="en-US" w:eastAsia="zh-CN"/>
              </w:rPr>
            </w:pPr>
            <w:r>
              <w:rPr>
                <w:rFonts w:hint="eastAsia" w:cs="宋体"/>
                <w:i w:val="0"/>
                <w:iCs w:val="0"/>
                <w:color w:val="auto"/>
                <w:sz w:val="22"/>
                <w:szCs w:val="22"/>
                <w:highlight w:val="none"/>
                <w:lang w:val="en-US" w:eastAsia="zh-CN"/>
              </w:rPr>
              <w:t>``````</w:t>
            </w:r>
          </w:p>
        </w:tc>
        <w:tc>
          <w:tcPr>
            <w:tcW w:w="2659" w:type="dxa"/>
            <w:vAlign w:val="center"/>
          </w:tcPr>
          <w:p w14:paraId="2F10F092">
            <w:pPr>
              <w:ind w:firstLine="200"/>
              <w:jc w:val="center"/>
              <w:rPr>
                <w:rFonts w:hint="eastAsia" w:ascii="宋体" w:hAnsi="宋体" w:eastAsia="宋体" w:cs="宋体"/>
                <w:i w:val="0"/>
                <w:iCs w:val="0"/>
                <w:color w:val="auto"/>
                <w:sz w:val="22"/>
                <w:szCs w:val="22"/>
                <w:highlight w:val="none"/>
              </w:rPr>
            </w:pPr>
          </w:p>
        </w:tc>
        <w:tc>
          <w:tcPr>
            <w:tcW w:w="2974" w:type="dxa"/>
            <w:vAlign w:val="center"/>
          </w:tcPr>
          <w:p w14:paraId="661A857B">
            <w:pPr>
              <w:ind w:firstLine="200"/>
              <w:jc w:val="center"/>
              <w:rPr>
                <w:rFonts w:hint="eastAsia" w:ascii="宋体" w:hAnsi="宋体" w:eastAsia="宋体" w:cs="宋体"/>
                <w:i w:val="0"/>
                <w:iCs w:val="0"/>
                <w:color w:val="auto"/>
                <w:sz w:val="22"/>
                <w:szCs w:val="22"/>
                <w:highlight w:val="none"/>
              </w:rPr>
            </w:pPr>
          </w:p>
        </w:tc>
      </w:tr>
      <w:tr w14:paraId="4B03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724" w:type="dxa"/>
            <w:gridSpan w:val="2"/>
            <w:vAlign w:val="center"/>
          </w:tcPr>
          <w:p w14:paraId="39060866">
            <w:pPr>
              <w:ind w:firstLine="200"/>
              <w:jc w:val="center"/>
              <w:rPr>
                <w:rFonts w:hint="eastAsia" w:ascii="宋体" w:hAnsi="宋体" w:eastAsia="宋体" w:cs="宋体"/>
                <w:i w:val="0"/>
                <w:iCs w:val="0"/>
                <w:color w:val="auto"/>
                <w:sz w:val="22"/>
                <w:szCs w:val="22"/>
                <w:highlight w:val="none"/>
              </w:rPr>
            </w:pPr>
            <w:r>
              <w:rPr>
                <w:rFonts w:hint="eastAsia" w:cs="宋体"/>
                <w:i w:val="0"/>
                <w:iCs w:val="0"/>
                <w:color w:val="auto"/>
                <w:sz w:val="22"/>
                <w:szCs w:val="22"/>
                <w:highlight w:val="none"/>
                <w:lang w:val="en-US" w:eastAsia="zh-CN"/>
              </w:rPr>
              <w:t>总价</w:t>
            </w:r>
          </w:p>
        </w:tc>
        <w:tc>
          <w:tcPr>
            <w:tcW w:w="2974" w:type="dxa"/>
            <w:vAlign w:val="center"/>
          </w:tcPr>
          <w:p w14:paraId="1F22A1FA">
            <w:pPr>
              <w:ind w:firstLine="200"/>
              <w:jc w:val="center"/>
              <w:rPr>
                <w:rFonts w:hint="eastAsia" w:ascii="宋体" w:hAnsi="宋体" w:eastAsia="宋体" w:cs="宋体"/>
                <w:i w:val="0"/>
                <w:iCs w:val="0"/>
                <w:color w:val="auto"/>
                <w:sz w:val="22"/>
                <w:szCs w:val="22"/>
                <w:highlight w:val="none"/>
              </w:rPr>
            </w:pPr>
          </w:p>
        </w:tc>
      </w:tr>
    </w:tbl>
    <w:p w14:paraId="14083BB1">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489" w:name="_Toc10340"/>
      <w:bookmarkStart w:id="490" w:name="_Toc1814"/>
      <w:bookmarkStart w:id="491" w:name="_Toc22618"/>
    </w:p>
    <w:p w14:paraId="7CE48A67">
      <w:pPr>
        <w:spacing w:line="360" w:lineRule="auto"/>
        <w:ind w:firstLine="437"/>
        <w:outlineLvl w:val="2"/>
        <w:rPr>
          <w:rFonts w:hint="eastAsia" w:ascii="宋体" w:hAnsi="宋体" w:eastAsia="宋体" w:cs="宋体"/>
          <w:b/>
          <w:bCs/>
          <w:i w:val="0"/>
          <w:iCs w:val="0"/>
          <w:color w:val="auto"/>
          <w:sz w:val="24"/>
          <w:szCs w:val="24"/>
          <w:highlight w:val="none"/>
          <w:lang w:val="zh-CN"/>
        </w:rPr>
      </w:pPr>
      <w:r>
        <w:rPr>
          <w:rFonts w:hint="eastAsia" w:ascii="宋体" w:hAnsi="宋体" w:eastAsia="宋体" w:cs="宋体"/>
          <w:b/>
          <w:bCs/>
          <w:i w:val="0"/>
          <w:iCs w:val="0"/>
          <w:color w:val="auto"/>
          <w:sz w:val="24"/>
          <w:szCs w:val="24"/>
          <w:highlight w:val="none"/>
          <w:lang w:val="zh-CN"/>
        </w:rPr>
        <w:t>1.4 付款方式和发票开具方式</w:t>
      </w:r>
      <w:bookmarkEnd w:id="489"/>
      <w:bookmarkEnd w:id="490"/>
      <w:bookmarkEnd w:id="491"/>
    </w:p>
    <w:p w14:paraId="1D172AC2">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1.4.1付款方式：</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400E1317">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1.4.2发票开具方式：</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799F0ADB">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492" w:name="_Toc19304"/>
      <w:bookmarkStart w:id="493" w:name="_Toc32071"/>
      <w:bookmarkStart w:id="494" w:name="_Toc2846"/>
      <w:r>
        <w:rPr>
          <w:rFonts w:hint="eastAsia" w:ascii="宋体" w:hAnsi="宋体" w:eastAsia="宋体" w:cs="宋体"/>
          <w:b/>
          <w:bCs/>
          <w:i w:val="0"/>
          <w:iCs w:val="0"/>
          <w:color w:val="auto"/>
          <w:sz w:val="24"/>
          <w:szCs w:val="24"/>
          <w:highlight w:val="none"/>
          <w:lang w:val="zh-CN"/>
        </w:rPr>
        <w:t>1.5 服务期限、地点和方式</w:t>
      </w:r>
      <w:bookmarkEnd w:id="492"/>
      <w:bookmarkEnd w:id="493"/>
      <w:bookmarkEnd w:id="494"/>
    </w:p>
    <w:p w14:paraId="44A02FAD">
      <w:pPr>
        <w:spacing w:line="360" w:lineRule="auto"/>
        <w:ind w:firstLine="435"/>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1.5.1服务期限：</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3F6BD14A">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1.5.2服务地点：</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73CD11B8">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1.5.3服务方式：</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10CC4562">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495" w:name="_Toc27250"/>
      <w:bookmarkStart w:id="496" w:name="_Toc19554"/>
      <w:bookmarkStart w:id="497" w:name="_Toc21423"/>
      <w:r>
        <w:rPr>
          <w:rFonts w:hint="eastAsia" w:ascii="宋体" w:hAnsi="宋体" w:eastAsia="宋体" w:cs="宋体"/>
          <w:b/>
          <w:bCs/>
          <w:i w:val="0"/>
          <w:iCs w:val="0"/>
          <w:color w:val="auto"/>
          <w:sz w:val="24"/>
          <w:szCs w:val="24"/>
          <w:highlight w:val="none"/>
          <w:lang w:val="zh-CN"/>
        </w:rPr>
        <w:t>1.6 违约责任</w:t>
      </w:r>
      <w:bookmarkEnd w:id="495"/>
      <w:bookmarkEnd w:id="496"/>
      <w:bookmarkEnd w:id="497"/>
    </w:p>
    <w:p w14:paraId="5CD8E337">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%计算，最高限额为本合同总价的</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%；迟延履行的违约金计算数额达到前述最高限额之日起，甲方有权在要求乙方支付违约金的同时，书面通知乙方解除本合同；</w:t>
      </w:r>
    </w:p>
    <w:p w14:paraId="29EC29F4">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%计算，最高限额为本合同总价的</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%；迟延付款的违约金计算数额达到前述最高限额之日起，乙方有权在要求甲方支付违约金的同时，书面通知甲方解除本合同；</w:t>
      </w:r>
    </w:p>
    <w:p w14:paraId="71D2D397">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964794D">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7113613">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88AE8C7">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801D578">
      <w:pPr>
        <w:keepNext w:val="0"/>
        <w:keepLines w:val="0"/>
        <w:pageBreakBefore w:val="0"/>
        <w:widowControl w:val="0"/>
        <w:kinsoku/>
        <w:wordWrap/>
        <w:overflowPunct/>
        <w:topLinePunct w:val="0"/>
        <w:autoSpaceDE/>
        <w:autoSpaceDN/>
        <w:bidi w:val="0"/>
        <w:adjustRightInd/>
        <w:snapToGrid/>
        <w:spacing w:line="360" w:lineRule="auto"/>
        <w:ind w:firstLine="437"/>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1.6.7因甲方未按合同约定支付价款、未按合同约定受领标的物、擅自解除合同</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3B5338B6">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498" w:name="_Toc16021"/>
      <w:bookmarkStart w:id="499" w:name="_Toc28375"/>
      <w:bookmarkStart w:id="500" w:name="_Toc15583"/>
      <w:r>
        <w:rPr>
          <w:rFonts w:hint="eastAsia" w:ascii="宋体" w:hAnsi="宋体" w:eastAsia="宋体" w:cs="宋体"/>
          <w:b/>
          <w:bCs/>
          <w:i w:val="0"/>
          <w:iCs w:val="0"/>
          <w:color w:val="auto"/>
          <w:sz w:val="24"/>
          <w:szCs w:val="24"/>
          <w:highlight w:val="none"/>
          <w:lang w:val="zh-CN"/>
        </w:rPr>
        <w:t>1.7 合同争议的解决</w:t>
      </w:r>
      <w:bookmarkEnd w:id="498"/>
      <w:bookmarkEnd w:id="499"/>
      <w:bookmarkEnd w:id="500"/>
    </w:p>
    <w:p w14:paraId="2C0BFB83">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本合同履行过程中发生的任何争议，双方当事人均可通过和解或者调解解决；不愿和解、调解或者和解、调解不成的，可以选择下列第</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种方式解决：</w:t>
      </w:r>
    </w:p>
    <w:p w14:paraId="2AC0551D">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1.7.1将争议提交</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仲裁委员会依申请仲裁时其现行有效的仲裁规则裁决；</w:t>
      </w:r>
    </w:p>
    <w:p w14:paraId="47F9B6BC">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1.7.2向</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人民法院起诉。</w:t>
      </w:r>
    </w:p>
    <w:p w14:paraId="11474161">
      <w:pPr>
        <w:rPr>
          <w:rFonts w:hint="eastAsia" w:ascii="宋体" w:hAnsi="宋体" w:eastAsia="宋体" w:cs="宋体"/>
          <w:b/>
          <w:bCs/>
          <w:i w:val="0"/>
          <w:iCs w:val="0"/>
          <w:color w:val="auto"/>
          <w:sz w:val="24"/>
          <w:szCs w:val="24"/>
          <w:highlight w:val="none"/>
          <w:lang w:val="zh-CN"/>
        </w:rPr>
      </w:pPr>
      <w:bookmarkStart w:id="501" w:name="_Toc11173"/>
      <w:bookmarkStart w:id="502" w:name="_Toc7245"/>
      <w:bookmarkStart w:id="503" w:name="_Toc15322"/>
      <w:r>
        <w:rPr>
          <w:rFonts w:hint="eastAsia" w:ascii="宋体" w:hAnsi="宋体" w:eastAsia="宋体" w:cs="宋体"/>
          <w:b/>
          <w:bCs/>
          <w:i w:val="0"/>
          <w:iCs w:val="0"/>
          <w:color w:val="auto"/>
          <w:sz w:val="24"/>
          <w:szCs w:val="24"/>
          <w:highlight w:val="none"/>
          <w:lang w:val="zh-CN"/>
        </w:rPr>
        <w:br w:type="page"/>
      </w:r>
    </w:p>
    <w:p w14:paraId="3B63ED76">
      <w:pPr>
        <w:spacing w:line="360" w:lineRule="auto"/>
        <w:ind w:firstLine="437"/>
        <w:outlineLvl w:val="2"/>
        <w:rPr>
          <w:rFonts w:hint="eastAsia" w:ascii="宋体" w:hAnsi="宋体" w:eastAsia="宋体" w:cs="宋体"/>
          <w:b/>
          <w:bCs/>
          <w:i w:val="0"/>
          <w:iCs w:val="0"/>
          <w:color w:val="auto"/>
          <w:sz w:val="24"/>
          <w:szCs w:val="24"/>
          <w:highlight w:val="none"/>
          <w:lang w:val="zh-CN"/>
        </w:rPr>
      </w:pPr>
      <w:r>
        <w:rPr>
          <w:rFonts w:hint="eastAsia" w:ascii="宋体" w:hAnsi="宋体" w:eastAsia="宋体" w:cs="宋体"/>
          <w:b/>
          <w:bCs/>
          <w:i w:val="0"/>
          <w:iCs w:val="0"/>
          <w:color w:val="auto"/>
          <w:sz w:val="24"/>
          <w:szCs w:val="24"/>
          <w:highlight w:val="none"/>
          <w:lang w:val="zh-CN"/>
        </w:rPr>
        <w:t>1.8 合同生效</w:t>
      </w:r>
      <w:bookmarkEnd w:id="501"/>
      <w:bookmarkEnd w:id="502"/>
      <w:bookmarkEnd w:id="503"/>
    </w:p>
    <w:p w14:paraId="5B80F568">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本合同自双方当事人盖章时生效。</w:t>
      </w:r>
    </w:p>
    <w:p w14:paraId="521EDEA2">
      <w:pPr>
        <w:autoSpaceDE w:val="0"/>
        <w:autoSpaceDN w:val="0"/>
        <w:adjustRightInd w:val="0"/>
        <w:spacing w:line="560" w:lineRule="exact"/>
        <w:rPr>
          <w:rFonts w:hint="eastAsia" w:ascii="宋体" w:hAnsi="宋体" w:eastAsia="宋体" w:cs="宋体"/>
          <w:i w:val="0"/>
          <w:iCs w:val="0"/>
          <w:color w:val="auto"/>
          <w:sz w:val="24"/>
          <w:szCs w:val="24"/>
          <w:highlight w:val="none"/>
          <w:lang w:val="zh-CN"/>
        </w:rPr>
      </w:pPr>
    </w:p>
    <w:p w14:paraId="5A26C339">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bCs/>
          <w:i w:val="0"/>
          <w:iCs w:val="0"/>
          <w:color w:val="auto"/>
          <w:sz w:val="24"/>
          <w:szCs w:val="24"/>
          <w:highlight w:val="none"/>
          <w:lang w:val="zh-CN"/>
        </w:rPr>
      </w:pPr>
      <w:r>
        <w:rPr>
          <w:rFonts w:hint="eastAsia" w:ascii="宋体" w:hAnsi="宋体" w:eastAsia="宋体" w:cs="宋体"/>
          <w:bCs/>
          <w:i w:val="0"/>
          <w:iCs w:val="0"/>
          <w:color w:val="auto"/>
          <w:sz w:val="24"/>
          <w:szCs w:val="24"/>
          <w:highlight w:val="none"/>
          <w:lang w:val="zh-CN"/>
        </w:rPr>
        <w:t>甲    方：</w:t>
      </w:r>
      <w:r>
        <w:rPr>
          <w:rFonts w:hint="eastAsia" w:ascii="宋体" w:hAnsi="宋体" w:eastAsia="宋体" w:cs="宋体"/>
          <w:bCs/>
          <w:i w:val="0"/>
          <w:iCs w:val="0"/>
          <w:color w:val="auto"/>
          <w:sz w:val="24"/>
          <w:szCs w:val="24"/>
          <w:highlight w:val="none"/>
          <w:u w:val="single"/>
          <w:lang w:val="zh-CN"/>
        </w:rPr>
        <w:t xml:space="preserve">    （单位盖章）     </w:t>
      </w:r>
      <w:r>
        <w:rPr>
          <w:rFonts w:hint="eastAsia" w:ascii="宋体" w:hAnsi="宋体" w:eastAsia="宋体" w:cs="宋体"/>
          <w:bCs/>
          <w:i w:val="0"/>
          <w:iCs w:val="0"/>
          <w:color w:val="auto"/>
          <w:sz w:val="24"/>
          <w:szCs w:val="24"/>
          <w:highlight w:val="none"/>
          <w:lang w:val="zh-CN"/>
        </w:rPr>
        <w:t xml:space="preserve">          乙方：</w:t>
      </w:r>
      <w:r>
        <w:rPr>
          <w:rFonts w:hint="eastAsia" w:ascii="宋体" w:hAnsi="宋体" w:eastAsia="宋体" w:cs="宋体"/>
          <w:bCs/>
          <w:i w:val="0"/>
          <w:iCs w:val="0"/>
          <w:color w:val="auto"/>
          <w:sz w:val="24"/>
          <w:szCs w:val="24"/>
          <w:highlight w:val="none"/>
          <w:u w:val="single"/>
          <w:lang w:val="zh-CN"/>
        </w:rPr>
        <w:t xml:space="preserve">    （单位盖章）     </w:t>
      </w:r>
    </w:p>
    <w:p w14:paraId="709EF0D1">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法定代表人                               法定代表人</w:t>
      </w:r>
    </w:p>
    <w:p w14:paraId="75A60BC4">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i w:val="0"/>
          <w:iCs w:val="0"/>
          <w:color w:val="auto"/>
          <w:sz w:val="24"/>
          <w:szCs w:val="24"/>
          <w:highlight w:val="none"/>
          <w:lang w:val="zh-CN"/>
        </w:rPr>
      </w:pPr>
      <w:r>
        <w:rPr>
          <w:rFonts w:hint="eastAsia" w:ascii="宋体" w:hAnsi="宋体" w:eastAsia="宋体" w:cs="宋体"/>
          <w:i w:val="0"/>
          <w:iCs w:val="0"/>
          <w:color w:val="auto"/>
          <w:sz w:val="24"/>
          <w:szCs w:val="24"/>
          <w:highlight w:val="none"/>
          <w:lang w:val="zh-CN"/>
        </w:rPr>
        <w:t>或授权代表（签字）：                      或授权代表（签字）：</w:t>
      </w:r>
    </w:p>
    <w:p w14:paraId="0FAE2AC3">
      <w:pPr>
        <w:keepNext w:val="0"/>
        <w:keepLines w:val="0"/>
        <w:pageBreakBefore w:val="0"/>
        <w:widowControl/>
        <w:kinsoku/>
        <w:wordWrap/>
        <w:overflowPunct/>
        <w:topLinePunct w:val="0"/>
        <w:bidi w:val="0"/>
        <w:snapToGrid/>
        <w:spacing w:line="500" w:lineRule="exact"/>
        <w:jc w:val="left"/>
        <w:textAlignment w:val="auto"/>
        <w:rPr>
          <w:rFonts w:hint="eastAsia" w:ascii="宋体" w:hAnsi="宋体" w:eastAsia="宋体" w:cs="宋体"/>
          <w:bCs/>
          <w:i w:val="0"/>
          <w:iCs w:val="0"/>
          <w:color w:val="auto"/>
          <w:sz w:val="24"/>
          <w:szCs w:val="24"/>
          <w:highlight w:val="none"/>
        </w:rPr>
      </w:pPr>
      <w:bookmarkStart w:id="504" w:name="_Toc331685783"/>
      <w:r>
        <w:rPr>
          <w:rFonts w:hint="eastAsia" w:ascii="宋体" w:hAnsi="宋体" w:eastAsia="宋体" w:cs="宋体"/>
          <w:bCs/>
          <w:i w:val="0"/>
          <w:iCs w:val="0"/>
          <w:color w:val="auto"/>
          <w:sz w:val="24"/>
          <w:szCs w:val="24"/>
          <w:highlight w:val="none"/>
        </w:rPr>
        <w:t>时间：</w:t>
      </w:r>
      <w:r>
        <w:rPr>
          <w:rFonts w:hint="eastAsia" w:ascii="宋体" w:hAnsi="宋体" w:eastAsia="宋体" w:cs="宋体"/>
          <w:bCs/>
          <w:i w:val="0"/>
          <w:iCs w:val="0"/>
          <w:color w:val="auto"/>
          <w:sz w:val="24"/>
          <w:szCs w:val="24"/>
          <w:highlight w:val="none"/>
          <w:u w:val="single"/>
        </w:rPr>
        <w:t xml:space="preserve">      </w:t>
      </w:r>
      <w:r>
        <w:rPr>
          <w:rFonts w:hint="eastAsia" w:ascii="宋体" w:hAnsi="宋体" w:eastAsia="宋体" w:cs="宋体"/>
          <w:bCs/>
          <w:i w:val="0"/>
          <w:iCs w:val="0"/>
          <w:color w:val="auto"/>
          <w:sz w:val="24"/>
          <w:szCs w:val="24"/>
          <w:highlight w:val="none"/>
        </w:rPr>
        <w:t>年</w:t>
      </w:r>
      <w:r>
        <w:rPr>
          <w:rFonts w:hint="eastAsia" w:ascii="宋体" w:hAnsi="宋体" w:eastAsia="宋体" w:cs="宋体"/>
          <w:bCs/>
          <w:i w:val="0"/>
          <w:iCs w:val="0"/>
          <w:color w:val="auto"/>
          <w:sz w:val="24"/>
          <w:szCs w:val="24"/>
          <w:highlight w:val="none"/>
          <w:u w:val="single"/>
        </w:rPr>
        <w:t xml:space="preserve">    </w:t>
      </w:r>
      <w:r>
        <w:rPr>
          <w:rFonts w:hint="eastAsia" w:ascii="宋体" w:hAnsi="宋体" w:eastAsia="宋体" w:cs="宋体"/>
          <w:bCs/>
          <w:i w:val="0"/>
          <w:iCs w:val="0"/>
          <w:color w:val="auto"/>
          <w:sz w:val="24"/>
          <w:szCs w:val="24"/>
          <w:highlight w:val="none"/>
        </w:rPr>
        <w:t>月</w:t>
      </w:r>
      <w:r>
        <w:rPr>
          <w:rFonts w:hint="eastAsia" w:ascii="宋体" w:hAnsi="宋体" w:eastAsia="宋体" w:cs="宋体"/>
          <w:bCs/>
          <w:i w:val="0"/>
          <w:iCs w:val="0"/>
          <w:color w:val="auto"/>
          <w:sz w:val="24"/>
          <w:szCs w:val="24"/>
          <w:highlight w:val="none"/>
          <w:u w:val="single"/>
        </w:rPr>
        <w:t xml:space="preserve">    </w:t>
      </w:r>
      <w:r>
        <w:rPr>
          <w:rFonts w:hint="eastAsia" w:ascii="宋体" w:hAnsi="宋体" w:eastAsia="宋体" w:cs="宋体"/>
          <w:bCs/>
          <w:i w:val="0"/>
          <w:iCs w:val="0"/>
          <w:color w:val="auto"/>
          <w:sz w:val="24"/>
          <w:szCs w:val="24"/>
          <w:highlight w:val="none"/>
        </w:rPr>
        <w:t>日               时间：</w:t>
      </w:r>
      <w:r>
        <w:rPr>
          <w:rFonts w:hint="eastAsia" w:ascii="宋体" w:hAnsi="宋体" w:eastAsia="宋体" w:cs="宋体"/>
          <w:bCs/>
          <w:i w:val="0"/>
          <w:iCs w:val="0"/>
          <w:color w:val="auto"/>
          <w:sz w:val="24"/>
          <w:szCs w:val="24"/>
          <w:highlight w:val="none"/>
          <w:u w:val="single"/>
        </w:rPr>
        <w:t xml:space="preserve">      </w:t>
      </w:r>
      <w:r>
        <w:rPr>
          <w:rFonts w:hint="eastAsia" w:ascii="宋体" w:hAnsi="宋体" w:eastAsia="宋体" w:cs="宋体"/>
          <w:bCs/>
          <w:i w:val="0"/>
          <w:iCs w:val="0"/>
          <w:color w:val="auto"/>
          <w:sz w:val="24"/>
          <w:szCs w:val="24"/>
          <w:highlight w:val="none"/>
        </w:rPr>
        <w:t>年</w:t>
      </w:r>
      <w:r>
        <w:rPr>
          <w:rFonts w:hint="eastAsia" w:ascii="宋体" w:hAnsi="宋体" w:eastAsia="宋体" w:cs="宋体"/>
          <w:bCs/>
          <w:i w:val="0"/>
          <w:iCs w:val="0"/>
          <w:color w:val="auto"/>
          <w:sz w:val="24"/>
          <w:szCs w:val="24"/>
          <w:highlight w:val="none"/>
          <w:u w:val="single"/>
        </w:rPr>
        <w:t xml:space="preserve">    </w:t>
      </w:r>
      <w:r>
        <w:rPr>
          <w:rFonts w:hint="eastAsia" w:ascii="宋体" w:hAnsi="宋体" w:eastAsia="宋体" w:cs="宋体"/>
          <w:bCs/>
          <w:i w:val="0"/>
          <w:iCs w:val="0"/>
          <w:color w:val="auto"/>
          <w:sz w:val="24"/>
          <w:szCs w:val="24"/>
          <w:highlight w:val="none"/>
        </w:rPr>
        <w:t>月</w:t>
      </w:r>
      <w:r>
        <w:rPr>
          <w:rFonts w:hint="eastAsia" w:ascii="宋体" w:hAnsi="宋体" w:eastAsia="宋体" w:cs="宋体"/>
          <w:bCs/>
          <w:i w:val="0"/>
          <w:iCs w:val="0"/>
          <w:color w:val="auto"/>
          <w:sz w:val="24"/>
          <w:szCs w:val="24"/>
          <w:highlight w:val="none"/>
          <w:u w:val="single"/>
        </w:rPr>
        <w:t xml:space="preserve">    </w:t>
      </w:r>
      <w:r>
        <w:rPr>
          <w:rFonts w:hint="eastAsia" w:ascii="宋体" w:hAnsi="宋体" w:eastAsia="宋体" w:cs="宋体"/>
          <w:bCs/>
          <w:i w:val="0"/>
          <w:iCs w:val="0"/>
          <w:color w:val="auto"/>
          <w:sz w:val="24"/>
          <w:szCs w:val="24"/>
          <w:highlight w:val="none"/>
        </w:rPr>
        <w:t>日</w:t>
      </w:r>
    </w:p>
    <w:p w14:paraId="0119B9D0">
      <w:pPr>
        <w:keepNext w:val="0"/>
        <w:keepLines w:val="0"/>
        <w:pageBreakBefore w:val="0"/>
        <w:kinsoku/>
        <w:wordWrap/>
        <w:overflowPunct/>
        <w:topLinePunct w:val="0"/>
        <w:bidi w:val="0"/>
        <w:snapToGrid/>
        <w:spacing w:line="500" w:lineRule="exac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w:t>
      </w:r>
      <w:bookmarkStart w:id="505" w:name="_Hlk110099149"/>
      <w:r>
        <w:rPr>
          <w:rFonts w:hint="eastAsia" w:ascii="宋体" w:hAnsi="宋体" w:eastAsia="宋体" w:cs="宋体"/>
          <w:i w:val="0"/>
          <w:iCs w:val="0"/>
          <w:color w:val="auto"/>
          <w:sz w:val="24"/>
          <w:szCs w:val="24"/>
          <w:highlight w:val="none"/>
        </w:rPr>
        <w:t>乙方账户信息</w:t>
      </w:r>
    </w:p>
    <w:p w14:paraId="547FA836">
      <w:pPr>
        <w:keepNext w:val="0"/>
        <w:keepLines w:val="0"/>
        <w:pageBreakBefore w:val="0"/>
        <w:kinsoku/>
        <w:wordWrap/>
        <w:overflowPunct/>
        <w:topLinePunct w:val="0"/>
        <w:bidi w:val="0"/>
        <w:snapToGrid/>
        <w:spacing w:line="500" w:lineRule="exac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户名：</w:t>
      </w:r>
      <w:r>
        <w:rPr>
          <w:rFonts w:hint="eastAsia" w:ascii="宋体" w:hAnsi="宋体" w:eastAsia="宋体" w:cs="宋体"/>
          <w:i w:val="0"/>
          <w:iCs w:val="0"/>
          <w:color w:val="auto"/>
          <w:sz w:val="24"/>
          <w:szCs w:val="24"/>
          <w:highlight w:val="none"/>
          <w:u w:val="single"/>
        </w:rPr>
        <w:t xml:space="preserve">            </w:t>
      </w:r>
    </w:p>
    <w:p w14:paraId="2DDA6187">
      <w:pPr>
        <w:keepNext w:val="0"/>
        <w:keepLines w:val="0"/>
        <w:pageBreakBefore w:val="0"/>
        <w:kinsoku/>
        <w:wordWrap/>
        <w:overflowPunct/>
        <w:topLinePunct w:val="0"/>
        <w:bidi w:val="0"/>
        <w:snapToGrid/>
        <w:spacing w:line="500" w:lineRule="exac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账号：</w:t>
      </w:r>
      <w:r>
        <w:rPr>
          <w:rFonts w:hint="eastAsia" w:ascii="宋体" w:hAnsi="宋体" w:eastAsia="宋体" w:cs="宋体"/>
          <w:i w:val="0"/>
          <w:iCs w:val="0"/>
          <w:color w:val="auto"/>
          <w:sz w:val="24"/>
          <w:szCs w:val="24"/>
          <w:highlight w:val="none"/>
          <w:u w:val="single"/>
        </w:rPr>
        <w:t xml:space="preserve">            </w:t>
      </w:r>
    </w:p>
    <w:p w14:paraId="044FDABE">
      <w:pPr>
        <w:keepNext w:val="0"/>
        <w:keepLines w:val="0"/>
        <w:pageBreakBefore w:val="0"/>
        <w:kinsoku/>
        <w:wordWrap/>
        <w:overflowPunct/>
        <w:topLinePunct w:val="0"/>
        <w:bidi w:val="0"/>
        <w:snapToGrid/>
        <w:spacing w:line="500" w:lineRule="exac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开户银行：</w:t>
      </w:r>
      <w:r>
        <w:rPr>
          <w:rFonts w:hint="eastAsia" w:ascii="宋体" w:hAnsi="宋体" w:eastAsia="宋体" w:cs="宋体"/>
          <w:i w:val="0"/>
          <w:iCs w:val="0"/>
          <w:color w:val="auto"/>
          <w:sz w:val="24"/>
          <w:szCs w:val="24"/>
          <w:highlight w:val="none"/>
          <w:u w:val="single"/>
        </w:rPr>
        <w:t xml:space="preserve">        </w:t>
      </w:r>
    </w:p>
    <w:bookmarkEnd w:id="505"/>
    <w:p w14:paraId="3478939A">
      <w:pPr>
        <w:widowControl/>
        <w:jc w:val="left"/>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br w:type="page"/>
      </w:r>
    </w:p>
    <w:p w14:paraId="5343512B">
      <w:pPr>
        <w:pStyle w:val="5"/>
        <w:bidi w:val="0"/>
        <w:jc w:val="center"/>
        <w:rPr>
          <w:rFonts w:hint="eastAsia"/>
          <w:color w:val="auto"/>
          <w:sz w:val="36"/>
          <w:szCs w:val="36"/>
          <w:highlight w:val="none"/>
        </w:rPr>
      </w:pPr>
      <w:bookmarkStart w:id="506" w:name="_Toc16962"/>
      <w:bookmarkStart w:id="507" w:name="_Toc11038"/>
      <w:bookmarkStart w:id="508" w:name="_Toc415"/>
      <w:r>
        <w:rPr>
          <w:rFonts w:hint="eastAsia"/>
          <w:color w:val="auto"/>
          <w:sz w:val="36"/>
          <w:szCs w:val="36"/>
          <w:highlight w:val="none"/>
        </w:rPr>
        <w:t>第二部分 合同一般条款</w:t>
      </w:r>
      <w:bookmarkEnd w:id="504"/>
      <w:bookmarkEnd w:id="506"/>
      <w:bookmarkEnd w:id="507"/>
      <w:bookmarkEnd w:id="508"/>
    </w:p>
    <w:p w14:paraId="511A0E62">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09" w:name="_Toc279701240"/>
      <w:bookmarkStart w:id="510" w:name="_Ref467378499"/>
      <w:bookmarkStart w:id="511" w:name="_Ref467379195"/>
      <w:bookmarkStart w:id="512" w:name="_Toc259093669"/>
      <w:bookmarkStart w:id="513" w:name="_Ref467379205"/>
      <w:bookmarkStart w:id="514" w:name="_Ref467379214"/>
      <w:bookmarkStart w:id="515" w:name="_Toc487900349"/>
      <w:bookmarkStart w:id="516" w:name="_Ref467379225"/>
      <w:bookmarkStart w:id="517" w:name="_Toc28763"/>
      <w:bookmarkStart w:id="518" w:name="_Ref467378404"/>
      <w:bookmarkStart w:id="519" w:name="_Toc19614"/>
      <w:bookmarkStart w:id="520" w:name="_Ref467379101"/>
      <w:bookmarkStart w:id="521" w:name="_Ref467378463"/>
      <w:bookmarkStart w:id="522" w:name="_Ref467379094"/>
      <w:bookmarkStart w:id="523" w:name="_Toc16917"/>
      <w:bookmarkStart w:id="524" w:name="_Ref467379109"/>
      <w:r>
        <w:rPr>
          <w:rFonts w:hint="eastAsia" w:ascii="宋体" w:hAnsi="宋体" w:eastAsia="宋体" w:cs="宋体"/>
          <w:b/>
          <w:bCs/>
          <w:i w:val="0"/>
          <w:iCs w:val="0"/>
          <w:color w:val="auto"/>
          <w:sz w:val="24"/>
          <w:szCs w:val="24"/>
          <w:highlight w:val="none"/>
          <w:lang w:val="zh-CN"/>
        </w:rPr>
        <w:t>2.1 定义</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538C9137">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本合同中的下列词语应按以下内容进行解释：</w:t>
      </w:r>
    </w:p>
    <w:p w14:paraId="0E532394">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2.1.1“合同”系指采购人和中标人签订的载明双方当事人所达成的协议，并包括所有的附件、附录和构成合同的其他文件。</w:t>
      </w:r>
    </w:p>
    <w:p w14:paraId="6557BB70">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2.1.2“合同价”系指根据合同约定，中标人在完全履行合同义务后，采购人应支付给中标人的价格。</w:t>
      </w:r>
    </w:p>
    <w:p w14:paraId="64A1FC0C">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2.1.3“服务”系指中标人根据合同约定应向采购人履行的除货物和工程以外的其他政府采购对象，包括采购人自身需要的服务和向社会公众提供的公共服务。</w:t>
      </w:r>
    </w:p>
    <w:p w14:paraId="084C2CED">
      <w:pPr>
        <w:spacing w:line="360" w:lineRule="auto"/>
        <w:ind w:firstLine="435"/>
        <w:rPr>
          <w:rFonts w:hint="eastAsia" w:ascii="宋体" w:hAnsi="宋体" w:eastAsia="宋体" w:cs="宋体"/>
          <w:i w:val="0"/>
          <w:iCs w:val="0"/>
          <w:color w:val="auto"/>
          <w:sz w:val="24"/>
          <w:szCs w:val="24"/>
          <w:highlight w:val="none"/>
        </w:rPr>
      </w:pPr>
      <w:bookmarkStart w:id="525" w:name="_Ref467378840"/>
      <w:r>
        <w:rPr>
          <w:rFonts w:hint="eastAsia" w:ascii="宋体" w:hAnsi="宋体" w:eastAsia="宋体" w:cs="宋体"/>
          <w:i w:val="0"/>
          <w:iCs w:val="0"/>
          <w:color w:val="auto"/>
          <w:sz w:val="24"/>
          <w:szCs w:val="24"/>
          <w:highlight w:val="none"/>
        </w:rPr>
        <w:t>2.1.4“甲方”系指与中标人签署合同的采购人</w:t>
      </w:r>
      <w:bookmarkEnd w:id="525"/>
      <w:r>
        <w:rPr>
          <w:rFonts w:hint="eastAsia" w:ascii="宋体" w:hAnsi="宋体" w:eastAsia="宋体" w:cs="宋体"/>
          <w:i w:val="0"/>
          <w:iCs w:val="0"/>
          <w:color w:val="auto"/>
          <w:sz w:val="24"/>
          <w:szCs w:val="24"/>
          <w:highlight w:val="none"/>
        </w:rPr>
        <w:t>；采购人委托采购代理机构代表其与乙方签订合同的，采购人的授权委托书作为合同附件。</w:t>
      </w:r>
    </w:p>
    <w:p w14:paraId="674EFF76">
      <w:pPr>
        <w:spacing w:line="360" w:lineRule="auto"/>
        <w:ind w:firstLine="435"/>
        <w:rPr>
          <w:rFonts w:hint="eastAsia" w:ascii="宋体" w:hAnsi="宋体" w:eastAsia="宋体" w:cs="宋体"/>
          <w:i w:val="0"/>
          <w:iCs w:val="0"/>
          <w:color w:val="auto"/>
          <w:sz w:val="24"/>
          <w:szCs w:val="24"/>
          <w:highlight w:val="none"/>
        </w:rPr>
      </w:pPr>
      <w:bookmarkStart w:id="526" w:name="_Ref467379400"/>
      <w:r>
        <w:rPr>
          <w:rFonts w:hint="eastAsia" w:ascii="宋体" w:hAnsi="宋体" w:eastAsia="宋体" w:cs="宋体"/>
          <w:i w:val="0"/>
          <w:iCs w:val="0"/>
          <w:color w:val="auto"/>
          <w:sz w:val="24"/>
          <w:szCs w:val="24"/>
          <w:highlight w:val="none"/>
        </w:rPr>
        <w:t>2.1.5“乙方”系指根据合同约定提供服务的中标人</w:t>
      </w:r>
      <w:bookmarkEnd w:id="526"/>
      <w:r>
        <w:rPr>
          <w:rFonts w:hint="eastAsia" w:ascii="宋体" w:hAnsi="宋体" w:eastAsia="宋体" w:cs="宋体"/>
          <w:i w:val="0"/>
          <w:iCs w:val="0"/>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C269DBA">
      <w:pPr>
        <w:spacing w:line="360" w:lineRule="auto"/>
        <w:ind w:firstLine="435"/>
        <w:rPr>
          <w:rFonts w:hint="eastAsia" w:ascii="宋体" w:hAnsi="宋体" w:eastAsia="宋体" w:cs="宋体"/>
          <w:i w:val="0"/>
          <w:iCs w:val="0"/>
          <w:color w:val="auto"/>
          <w:sz w:val="24"/>
          <w:szCs w:val="24"/>
          <w:highlight w:val="none"/>
        </w:rPr>
      </w:pPr>
      <w:bookmarkStart w:id="527" w:name="_Ref467379436"/>
      <w:r>
        <w:rPr>
          <w:rFonts w:hint="eastAsia" w:ascii="宋体" w:hAnsi="宋体" w:eastAsia="宋体" w:cs="宋体"/>
          <w:i w:val="0"/>
          <w:iCs w:val="0"/>
          <w:color w:val="auto"/>
          <w:sz w:val="24"/>
          <w:szCs w:val="24"/>
          <w:highlight w:val="none"/>
        </w:rPr>
        <w:t>2.1.6“现场”系指合同约定提供服务的地点。</w:t>
      </w:r>
      <w:bookmarkEnd w:id="527"/>
    </w:p>
    <w:p w14:paraId="47401692">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28" w:name="_Toc279701241"/>
      <w:bookmarkStart w:id="529" w:name="_Toc487900350"/>
      <w:bookmarkStart w:id="530" w:name="_Toc259093670"/>
      <w:bookmarkStart w:id="531" w:name="_Toc27635"/>
      <w:bookmarkStart w:id="532" w:name="_Toc13336"/>
      <w:bookmarkStart w:id="533" w:name="_Toc32504"/>
      <w:r>
        <w:rPr>
          <w:rFonts w:hint="eastAsia" w:ascii="宋体" w:hAnsi="宋体" w:eastAsia="宋体" w:cs="宋体"/>
          <w:b/>
          <w:bCs/>
          <w:i w:val="0"/>
          <w:iCs w:val="0"/>
          <w:color w:val="auto"/>
          <w:sz w:val="24"/>
          <w:szCs w:val="24"/>
          <w:highlight w:val="none"/>
          <w:lang w:val="zh-CN"/>
        </w:rPr>
        <w:t>2.2 技术规范</w:t>
      </w:r>
      <w:bookmarkEnd w:id="528"/>
      <w:bookmarkEnd w:id="529"/>
      <w:bookmarkEnd w:id="530"/>
      <w:bookmarkEnd w:id="531"/>
      <w:bookmarkEnd w:id="532"/>
      <w:bookmarkEnd w:id="533"/>
    </w:p>
    <w:p w14:paraId="2DD38582">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E60984D">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34" w:name="_Toc9829"/>
      <w:bookmarkStart w:id="535" w:name="_Toc259093671"/>
      <w:bookmarkStart w:id="536" w:name="_Toc31634"/>
      <w:bookmarkStart w:id="537" w:name="_Toc487900351"/>
      <w:bookmarkStart w:id="538" w:name="_Toc279701242"/>
      <w:bookmarkStart w:id="539" w:name="_Toc27853"/>
      <w:r>
        <w:rPr>
          <w:rFonts w:hint="eastAsia" w:ascii="宋体" w:hAnsi="宋体" w:eastAsia="宋体" w:cs="宋体"/>
          <w:b/>
          <w:bCs/>
          <w:i w:val="0"/>
          <w:iCs w:val="0"/>
          <w:color w:val="auto"/>
          <w:sz w:val="24"/>
          <w:szCs w:val="24"/>
          <w:highlight w:val="none"/>
          <w:lang w:val="zh-CN"/>
        </w:rPr>
        <w:t>2.3 知识产权</w:t>
      </w:r>
      <w:bookmarkEnd w:id="534"/>
      <w:bookmarkEnd w:id="535"/>
      <w:bookmarkEnd w:id="536"/>
      <w:bookmarkEnd w:id="537"/>
      <w:bookmarkEnd w:id="538"/>
      <w:bookmarkEnd w:id="539"/>
    </w:p>
    <w:p w14:paraId="682DFBA4">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51482456">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2.3.2具有知识产权的计算机软件等货物的知识产权归属，详见</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w:t>
      </w:r>
    </w:p>
    <w:p w14:paraId="4BC5E48F">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40" w:name="_Ref467379536"/>
      <w:bookmarkStart w:id="541" w:name="_Toc279701245"/>
      <w:bookmarkStart w:id="542" w:name="_Toc259093674"/>
      <w:bookmarkStart w:id="543" w:name="_Ref467378541"/>
      <w:bookmarkStart w:id="544" w:name="_Ref467378591"/>
      <w:bookmarkStart w:id="545" w:name="_Toc487900354"/>
      <w:bookmarkStart w:id="546" w:name="_Ref467379542"/>
      <w:bookmarkStart w:id="547" w:name="_Ref467379527"/>
      <w:bookmarkStart w:id="548" w:name="_Toc19074"/>
      <w:bookmarkStart w:id="549" w:name="_Toc26182"/>
      <w:bookmarkStart w:id="550" w:name="_Toc30272"/>
      <w:r>
        <w:rPr>
          <w:rFonts w:hint="eastAsia" w:ascii="宋体" w:hAnsi="宋体" w:eastAsia="宋体" w:cs="宋体"/>
          <w:b/>
          <w:bCs/>
          <w:i w:val="0"/>
          <w:iCs w:val="0"/>
          <w:color w:val="auto"/>
          <w:sz w:val="24"/>
          <w:szCs w:val="24"/>
          <w:highlight w:val="none"/>
          <w:lang w:val="zh-CN"/>
        </w:rPr>
        <w:t>2.</w:t>
      </w:r>
      <w:bookmarkEnd w:id="540"/>
      <w:bookmarkEnd w:id="541"/>
      <w:bookmarkEnd w:id="542"/>
      <w:bookmarkEnd w:id="543"/>
      <w:bookmarkEnd w:id="544"/>
      <w:bookmarkEnd w:id="545"/>
      <w:bookmarkEnd w:id="546"/>
      <w:bookmarkEnd w:id="547"/>
      <w:r>
        <w:rPr>
          <w:rFonts w:hint="eastAsia" w:ascii="宋体" w:hAnsi="宋体" w:eastAsia="宋体" w:cs="宋体"/>
          <w:b/>
          <w:bCs/>
          <w:i w:val="0"/>
          <w:iCs w:val="0"/>
          <w:color w:val="auto"/>
          <w:sz w:val="24"/>
          <w:szCs w:val="24"/>
          <w:highlight w:val="none"/>
          <w:lang w:val="zh-CN"/>
        </w:rPr>
        <w:t>4 履约检查和问题反馈</w:t>
      </w:r>
      <w:bookmarkEnd w:id="548"/>
      <w:bookmarkEnd w:id="549"/>
      <w:bookmarkEnd w:id="550"/>
    </w:p>
    <w:p w14:paraId="02FB01CE">
      <w:pPr>
        <w:spacing w:line="360" w:lineRule="auto"/>
        <w:ind w:firstLine="435"/>
        <w:rPr>
          <w:rFonts w:hint="eastAsia" w:ascii="宋体" w:hAnsi="宋体" w:eastAsia="宋体" w:cs="宋体"/>
          <w:i w:val="0"/>
          <w:iCs w:val="0"/>
          <w:color w:val="auto"/>
          <w:sz w:val="24"/>
          <w:szCs w:val="24"/>
          <w:highlight w:val="none"/>
        </w:rPr>
      </w:pPr>
      <w:bookmarkStart w:id="551" w:name="_Toc186431854"/>
      <w:bookmarkStart w:id="552" w:name="_Toc279701247"/>
      <w:bookmarkStart w:id="553" w:name="_Ref467379807"/>
      <w:bookmarkStart w:id="554" w:name="_Toc487900357"/>
      <w:bookmarkStart w:id="555" w:name="_Ref467379793"/>
      <w:bookmarkStart w:id="556" w:name="_Toc259093676"/>
      <w:r>
        <w:rPr>
          <w:rFonts w:hint="eastAsia" w:ascii="宋体" w:hAnsi="宋体" w:eastAsia="宋体" w:cs="宋体"/>
          <w:i w:val="0"/>
          <w:iCs w:val="0"/>
          <w:color w:val="auto"/>
          <w:sz w:val="24"/>
          <w:szCs w:val="24"/>
          <w:highlight w:val="none"/>
        </w:rPr>
        <w:t>2.4.1甲方有权在其认为必要时，对乙方是否能够按照合同约定提供服务进行履约检查，以确保乙方所提供的服务能够依约满足甲方项目需求，但不得因履约检查妨碍乙方的正常工作，乙方应予积极配合；</w:t>
      </w:r>
    </w:p>
    <w:p w14:paraId="18207F2B">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2.4.2合同履行期间，甲方有权将履行过程中出现的问题反馈给乙方，双方当事人应以书面形式约定需要完善和改进的内容</w:t>
      </w:r>
      <w:bookmarkEnd w:id="551"/>
      <w:bookmarkStart w:id="557" w:name="_Toc186431855"/>
      <w:r>
        <w:rPr>
          <w:rFonts w:hint="eastAsia" w:ascii="宋体" w:hAnsi="宋体" w:eastAsia="宋体" w:cs="宋体"/>
          <w:i w:val="0"/>
          <w:iCs w:val="0"/>
          <w:color w:val="auto"/>
          <w:sz w:val="24"/>
          <w:szCs w:val="24"/>
          <w:highlight w:val="none"/>
        </w:rPr>
        <w:t>。</w:t>
      </w:r>
    </w:p>
    <w:bookmarkEnd w:id="557"/>
    <w:p w14:paraId="5DD16C27">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58" w:name="_Toc19219"/>
      <w:bookmarkStart w:id="559" w:name="_Toc28451"/>
      <w:bookmarkStart w:id="560" w:name="_Toc7836"/>
      <w:r>
        <w:rPr>
          <w:rFonts w:hint="eastAsia" w:ascii="宋体" w:hAnsi="宋体" w:eastAsia="宋体" w:cs="宋体"/>
          <w:b/>
          <w:bCs/>
          <w:i w:val="0"/>
          <w:iCs w:val="0"/>
          <w:color w:val="auto"/>
          <w:sz w:val="24"/>
          <w:szCs w:val="24"/>
          <w:highlight w:val="none"/>
          <w:lang w:val="zh-CN"/>
        </w:rPr>
        <w:t>2.5 结算方式和付款条件</w:t>
      </w:r>
      <w:bookmarkEnd w:id="552"/>
      <w:bookmarkEnd w:id="553"/>
      <w:bookmarkEnd w:id="554"/>
      <w:bookmarkEnd w:id="555"/>
      <w:bookmarkEnd w:id="556"/>
      <w:bookmarkEnd w:id="558"/>
      <w:bookmarkEnd w:id="559"/>
      <w:bookmarkEnd w:id="560"/>
    </w:p>
    <w:p w14:paraId="6DC8541A">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详见</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w:t>
      </w:r>
    </w:p>
    <w:p w14:paraId="4B5EF357">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61" w:name="_Toc279701248"/>
      <w:bookmarkStart w:id="562" w:name="_Ref467379863"/>
      <w:bookmarkStart w:id="563" w:name="_Toc487900358"/>
      <w:bookmarkStart w:id="564" w:name="_Toc259093677"/>
      <w:bookmarkStart w:id="565" w:name="_Ref467379852"/>
      <w:bookmarkStart w:id="566" w:name="_Ref467379923"/>
      <w:bookmarkStart w:id="567" w:name="_Toc16110"/>
      <w:bookmarkStart w:id="568" w:name="_Toc774"/>
      <w:bookmarkStart w:id="569" w:name="_Toc3225"/>
      <w:r>
        <w:rPr>
          <w:rFonts w:hint="eastAsia" w:ascii="宋体" w:hAnsi="宋体" w:eastAsia="宋体" w:cs="宋体"/>
          <w:b/>
          <w:bCs/>
          <w:i w:val="0"/>
          <w:iCs w:val="0"/>
          <w:color w:val="auto"/>
          <w:sz w:val="24"/>
          <w:szCs w:val="24"/>
          <w:highlight w:val="none"/>
          <w:lang w:val="zh-CN"/>
        </w:rPr>
        <w:t>2.6 技术资料</w:t>
      </w:r>
      <w:bookmarkEnd w:id="561"/>
      <w:bookmarkEnd w:id="562"/>
      <w:bookmarkEnd w:id="563"/>
      <w:bookmarkEnd w:id="564"/>
      <w:bookmarkEnd w:id="565"/>
      <w:bookmarkEnd w:id="566"/>
      <w:r>
        <w:rPr>
          <w:rFonts w:hint="eastAsia" w:ascii="宋体" w:hAnsi="宋体" w:eastAsia="宋体" w:cs="宋体"/>
          <w:b/>
          <w:bCs/>
          <w:i w:val="0"/>
          <w:iCs w:val="0"/>
          <w:color w:val="auto"/>
          <w:sz w:val="24"/>
          <w:szCs w:val="24"/>
          <w:highlight w:val="none"/>
          <w:lang w:val="zh-CN"/>
        </w:rPr>
        <w:t>和保密义务</w:t>
      </w:r>
      <w:bookmarkEnd w:id="567"/>
      <w:bookmarkEnd w:id="568"/>
      <w:bookmarkEnd w:id="569"/>
    </w:p>
    <w:p w14:paraId="189A990F">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2.6.1乙方有权依据合同约定和项目需要，向甲方了解有关情况，调阅有关资料等，甲方应予积极配合；</w:t>
      </w:r>
    </w:p>
    <w:p w14:paraId="10E23A73">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2.6.2乙方有义务妥善保管和保护由甲方提供的前款信息和资料等；</w:t>
      </w:r>
    </w:p>
    <w:p w14:paraId="5CF129E6">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502A19BD">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70" w:name="_Toc7860"/>
      <w:r>
        <w:rPr>
          <w:rFonts w:hint="eastAsia" w:ascii="宋体" w:hAnsi="宋体" w:eastAsia="宋体" w:cs="宋体"/>
          <w:b/>
          <w:bCs/>
          <w:i w:val="0"/>
          <w:iCs w:val="0"/>
          <w:color w:val="auto"/>
          <w:sz w:val="24"/>
          <w:szCs w:val="24"/>
          <w:highlight w:val="none"/>
          <w:lang w:val="zh-CN"/>
        </w:rPr>
        <w:t>2.7 质量保证</w:t>
      </w:r>
      <w:bookmarkEnd w:id="570"/>
    </w:p>
    <w:p w14:paraId="4932D198">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2.7.1乙方应建立和完善履行合同的内部质量保证体系，并提供相关内部规章制度给甲方，以便甲方进行监督检查；</w:t>
      </w:r>
    </w:p>
    <w:p w14:paraId="3E5DC0B1">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2.7.2乙方应保证履行合同的人员数量和素质、软件和硬件设备的配置、场地、环境和设施等满足全面履行合同的要求，并应接受甲方的监督检查。</w:t>
      </w:r>
    </w:p>
    <w:p w14:paraId="31BA924D">
      <w:pPr>
        <w:spacing w:line="360" w:lineRule="auto"/>
        <w:ind w:firstLine="437"/>
        <w:outlineLvl w:val="2"/>
        <w:rPr>
          <w:rFonts w:hint="eastAsia" w:ascii="宋体" w:hAnsi="宋体" w:eastAsia="宋体" w:cs="宋体"/>
          <w:b/>
          <w:i w:val="0"/>
          <w:iCs w:val="0"/>
          <w:color w:val="auto"/>
          <w:sz w:val="24"/>
          <w:szCs w:val="24"/>
          <w:highlight w:val="none"/>
        </w:rPr>
      </w:pPr>
      <w:bookmarkStart w:id="571" w:name="_Toc22267"/>
      <w:r>
        <w:rPr>
          <w:rFonts w:hint="eastAsia" w:ascii="宋体" w:hAnsi="宋体" w:eastAsia="宋体" w:cs="宋体"/>
          <w:b/>
          <w:i w:val="0"/>
          <w:iCs w:val="0"/>
          <w:color w:val="auto"/>
          <w:sz w:val="24"/>
          <w:szCs w:val="24"/>
          <w:highlight w:val="none"/>
        </w:rPr>
        <w:t>2.8 延迟履行</w:t>
      </w:r>
      <w:bookmarkEnd w:id="571"/>
    </w:p>
    <w:p w14:paraId="71502858">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2981D6A7">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72" w:name="_Toc7502"/>
      <w:bookmarkStart w:id="573" w:name="_Toc487900364"/>
      <w:bookmarkStart w:id="574" w:name="_Ref467378121"/>
      <w:bookmarkStart w:id="575" w:name="_Toc279701254"/>
      <w:bookmarkStart w:id="576" w:name="_Toc259093683"/>
      <w:r>
        <w:rPr>
          <w:rFonts w:hint="eastAsia" w:ascii="宋体" w:hAnsi="宋体" w:eastAsia="宋体" w:cs="宋体"/>
          <w:b/>
          <w:bCs/>
          <w:i w:val="0"/>
          <w:iCs w:val="0"/>
          <w:color w:val="auto"/>
          <w:sz w:val="24"/>
          <w:szCs w:val="24"/>
          <w:highlight w:val="none"/>
          <w:lang w:val="zh-CN"/>
        </w:rPr>
        <w:t>2.9 合同变更</w:t>
      </w:r>
      <w:bookmarkEnd w:id="572"/>
    </w:p>
    <w:p w14:paraId="6F7D1B98">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2.9.1双方当事人协商一致，可以签订书面补充合同的形式变更合同，但不得违背采购文件确定的事项；</w:t>
      </w:r>
    </w:p>
    <w:p w14:paraId="541C0EA0">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2.9.2合同继续履行将损害国家利益和社会公共利益的，双方当事人应当以书面形式变更合同。有过错的一方应当承担赔偿责任，双方当事人都有过错的，各自承担相应的责任。</w:t>
      </w:r>
      <w:bookmarkStart w:id="577" w:name="_Toc279701259"/>
      <w:bookmarkStart w:id="578" w:name="_Toc259093688"/>
      <w:bookmarkStart w:id="579" w:name="_Toc487900369"/>
    </w:p>
    <w:p w14:paraId="6CCFA2F3">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80" w:name="_Toc10366"/>
      <w:bookmarkStart w:id="581" w:name="_Toc22955"/>
      <w:bookmarkStart w:id="582" w:name="_Toc15237"/>
      <w:r>
        <w:rPr>
          <w:rFonts w:hint="eastAsia" w:ascii="宋体" w:hAnsi="宋体" w:eastAsia="宋体" w:cs="宋体"/>
          <w:b/>
          <w:bCs/>
          <w:i w:val="0"/>
          <w:iCs w:val="0"/>
          <w:color w:val="auto"/>
          <w:sz w:val="24"/>
          <w:szCs w:val="24"/>
          <w:highlight w:val="none"/>
          <w:lang w:val="zh-CN"/>
        </w:rPr>
        <w:t>2.10 合同转让</w:t>
      </w:r>
      <w:bookmarkEnd w:id="577"/>
      <w:bookmarkEnd w:id="578"/>
      <w:bookmarkEnd w:id="579"/>
      <w:r>
        <w:rPr>
          <w:rFonts w:hint="eastAsia" w:ascii="宋体" w:hAnsi="宋体" w:eastAsia="宋体" w:cs="宋体"/>
          <w:b/>
          <w:bCs/>
          <w:i w:val="0"/>
          <w:iCs w:val="0"/>
          <w:color w:val="auto"/>
          <w:sz w:val="24"/>
          <w:szCs w:val="24"/>
          <w:highlight w:val="none"/>
          <w:lang w:val="zh-CN"/>
        </w:rPr>
        <w:t>和分包</w:t>
      </w:r>
      <w:bookmarkEnd w:id="580"/>
      <w:bookmarkEnd w:id="581"/>
      <w:bookmarkEnd w:id="582"/>
    </w:p>
    <w:p w14:paraId="045E0021">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695D43DB">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83" w:name="_Toc14066"/>
      <w:bookmarkStart w:id="584" w:name="_Toc13566"/>
      <w:bookmarkStart w:id="585" w:name="_Toc16508"/>
      <w:r>
        <w:rPr>
          <w:rFonts w:hint="eastAsia" w:ascii="宋体" w:hAnsi="宋体" w:eastAsia="宋体" w:cs="宋体"/>
          <w:b/>
          <w:bCs/>
          <w:i w:val="0"/>
          <w:iCs w:val="0"/>
          <w:color w:val="auto"/>
          <w:sz w:val="24"/>
          <w:szCs w:val="24"/>
          <w:highlight w:val="none"/>
          <w:lang w:val="zh-CN"/>
        </w:rPr>
        <w:t>2.11 不可抗力</w:t>
      </w:r>
      <w:bookmarkEnd w:id="583"/>
      <w:bookmarkEnd w:id="584"/>
      <w:bookmarkEnd w:id="585"/>
    </w:p>
    <w:p w14:paraId="104ACD76">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2.11.1如果任何一方遭遇法律规定的不可抗力，致使合同履行受阻时，履行合同的期限应予延长，延长的期限应相当于不可抗力所影响的时间；</w:t>
      </w:r>
    </w:p>
    <w:p w14:paraId="01E01191">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2.11.2因不可抗力致使不能实现合同目的的，当事人可以解除合同；</w:t>
      </w:r>
    </w:p>
    <w:p w14:paraId="2672C83D">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2.11.3因不可抗力致使合同有变更必要的，双方当事人应在</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约定时间内以书面形式变更合同；</w:t>
      </w:r>
    </w:p>
    <w:p w14:paraId="2B04D265">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2.11.4受不可抗力影响的一方在不可抗力发生后，应在</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约定时间内以书面形式通知对方当事人，并在</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约定时间内，将有关部门出具的证明文件送达对方当事人。</w:t>
      </w:r>
    </w:p>
    <w:p w14:paraId="28DD4A3B">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86" w:name="_Toc30676"/>
      <w:bookmarkStart w:id="587" w:name="_Toc487900365"/>
      <w:bookmarkStart w:id="588" w:name="_Toc689"/>
      <w:bookmarkStart w:id="589" w:name="_Toc6969"/>
      <w:bookmarkStart w:id="590" w:name="_Toc259093684"/>
      <w:bookmarkStart w:id="591" w:name="_Toc279701255"/>
      <w:r>
        <w:rPr>
          <w:rFonts w:hint="eastAsia" w:ascii="宋体" w:hAnsi="宋体" w:eastAsia="宋体" w:cs="宋体"/>
          <w:b/>
          <w:bCs/>
          <w:i w:val="0"/>
          <w:iCs w:val="0"/>
          <w:color w:val="auto"/>
          <w:sz w:val="24"/>
          <w:szCs w:val="24"/>
          <w:highlight w:val="none"/>
          <w:lang w:val="zh-CN"/>
        </w:rPr>
        <w:t>2.12 税费</w:t>
      </w:r>
      <w:bookmarkEnd w:id="586"/>
      <w:bookmarkEnd w:id="587"/>
      <w:bookmarkEnd w:id="588"/>
      <w:bookmarkEnd w:id="589"/>
      <w:bookmarkEnd w:id="590"/>
      <w:bookmarkEnd w:id="591"/>
    </w:p>
    <w:p w14:paraId="51550765">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与合同有关的一切税费，均按照中华人民共和国法律的相关规定缴纳。</w:t>
      </w:r>
    </w:p>
    <w:p w14:paraId="677E6A24">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592" w:name="_Toc16959"/>
      <w:bookmarkStart w:id="593" w:name="_Toc279701258"/>
      <w:bookmarkStart w:id="594" w:name="_Toc259093687"/>
      <w:bookmarkStart w:id="595" w:name="_Toc8298"/>
      <w:bookmarkStart w:id="596" w:name="_Toc487900368"/>
      <w:bookmarkStart w:id="597" w:name="_Toc7102"/>
      <w:r>
        <w:rPr>
          <w:rFonts w:hint="eastAsia" w:ascii="宋体" w:hAnsi="宋体" w:eastAsia="宋体" w:cs="宋体"/>
          <w:b/>
          <w:bCs/>
          <w:i w:val="0"/>
          <w:iCs w:val="0"/>
          <w:color w:val="auto"/>
          <w:sz w:val="24"/>
          <w:szCs w:val="24"/>
          <w:highlight w:val="none"/>
          <w:lang w:val="zh-CN"/>
        </w:rPr>
        <w:t>2.13 乙方破产</w:t>
      </w:r>
      <w:bookmarkEnd w:id="592"/>
      <w:bookmarkEnd w:id="593"/>
      <w:bookmarkEnd w:id="594"/>
      <w:bookmarkEnd w:id="595"/>
      <w:bookmarkEnd w:id="596"/>
      <w:bookmarkEnd w:id="597"/>
    </w:p>
    <w:p w14:paraId="2D2BBC73">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D2339CA">
      <w:pPr>
        <w:spacing w:line="360" w:lineRule="auto"/>
        <w:ind w:firstLine="437"/>
        <w:outlineLvl w:val="2"/>
        <w:rPr>
          <w:rFonts w:hint="eastAsia" w:ascii="宋体" w:hAnsi="宋体" w:eastAsia="宋体" w:cs="宋体"/>
          <w:b/>
          <w:i w:val="0"/>
          <w:iCs w:val="0"/>
          <w:color w:val="auto"/>
          <w:sz w:val="24"/>
          <w:szCs w:val="24"/>
          <w:highlight w:val="none"/>
        </w:rPr>
      </w:pPr>
      <w:bookmarkStart w:id="598" w:name="_Toc29333"/>
      <w:bookmarkStart w:id="599" w:name="_Toc15387"/>
      <w:bookmarkStart w:id="600" w:name="_Toc6134"/>
      <w:r>
        <w:rPr>
          <w:rFonts w:hint="eastAsia" w:ascii="宋体" w:hAnsi="宋体" w:eastAsia="宋体" w:cs="宋体"/>
          <w:b/>
          <w:bCs/>
          <w:i w:val="0"/>
          <w:iCs w:val="0"/>
          <w:color w:val="auto"/>
          <w:sz w:val="24"/>
          <w:szCs w:val="24"/>
          <w:highlight w:val="none"/>
          <w:lang w:val="zh-CN"/>
        </w:rPr>
        <w:t>2.14 合同中止、终止</w:t>
      </w:r>
      <w:bookmarkEnd w:id="598"/>
      <w:bookmarkEnd w:id="599"/>
      <w:bookmarkEnd w:id="600"/>
    </w:p>
    <w:p w14:paraId="06EF20F5">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2.14.1双方当事人不得擅自中止或者终止合同；</w:t>
      </w:r>
    </w:p>
    <w:p w14:paraId="7C499325">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2.14.2合同继续履行将损害国家利益和社会公共利益的，双方当事人应当中止或者终止合同。有过错的一方应当承担赔偿责任，双方当事人都有过错的，各自承担相应的责任。</w:t>
      </w:r>
    </w:p>
    <w:p w14:paraId="546898B9">
      <w:pPr>
        <w:spacing w:line="360" w:lineRule="auto"/>
        <w:ind w:firstLine="437"/>
        <w:outlineLvl w:val="2"/>
        <w:rPr>
          <w:rFonts w:hint="eastAsia" w:ascii="宋体" w:hAnsi="宋体" w:eastAsia="宋体" w:cs="宋体"/>
          <w:b/>
          <w:bCs/>
          <w:i w:val="0"/>
          <w:iCs w:val="0"/>
          <w:color w:val="auto"/>
          <w:sz w:val="24"/>
          <w:szCs w:val="24"/>
          <w:highlight w:val="none"/>
          <w:lang w:val="zh-CN"/>
        </w:rPr>
      </w:pPr>
      <w:bookmarkStart w:id="601" w:name="_Toc6596"/>
      <w:bookmarkStart w:id="602" w:name="_Toc1125"/>
      <w:bookmarkStart w:id="603" w:name="_Toc14563"/>
      <w:r>
        <w:rPr>
          <w:rFonts w:hint="eastAsia" w:ascii="宋体" w:hAnsi="宋体" w:eastAsia="宋体" w:cs="宋体"/>
          <w:b/>
          <w:bCs/>
          <w:i w:val="0"/>
          <w:iCs w:val="0"/>
          <w:color w:val="auto"/>
          <w:sz w:val="24"/>
          <w:szCs w:val="24"/>
          <w:highlight w:val="none"/>
          <w:lang w:val="zh-CN"/>
        </w:rPr>
        <w:t>2.15 检验和验收</w:t>
      </w:r>
      <w:bookmarkEnd w:id="601"/>
      <w:bookmarkEnd w:id="602"/>
      <w:bookmarkEnd w:id="603"/>
    </w:p>
    <w:p w14:paraId="5EA92BBD">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2.15.1乙方按照</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的约定，定期提交服务报告，甲方按照</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的约定进行定期验收；</w:t>
      </w:r>
    </w:p>
    <w:p w14:paraId="1A566024">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49CD79B">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2.15.3检验和验收标准、程序等具体内容以及前述验收书的效力详见</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w:t>
      </w:r>
    </w:p>
    <w:bookmarkEnd w:id="573"/>
    <w:bookmarkEnd w:id="574"/>
    <w:bookmarkEnd w:id="575"/>
    <w:bookmarkEnd w:id="576"/>
    <w:p w14:paraId="46336616">
      <w:pPr>
        <w:spacing w:line="360" w:lineRule="auto"/>
        <w:ind w:firstLine="437"/>
        <w:outlineLvl w:val="2"/>
        <w:rPr>
          <w:rFonts w:hint="eastAsia" w:ascii="宋体" w:hAnsi="宋体" w:eastAsia="宋体" w:cs="宋体"/>
          <w:b/>
          <w:bCs/>
          <w:i w:val="0"/>
          <w:iCs w:val="0"/>
          <w:color w:val="auto"/>
          <w:sz w:val="24"/>
          <w:szCs w:val="24"/>
          <w:highlight w:val="none"/>
        </w:rPr>
      </w:pPr>
      <w:bookmarkStart w:id="604" w:name="_Toc10330"/>
      <w:bookmarkStart w:id="605" w:name="_Toc487900373"/>
      <w:bookmarkStart w:id="606" w:name="_Toc259093692"/>
      <w:bookmarkStart w:id="607" w:name="_Toc18567"/>
      <w:bookmarkStart w:id="608" w:name="_Toc279701263"/>
      <w:bookmarkStart w:id="609" w:name="_Toc12773"/>
      <w:r>
        <w:rPr>
          <w:rFonts w:hint="eastAsia" w:ascii="宋体" w:hAnsi="宋体" w:eastAsia="宋体" w:cs="宋体"/>
          <w:b/>
          <w:bCs/>
          <w:i w:val="0"/>
          <w:iCs w:val="0"/>
          <w:color w:val="auto"/>
          <w:sz w:val="24"/>
          <w:szCs w:val="24"/>
          <w:highlight w:val="none"/>
        </w:rPr>
        <w:t xml:space="preserve">2.16 </w:t>
      </w:r>
      <w:r>
        <w:rPr>
          <w:rFonts w:hint="eastAsia" w:ascii="宋体" w:hAnsi="宋体" w:eastAsia="宋体" w:cs="宋体"/>
          <w:b/>
          <w:bCs/>
          <w:i w:val="0"/>
          <w:iCs w:val="0"/>
          <w:color w:val="auto"/>
          <w:sz w:val="24"/>
          <w:szCs w:val="24"/>
          <w:highlight w:val="none"/>
          <w:lang w:val="zh-CN"/>
        </w:rPr>
        <w:t>合同使用的文字和适用的法律</w:t>
      </w:r>
      <w:bookmarkEnd w:id="604"/>
      <w:bookmarkEnd w:id="605"/>
      <w:bookmarkEnd w:id="606"/>
      <w:bookmarkEnd w:id="607"/>
      <w:bookmarkEnd w:id="608"/>
      <w:bookmarkEnd w:id="609"/>
    </w:p>
    <w:p w14:paraId="75E92040">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2.16.1合同使用汉语书就、变更和解释；</w:t>
      </w:r>
    </w:p>
    <w:p w14:paraId="0B0B3CAA">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2.16.2合同适用中华人民共和国法律。</w:t>
      </w:r>
    </w:p>
    <w:p w14:paraId="49CAF0E6">
      <w:pPr>
        <w:spacing w:line="360" w:lineRule="auto"/>
        <w:ind w:firstLine="437"/>
        <w:outlineLvl w:val="2"/>
        <w:rPr>
          <w:rFonts w:hint="eastAsia" w:ascii="宋体" w:hAnsi="宋体" w:eastAsia="宋体" w:cs="宋体"/>
          <w:b/>
          <w:i w:val="0"/>
          <w:iCs w:val="0"/>
          <w:color w:val="auto"/>
          <w:sz w:val="24"/>
          <w:szCs w:val="24"/>
          <w:highlight w:val="none"/>
        </w:rPr>
      </w:pPr>
      <w:bookmarkStart w:id="610" w:name="_Toc279701264"/>
      <w:bookmarkStart w:id="611" w:name="_Toc3148"/>
      <w:bookmarkStart w:id="612" w:name="_Toc12004"/>
      <w:bookmarkStart w:id="613" w:name="_Toc16673"/>
      <w:bookmarkStart w:id="614" w:name="_Toc259093693"/>
      <w:bookmarkStart w:id="615" w:name="_Toc487900374"/>
      <w:r>
        <w:rPr>
          <w:rFonts w:hint="eastAsia" w:ascii="宋体" w:hAnsi="宋体" w:eastAsia="宋体" w:cs="宋体"/>
          <w:b/>
          <w:bCs/>
          <w:i w:val="0"/>
          <w:iCs w:val="0"/>
          <w:color w:val="auto"/>
          <w:sz w:val="24"/>
          <w:szCs w:val="24"/>
          <w:highlight w:val="none"/>
          <w:lang w:val="zh-CN"/>
        </w:rPr>
        <w:t>2.17 履约保证金</w:t>
      </w:r>
      <w:bookmarkEnd w:id="610"/>
      <w:bookmarkEnd w:id="611"/>
      <w:bookmarkEnd w:id="612"/>
      <w:bookmarkEnd w:id="613"/>
      <w:bookmarkEnd w:id="614"/>
    </w:p>
    <w:p w14:paraId="1DAB4C56">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2.17.1采购文件要求乙方提交履约保证金的，乙方应按</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约定的方式，以支票、汇票、本票或者金融机构、担保机构出具的保函等非现金形式提交；</w:t>
      </w:r>
    </w:p>
    <w:p w14:paraId="18EC430D">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2.17.2履约保证金在</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约定期间内不予退还或者应完全有效，前述约定期间届满之日起</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个工作日内，甲方应将履约保证金退还乙方</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甲方</w:t>
      </w:r>
      <w:r>
        <w:rPr>
          <w:rFonts w:hint="eastAsia" w:ascii="宋体" w:hAnsi="宋体" w:eastAsia="宋体" w:cs="宋体"/>
          <w:i w:val="0"/>
          <w:iCs w:val="0"/>
          <w:color w:val="auto"/>
          <w:sz w:val="24"/>
          <w:szCs w:val="24"/>
          <w:highlight w:val="none"/>
        </w:rPr>
        <w:t>逾期退还履约保证金</w:t>
      </w:r>
      <w:r>
        <w:rPr>
          <w:rFonts w:hint="eastAsia" w:ascii="宋体" w:hAnsi="宋体" w:eastAsia="宋体" w:cs="宋体"/>
          <w:i w:val="0"/>
          <w:iCs w:val="0"/>
          <w:color w:val="auto"/>
          <w:sz w:val="24"/>
          <w:szCs w:val="24"/>
          <w:highlight w:val="none"/>
          <w:lang w:val="en-US" w:eastAsia="zh-CN"/>
        </w:rPr>
        <w:t>应承担违约责任。</w:t>
      </w:r>
    </w:p>
    <w:p w14:paraId="292086D5">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615"/>
    <w:p w14:paraId="2D670158">
      <w:pPr>
        <w:spacing w:line="360" w:lineRule="auto"/>
        <w:ind w:firstLine="437"/>
        <w:outlineLvl w:val="2"/>
        <w:rPr>
          <w:rFonts w:hint="eastAsia" w:ascii="宋体" w:hAnsi="宋体" w:eastAsia="宋体" w:cs="宋体"/>
          <w:b/>
          <w:i w:val="0"/>
          <w:iCs w:val="0"/>
          <w:color w:val="auto"/>
          <w:sz w:val="24"/>
          <w:szCs w:val="24"/>
          <w:highlight w:val="none"/>
        </w:rPr>
      </w:pPr>
      <w:bookmarkStart w:id="616" w:name="_Toc6885"/>
      <w:bookmarkStart w:id="617" w:name="_Toc14001"/>
      <w:bookmarkStart w:id="618" w:name="_Toc19890"/>
      <w:r>
        <w:rPr>
          <w:rFonts w:hint="eastAsia" w:ascii="宋体" w:hAnsi="宋体" w:eastAsia="宋体" w:cs="宋体"/>
          <w:b/>
          <w:bCs/>
          <w:i w:val="0"/>
          <w:iCs w:val="0"/>
          <w:color w:val="auto"/>
          <w:sz w:val="24"/>
          <w:szCs w:val="24"/>
          <w:highlight w:val="none"/>
          <w:lang w:val="zh-CN"/>
        </w:rPr>
        <w:t>2.18 合同份数</w:t>
      </w:r>
      <w:bookmarkEnd w:id="616"/>
      <w:bookmarkEnd w:id="617"/>
      <w:bookmarkEnd w:id="618"/>
    </w:p>
    <w:p w14:paraId="730A18C6">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合同份数按</w:t>
      </w:r>
      <w:r>
        <w:rPr>
          <w:rFonts w:hint="eastAsia" w:ascii="宋体" w:hAnsi="宋体" w:eastAsia="宋体" w:cs="宋体"/>
          <w:b/>
          <w:i w:val="0"/>
          <w:iCs w:val="0"/>
          <w:color w:val="auto"/>
          <w:sz w:val="24"/>
          <w:szCs w:val="24"/>
          <w:highlight w:val="none"/>
          <w:u w:val="single"/>
        </w:rPr>
        <w:t>合同专用条款</w:t>
      </w:r>
      <w:r>
        <w:rPr>
          <w:rFonts w:hint="eastAsia" w:ascii="宋体" w:hAnsi="宋体" w:eastAsia="宋体" w:cs="宋体"/>
          <w:i w:val="0"/>
          <w:iCs w:val="0"/>
          <w:color w:val="auto"/>
          <w:sz w:val="24"/>
          <w:szCs w:val="24"/>
          <w:highlight w:val="none"/>
        </w:rPr>
        <w:t>规定，每份均具有同等法律效力。</w:t>
      </w:r>
    </w:p>
    <w:p w14:paraId="0FA72A55">
      <w:pPr>
        <w:pStyle w:val="5"/>
        <w:bidi w:val="0"/>
        <w:jc w:val="center"/>
        <w:rPr>
          <w:rFonts w:hint="eastAsia" w:ascii="宋体" w:hAnsi="宋体" w:eastAsia="宋体" w:cs="宋体"/>
          <w:b/>
          <w:i w:val="0"/>
          <w:iCs w:val="0"/>
          <w:color w:val="auto"/>
          <w:sz w:val="36"/>
          <w:szCs w:val="36"/>
          <w:highlight w:val="none"/>
        </w:rPr>
      </w:pPr>
      <w:r>
        <w:rPr>
          <w:rFonts w:hint="eastAsia" w:ascii="宋体" w:hAnsi="宋体" w:eastAsia="宋体" w:cs="宋体"/>
          <w:i w:val="0"/>
          <w:iCs w:val="0"/>
          <w:color w:val="auto"/>
          <w:sz w:val="24"/>
          <w:szCs w:val="24"/>
          <w:highlight w:val="none"/>
        </w:rPr>
        <w:br w:type="page"/>
      </w:r>
      <w:bookmarkStart w:id="619" w:name="_Toc21974"/>
      <w:bookmarkStart w:id="620" w:name="_Toc24501"/>
      <w:bookmarkStart w:id="621" w:name="_Toc3736"/>
      <w:r>
        <w:rPr>
          <w:rFonts w:hint="eastAsia"/>
          <w:color w:val="auto"/>
          <w:sz w:val="36"/>
          <w:szCs w:val="36"/>
          <w:highlight w:val="none"/>
        </w:rPr>
        <w:t>第三部分 合同专用条款</w:t>
      </w:r>
      <w:bookmarkEnd w:id="619"/>
      <w:bookmarkEnd w:id="620"/>
      <w:bookmarkEnd w:id="621"/>
    </w:p>
    <w:p w14:paraId="0BB4E2AA">
      <w:pPr>
        <w:spacing w:line="360" w:lineRule="auto"/>
        <w:ind w:firstLine="435"/>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1"/>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44E55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7E6BD44B">
            <w:pPr>
              <w:jc w:val="center"/>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条款号</w:t>
            </w:r>
          </w:p>
        </w:tc>
        <w:tc>
          <w:tcPr>
            <w:tcW w:w="7568" w:type="dxa"/>
            <w:vAlign w:val="center"/>
          </w:tcPr>
          <w:p w14:paraId="7FDA2F64">
            <w:pPr>
              <w:jc w:val="center"/>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约定内容</w:t>
            </w:r>
          </w:p>
        </w:tc>
      </w:tr>
      <w:tr w14:paraId="3ACC0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649ACA7D">
            <w:pPr>
              <w:spacing w:line="560" w:lineRule="exact"/>
              <w:jc w:val="center"/>
              <w:rPr>
                <w:rFonts w:hint="eastAsia" w:ascii="宋体" w:hAnsi="宋体" w:eastAsia="宋体" w:cs="宋体"/>
                <w:i w:val="0"/>
                <w:iCs w:val="0"/>
                <w:color w:val="auto"/>
                <w:sz w:val="24"/>
                <w:szCs w:val="24"/>
                <w:highlight w:val="none"/>
              </w:rPr>
            </w:pPr>
          </w:p>
        </w:tc>
        <w:tc>
          <w:tcPr>
            <w:tcW w:w="7568" w:type="dxa"/>
            <w:vAlign w:val="center"/>
          </w:tcPr>
          <w:p w14:paraId="5B6E7727">
            <w:pPr>
              <w:spacing w:line="360" w:lineRule="auto"/>
              <w:rPr>
                <w:rFonts w:hint="eastAsia" w:ascii="宋体" w:hAnsi="宋体" w:eastAsia="宋体" w:cs="宋体"/>
                <w:i w:val="0"/>
                <w:iCs w:val="0"/>
                <w:color w:val="auto"/>
                <w:sz w:val="24"/>
                <w:szCs w:val="24"/>
                <w:highlight w:val="none"/>
              </w:rPr>
            </w:pPr>
          </w:p>
        </w:tc>
      </w:tr>
      <w:tr w14:paraId="35DE0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FCE7D1D">
            <w:pPr>
              <w:spacing w:line="560" w:lineRule="exact"/>
              <w:jc w:val="center"/>
              <w:rPr>
                <w:rFonts w:hint="eastAsia" w:ascii="宋体" w:hAnsi="宋体" w:eastAsia="宋体" w:cs="宋体"/>
                <w:i w:val="0"/>
                <w:iCs w:val="0"/>
                <w:color w:val="auto"/>
                <w:sz w:val="24"/>
                <w:szCs w:val="24"/>
                <w:highlight w:val="none"/>
              </w:rPr>
            </w:pPr>
          </w:p>
        </w:tc>
        <w:tc>
          <w:tcPr>
            <w:tcW w:w="7568" w:type="dxa"/>
            <w:vAlign w:val="center"/>
          </w:tcPr>
          <w:p w14:paraId="4CAC386A">
            <w:pPr>
              <w:spacing w:line="360" w:lineRule="auto"/>
              <w:rPr>
                <w:rFonts w:hint="eastAsia" w:ascii="宋体" w:hAnsi="宋体" w:eastAsia="宋体" w:cs="宋体"/>
                <w:i w:val="0"/>
                <w:iCs w:val="0"/>
                <w:color w:val="auto"/>
                <w:sz w:val="24"/>
                <w:szCs w:val="24"/>
                <w:highlight w:val="none"/>
              </w:rPr>
            </w:pPr>
          </w:p>
        </w:tc>
      </w:tr>
      <w:tr w14:paraId="1C97F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18821BBE">
            <w:pPr>
              <w:spacing w:line="560" w:lineRule="exact"/>
              <w:jc w:val="center"/>
              <w:rPr>
                <w:rFonts w:hint="eastAsia" w:ascii="宋体" w:hAnsi="宋体" w:eastAsia="宋体" w:cs="宋体"/>
                <w:i w:val="0"/>
                <w:iCs w:val="0"/>
                <w:color w:val="auto"/>
                <w:sz w:val="24"/>
                <w:szCs w:val="24"/>
                <w:highlight w:val="none"/>
              </w:rPr>
            </w:pPr>
          </w:p>
        </w:tc>
        <w:tc>
          <w:tcPr>
            <w:tcW w:w="7568" w:type="dxa"/>
            <w:vAlign w:val="center"/>
          </w:tcPr>
          <w:p w14:paraId="456E4579">
            <w:pPr>
              <w:spacing w:line="360" w:lineRule="auto"/>
              <w:rPr>
                <w:rFonts w:hint="eastAsia" w:ascii="宋体" w:hAnsi="宋体" w:eastAsia="宋体" w:cs="宋体"/>
                <w:i w:val="0"/>
                <w:iCs w:val="0"/>
                <w:color w:val="auto"/>
                <w:sz w:val="24"/>
                <w:szCs w:val="24"/>
                <w:highlight w:val="none"/>
              </w:rPr>
            </w:pPr>
          </w:p>
        </w:tc>
      </w:tr>
      <w:tr w14:paraId="26874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5457D9B8">
            <w:pPr>
              <w:spacing w:line="560" w:lineRule="exact"/>
              <w:jc w:val="center"/>
              <w:rPr>
                <w:rFonts w:hint="eastAsia" w:ascii="宋体" w:hAnsi="宋体" w:eastAsia="宋体" w:cs="宋体"/>
                <w:i w:val="0"/>
                <w:iCs w:val="0"/>
                <w:color w:val="auto"/>
                <w:sz w:val="24"/>
                <w:szCs w:val="24"/>
                <w:highlight w:val="none"/>
              </w:rPr>
            </w:pPr>
          </w:p>
        </w:tc>
        <w:tc>
          <w:tcPr>
            <w:tcW w:w="7568" w:type="dxa"/>
            <w:vAlign w:val="center"/>
          </w:tcPr>
          <w:p w14:paraId="08A57DFF">
            <w:pPr>
              <w:spacing w:line="560" w:lineRule="exact"/>
              <w:rPr>
                <w:rFonts w:hint="eastAsia" w:ascii="宋体" w:hAnsi="宋体" w:eastAsia="宋体" w:cs="宋体"/>
                <w:i w:val="0"/>
                <w:iCs w:val="0"/>
                <w:color w:val="auto"/>
                <w:sz w:val="24"/>
                <w:szCs w:val="24"/>
                <w:highlight w:val="none"/>
              </w:rPr>
            </w:pPr>
          </w:p>
        </w:tc>
      </w:tr>
      <w:tr w14:paraId="0D806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762A092">
            <w:pPr>
              <w:spacing w:line="560" w:lineRule="exact"/>
              <w:jc w:val="center"/>
              <w:rPr>
                <w:rFonts w:hint="eastAsia" w:ascii="宋体" w:hAnsi="宋体" w:eastAsia="宋体" w:cs="宋体"/>
                <w:i w:val="0"/>
                <w:iCs w:val="0"/>
                <w:color w:val="auto"/>
                <w:sz w:val="24"/>
                <w:szCs w:val="24"/>
                <w:highlight w:val="none"/>
              </w:rPr>
            </w:pPr>
          </w:p>
        </w:tc>
        <w:tc>
          <w:tcPr>
            <w:tcW w:w="7568" w:type="dxa"/>
            <w:vAlign w:val="center"/>
          </w:tcPr>
          <w:p w14:paraId="38352F0C">
            <w:pPr>
              <w:spacing w:line="560" w:lineRule="exact"/>
              <w:rPr>
                <w:rFonts w:hint="eastAsia" w:ascii="宋体" w:hAnsi="宋体" w:eastAsia="宋体" w:cs="宋体"/>
                <w:i w:val="0"/>
                <w:iCs w:val="0"/>
                <w:color w:val="auto"/>
                <w:sz w:val="24"/>
                <w:szCs w:val="24"/>
                <w:highlight w:val="none"/>
                <w:u w:val="single"/>
              </w:rPr>
            </w:pPr>
          </w:p>
        </w:tc>
      </w:tr>
      <w:tr w14:paraId="0D9BF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5B76A3B">
            <w:pPr>
              <w:spacing w:line="560" w:lineRule="exact"/>
              <w:jc w:val="center"/>
              <w:rPr>
                <w:rFonts w:hint="eastAsia" w:ascii="宋体" w:hAnsi="宋体" w:eastAsia="宋体" w:cs="宋体"/>
                <w:i w:val="0"/>
                <w:iCs w:val="0"/>
                <w:color w:val="auto"/>
                <w:sz w:val="24"/>
                <w:szCs w:val="24"/>
                <w:highlight w:val="none"/>
              </w:rPr>
            </w:pPr>
          </w:p>
        </w:tc>
        <w:tc>
          <w:tcPr>
            <w:tcW w:w="7568" w:type="dxa"/>
            <w:vAlign w:val="center"/>
          </w:tcPr>
          <w:p w14:paraId="66E92E2A">
            <w:pPr>
              <w:spacing w:line="560" w:lineRule="exact"/>
              <w:rPr>
                <w:rFonts w:hint="eastAsia" w:ascii="宋体" w:hAnsi="宋体" w:eastAsia="宋体" w:cs="宋体"/>
                <w:i w:val="0"/>
                <w:iCs w:val="0"/>
                <w:color w:val="auto"/>
                <w:sz w:val="24"/>
                <w:szCs w:val="24"/>
                <w:highlight w:val="none"/>
              </w:rPr>
            </w:pPr>
          </w:p>
        </w:tc>
      </w:tr>
      <w:tr w14:paraId="3AC76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8F14ECA">
            <w:pPr>
              <w:spacing w:line="560" w:lineRule="exact"/>
              <w:jc w:val="center"/>
              <w:rPr>
                <w:rFonts w:hint="default" w:ascii="宋体" w:hAnsi="宋体" w:eastAsia="宋体" w:cs="宋体"/>
                <w:i w:val="0"/>
                <w:iCs w:val="0"/>
                <w:color w:val="auto"/>
                <w:sz w:val="24"/>
                <w:szCs w:val="24"/>
                <w:highlight w:val="none"/>
                <w:lang w:val="en-US" w:eastAsia="zh-CN"/>
              </w:rPr>
            </w:pPr>
          </w:p>
        </w:tc>
        <w:tc>
          <w:tcPr>
            <w:tcW w:w="7568" w:type="dxa"/>
            <w:vAlign w:val="center"/>
          </w:tcPr>
          <w:p w14:paraId="12E9DB32">
            <w:pPr>
              <w:spacing w:line="560" w:lineRule="exact"/>
              <w:rPr>
                <w:rFonts w:hint="default" w:ascii="宋体" w:hAnsi="宋体" w:eastAsia="宋体" w:cs="宋体"/>
                <w:i w:val="0"/>
                <w:iCs w:val="0"/>
                <w:color w:val="auto"/>
                <w:sz w:val="24"/>
                <w:szCs w:val="24"/>
                <w:highlight w:val="none"/>
                <w:u w:val="single"/>
                <w:lang w:val="en-US" w:eastAsia="zh-CN"/>
              </w:rPr>
            </w:pPr>
          </w:p>
        </w:tc>
      </w:tr>
      <w:tr w14:paraId="02471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63BBCCE8">
            <w:pPr>
              <w:spacing w:line="560" w:lineRule="exact"/>
              <w:jc w:val="center"/>
              <w:rPr>
                <w:rFonts w:hint="default" w:ascii="宋体" w:hAnsi="宋体" w:eastAsia="宋体" w:cs="宋体"/>
                <w:i w:val="0"/>
                <w:iCs w:val="0"/>
                <w:color w:val="auto"/>
                <w:sz w:val="24"/>
                <w:szCs w:val="24"/>
                <w:highlight w:val="none"/>
                <w:lang w:val="en-US" w:eastAsia="zh-CN"/>
              </w:rPr>
            </w:pPr>
          </w:p>
        </w:tc>
        <w:tc>
          <w:tcPr>
            <w:tcW w:w="7568" w:type="dxa"/>
            <w:vAlign w:val="center"/>
          </w:tcPr>
          <w:p w14:paraId="6B93CAF9">
            <w:pPr>
              <w:spacing w:line="360" w:lineRule="auto"/>
              <w:rPr>
                <w:rFonts w:hint="default" w:ascii="宋体" w:hAnsi="宋体" w:eastAsia="宋体" w:cs="宋体"/>
                <w:i w:val="0"/>
                <w:iCs w:val="0"/>
                <w:color w:val="auto"/>
                <w:sz w:val="24"/>
                <w:szCs w:val="24"/>
                <w:highlight w:val="none"/>
                <w:lang w:val="en-US" w:eastAsia="zh-CN"/>
              </w:rPr>
            </w:pPr>
          </w:p>
        </w:tc>
      </w:tr>
      <w:bookmarkEnd w:id="468"/>
    </w:tbl>
    <w:p w14:paraId="6FC51138">
      <w:pPr>
        <w:rPr>
          <w:i w:val="0"/>
          <w:iCs w:val="0"/>
          <w:color w:val="auto"/>
          <w:highlight w:val="none"/>
        </w:rPr>
      </w:pPr>
    </w:p>
    <w:p w14:paraId="01F138F3">
      <w:pPr>
        <w:jc w:val="left"/>
        <w:rPr>
          <w:i w:val="0"/>
          <w:iCs w:val="0"/>
          <w:color w:val="auto"/>
          <w:highlight w:val="none"/>
        </w:rPr>
        <w:sectPr>
          <w:headerReference r:id="rId8" w:type="default"/>
          <w:footerReference r:id="rId9" w:type="default"/>
          <w:pgSz w:w="11906" w:h="16838"/>
          <w:pgMar w:top="1440" w:right="1800" w:bottom="1440" w:left="1800" w:header="851" w:footer="992" w:gutter="0"/>
          <w:pgNumType w:fmt="numberInDash"/>
          <w:cols w:space="425" w:num="1"/>
          <w:docGrid w:type="lines" w:linePitch="312" w:charSpace="0"/>
        </w:sectPr>
      </w:pPr>
      <w:r>
        <w:rPr>
          <w:rFonts w:hint="eastAsia" w:cs="宋体"/>
          <w:color w:val="000000"/>
          <w:sz w:val="24"/>
          <w:szCs w:val="24"/>
          <w:highlight w:val="none"/>
          <w:lang w:val="en-US" w:eastAsia="zh-CN"/>
        </w:rPr>
        <w:t>注：具体以实际签订为准</w:t>
      </w:r>
    </w:p>
    <w:p w14:paraId="1B658C7F">
      <w:pPr>
        <w:pStyle w:val="4"/>
        <w:numPr>
          <w:ilvl w:val="0"/>
          <w:numId w:val="0"/>
        </w:numPr>
        <w:jc w:val="center"/>
        <w:rPr>
          <w:i w:val="0"/>
          <w:iCs w:val="0"/>
          <w:color w:val="auto"/>
          <w:highlight w:val="none"/>
        </w:rPr>
      </w:pPr>
      <w:bookmarkStart w:id="622" w:name="_Toc163493642"/>
      <w:bookmarkStart w:id="623" w:name="_Toc4816"/>
      <w:r>
        <w:rPr>
          <w:rFonts w:hint="eastAsia" w:ascii="宋体" w:hAnsi="宋体" w:eastAsia="宋体" w:cs="宋体"/>
          <w:b/>
          <w:bCs/>
          <w:i w:val="0"/>
          <w:iCs w:val="0"/>
          <w:color w:val="auto"/>
          <w:kern w:val="44"/>
          <w:sz w:val="36"/>
          <w:szCs w:val="36"/>
          <w:highlight w:val="none"/>
          <w:lang w:val="en-US" w:eastAsia="zh-CN" w:bidi="ar-SA"/>
        </w:rPr>
        <w:t xml:space="preserve">第六章 </w:t>
      </w:r>
      <w:r>
        <w:rPr>
          <w:rFonts w:hint="eastAsia" w:ascii="宋体" w:hAnsi="宋体" w:eastAsia="宋体" w:cs="宋体"/>
          <w:i w:val="0"/>
          <w:iCs w:val="0"/>
          <w:color w:val="auto"/>
          <w:sz w:val="36"/>
          <w:szCs w:val="36"/>
          <w:highlight w:val="none"/>
        </w:rPr>
        <w:t>响应文件的格式</w:t>
      </w:r>
      <w:bookmarkEnd w:id="622"/>
      <w:bookmarkEnd w:id="623"/>
    </w:p>
    <w:p w14:paraId="72395A60">
      <w:pPr>
        <w:ind w:firstLine="480" w:firstLineChars="200"/>
        <w:rPr>
          <w:rFonts w:hint="eastAsia" w:cs="仿宋_GB2312"/>
          <w:i w:val="0"/>
          <w:iCs w:val="0"/>
          <w:color w:val="auto"/>
          <w:highlight w:val="none"/>
          <w:lang w:val="zh-CN"/>
        </w:rPr>
      </w:pPr>
    </w:p>
    <w:p w14:paraId="21643560">
      <w:pPr>
        <w:ind w:firstLine="480" w:firstLineChars="200"/>
        <w:rPr>
          <w:rFonts w:hint="eastAsia" w:cs="仿宋_GB2312"/>
          <w:i w:val="0"/>
          <w:iCs w:val="0"/>
          <w:color w:val="auto"/>
          <w:highlight w:val="none"/>
          <w:lang w:val="zh-CN"/>
        </w:rPr>
      </w:pPr>
    </w:p>
    <w:p w14:paraId="23141FCD">
      <w:pPr>
        <w:ind w:firstLine="480" w:firstLineChars="200"/>
        <w:rPr>
          <w:rFonts w:hint="eastAsia" w:cs="仿宋_GB2312"/>
          <w:i w:val="0"/>
          <w:iCs w:val="0"/>
          <w:color w:val="auto"/>
          <w:highlight w:val="none"/>
          <w:lang w:val="zh-CN"/>
        </w:rPr>
      </w:pPr>
    </w:p>
    <w:p w14:paraId="0A4CEF3E">
      <w:pPr>
        <w:ind w:firstLine="480" w:firstLineChars="200"/>
        <w:rPr>
          <w:rFonts w:hint="eastAsia" w:cs="仿宋_GB2312"/>
          <w:i w:val="0"/>
          <w:iCs w:val="0"/>
          <w:color w:val="auto"/>
          <w:highlight w:val="none"/>
          <w:lang w:val="zh-CN"/>
        </w:rPr>
      </w:pPr>
    </w:p>
    <w:p w14:paraId="3AEF9AF4">
      <w:pPr>
        <w:ind w:firstLine="480" w:firstLineChars="200"/>
        <w:rPr>
          <w:rFonts w:hint="eastAsia" w:cs="仿宋_GB2312"/>
          <w:i w:val="0"/>
          <w:iCs w:val="0"/>
          <w:color w:val="auto"/>
          <w:highlight w:val="none"/>
          <w:lang w:val="zh-CN"/>
        </w:rPr>
      </w:pPr>
    </w:p>
    <w:p w14:paraId="0AC8ACCF">
      <w:pPr>
        <w:ind w:firstLine="480" w:firstLineChars="200"/>
        <w:rPr>
          <w:rFonts w:hint="eastAsia" w:cs="仿宋_GB2312"/>
          <w:i w:val="0"/>
          <w:iCs w:val="0"/>
          <w:color w:val="auto"/>
          <w:highlight w:val="none"/>
          <w:lang w:val="zh-CN"/>
        </w:rPr>
      </w:pPr>
    </w:p>
    <w:p w14:paraId="42E49A26">
      <w:pPr>
        <w:ind w:firstLine="480" w:firstLineChars="200"/>
        <w:rPr>
          <w:rFonts w:hint="eastAsia" w:cs="仿宋_GB2312"/>
          <w:i w:val="0"/>
          <w:iCs w:val="0"/>
          <w:color w:val="auto"/>
          <w:highlight w:val="none"/>
          <w:lang w:val="zh-CN"/>
        </w:rPr>
      </w:pPr>
    </w:p>
    <w:p w14:paraId="3B3A906A">
      <w:pPr>
        <w:ind w:firstLine="480" w:firstLineChars="200"/>
        <w:rPr>
          <w:rFonts w:hint="eastAsia" w:cs="仿宋_GB2312"/>
          <w:i w:val="0"/>
          <w:iCs w:val="0"/>
          <w:color w:val="auto"/>
          <w:highlight w:val="none"/>
          <w:lang w:val="zh-CN"/>
        </w:rPr>
      </w:pPr>
    </w:p>
    <w:p w14:paraId="3C243EB4">
      <w:pPr>
        <w:ind w:firstLine="480" w:firstLineChars="200"/>
        <w:rPr>
          <w:rFonts w:hint="eastAsia" w:cs="仿宋_GB2312"/>
          <w:i w:val="0"/>
          <w:iCs w:val="0"/>
          <w:color w:val="auto"/>
          <w:highlight w:val="none"/>
          <w:lang w:val="zh-CN"/>
        </w:rPr>
      </w:pPr>
    </w:p>
    <w:p w14:paraId="00875099">
      <w:pPr>
        <w:ind w:firstLine="480" w:firstLineChars="200"/>
        <w:rPr>
          <w:rFonts w:hint="eastAsia" w:cs="仿宋_GB2312"/>
          <w:i w:val="0"/>
          <w:iCs w:val="0"/>
          <w:color w:val="auto"/>
          <w:highlight w:val="none"/>
          <w:lang w:val="zh-CN"/>
        </w:rPr>
      </w:pPr>
    </w:p>
    <w:p w14:paraId="007F597B">
      <w:pPr>
        <w:ind w:firstLine="480" w:firstLineChars="200"/>
        <w:rPr>
          <w:rFonts w:hint="eastAsia" w:cs="仿宋_GB2312"/>
          <w:i w:val="0"/>
          <w:iCs w:val="0"/>
          <w:color w:val="auto"/>
          <w:highlight w:val="none"/>
          <w:lang w:val="zh-CN"/>
        </w:rPr>
      </w:pPr>
    </w:p>
    <w:p w14:paraId="6AFC1BD3">
      <w:pPr>
        <w:ind w:firstLine="480" w:firstLineChars="200"/>
        <w:rPr>
          <w:rFonts w:hint="eastAsia" w:cs="仿宋_GB2312"/>
          <w:i w:val="0"/>
          <w:iCs w:val="0"/>
          <w:color w:val="auto"/>
          <w:highlight w:val="none"/>
          <w:lang w:val="zh-CN"/>
        </w:rPr>
      </w:pPr>
    </w:p>
    <w:p w14:paraId="11884644">
      <w:pPr>
        <w:ind w:firstLine="480" w:firstLineChars="200"/>
        <w:rPr>
          <w:rFonts w:hint="eastAsia" w:cs="仿宋_GB2312"/>
          <w:i w:val="0"/>
          <w:iCs w:val="0"/>
          <w:color w:val="auto"/>
          <w:highlight w:val="none"/>
          <w:lang w:val="zh-CN"/>
        </w:rPr>
      </w:pPr>
    </w:p>
    <w:p w14:paraId="11883BC3">
      <w:pPr>
        <w:ind w:firstLine="480" w:firstLineChars="200"/>
        <w:rPr>
          <w:rFonts w:hint="eastAsia" w:cs="仿宋_GB2312"/>
          <w:i w:val="0"/>
          <w:iCs w:val="0"/>
          <w:color w:val="auto"/>
          <w:highlight w:val="none"/>
          <w:lang w:val="zh-CN"/>
        </w:rPr>
      </w:pPr>
    </w:p>
    <w:p w14:paraId="73CBEB9F">
      <w:pPr>
        <w:ind w:firstLine="480" w:firstLineChars="200"/>
        <w:rPr>
          <w:rFonts w:hint="eastAsia" w:cs="仿宋_GB2312"/>
          <w:i w:val="0"/>
          <w:iCs w:val="0"/>
          <w:color w:val="auto"/>
          <w:highlight w:val="none"/>
          <w:lang w:val="zh-CN"/>
        </w:rPr>
      </w:pPr>
    </w:p>
    <w:p w14:paraId="6FB2E3B8">
      <w:pPr>
        <w:ind w:firstLine="480" w:firstLineChars="200"/>
        <w:rPr>
          <w:rFonts w:hint="eastAsia" w:cs="仿宋_GB2312"/>
          <w:i w:val="0"/>
          <w:iCs w:val="0"/>
          <w:color w:val="auto"/>
          <w:highlight w:val="none"/>
          <w:lang w:val="zh-CN"/>
        </w:rPr>
      </w:pPr>
    </w:p>
    <w:p w14:paraId="6DE1B44D">
      <w:pPr>
        <w:ind w:firstLine="480" w:firstLineChars="200"/>
        <w:rPr>
          <w:rFonts w:hint="eastAsia" w:cs="仿宋_GB2312"/>
          <w:i w:val="0"/>
          <w:iCs w:val="0"/>
          <w:color w:val="auto"/>
          <w:highlight w:val="none"/>
          <w:lang w:val="zh-CN"/>
        </w:rPr>
      </w:pPr>
    </w:p>
    <w:p w14:paraId="17B09CBF">
      <w:pPr>
        <w:ind w:firstLine="480" w:firstLineChars="200"/>
        <w:rPr>
          <w:rFonts w:hint="eastAsia" w:cs="仿宋_GB2312"/>
          <w:i w:val="0"/>
          <w:iCs w:val="0"/>
          <w:color w:val="auto"/>
          <w:highlight w:val="none"/>
          <w:lang w:val="zh-CN"/>
        </w:rPr>
      </w:pPr>
    </w:p>
    <w:p w14:paraId="03A4624C">
      <w:pPr>
        <w:ind w:firstLine="480" w:firstLineChars="200"/>
        <w:rPr>
          <w:rFonts w:hint="eastAsia" w:cs="仿宋_GB2312"/>
          <w:i w:val="0"/>
          <w:iCs w:val="0"/>
          <w:color w:val="auto"/>
          <w:highlight w:val="none"/>
          <w:lang w:val="zh-CN"/>
        </w:rPr>
      </w:pPr>
    </w:p>
    <w:p w14:paraId="67E1F848">
      <w:pPr>
        <w:ind w:firstLine="480" w:firstLineChars="200"/>
        <w:rPr>
          <w:rFonts w:hint="eastAsia" w:cs="仿宋_GB2312"/>
          <w:i w:val="0"/>
          <w:iCs w:val="0"/>
          <w:color w:val="auto"/>
          <w:highlight w:val="none"/>
          <w:lang w:val="zh-CN"/>
        </w:rPr>
      </w:pPr>
    </w:p>
    <w:p w14:paraId="0B33D1F2">
      <w:pPr>
        <w:ind w:firstLine="480" w:firstLineChars="200"/>
        <w:rPr>
          <w:rFonts w:hint="eastAsia" w:cs="仿宋_GB2312"/>
          <w:i w:val="0"/>
          <w:iCs w:val="0"/>
          <w:color w:val="auto"/>
          <w:highlight w:val="none"/>
          <w:lang w:val="zh-CN"/>
        </w:rPr>
      </w:pPr>
    </w:p>
    <w:p w14:paraId="767B88D1">
      <w:pPr>
        <w:ind w:firstLine="480" w:firstLineChars="200"/>
        <w:rPr>
          <w:rFonts w:hint="eastAsia" w:cs="仿宋_GB2312"/>
          <w:i w:val="0"/>
          <w:iCs w:val="0"/>
          <w:color w:val="auto"/>
          <w:highlight w:val="none"/>
          <w:lang w:val="zh-CN"/>
        </w:rPr>
      </w:pPr>
    </w:p>
    <w:p w14:paraId="4D4FB679">
      <w:pPr>
        <w:ind w:firstLine="480" w:firstLineChars="200"/>
        <w:rPr>
          <w:rFonts w:hint="eastAsia" w:cs="仿宋_GB2312"/>
          <w:i w:val="0"/>
          <w:iCs w:val="0"/>
          <w:color w:val="auto"/>
          <w:szCs w:val="24"/>
          <w:highlight w:val="none"/>
          <w:lang w:val="zh-CN"/>
        </w:rPr>
      </w:pPr>
    </w:p>
    <w:p w14:paraId="2B418A0C">
      <w:pPr>
        <w:ind w:firstLine="480" w:firstLineChars="200"/>
        <w:rPr>
          <w:rFonts w:hint="eastAsia" w:cs="仿宋_GB2312"/>
          <w:i w:val="0"/>
          <w:iCs w:val="0"/>
          <w:color w:val="auto"/>
          <w:szCs w:val="24"/>
          <w:highlight w:val="none"/>
          <w:lang w:val="zh-CN"/>
        </w:rPr>
      </w:pPr>
    </w:p>
    <w:p w14:paraId="1F4800AD">
      <w:pPr>
        <w:ind w:firstLine="480" w:firstLineChars="200"/>
        <w:rPr>
          <w:rFonts w:hint="eastAsia" w:cs="仿宋_GB2312"/>
          <w:i w:val="0"/>
          <w:iCs w:val="0"/>
          <w:color w:val="auto"/>
          <w:szCs w:val="24"/>
          <w:highlight w:val="none"/>
          <w:lang w:val="zh-CN"/>
        </w:rPr>
      </w:pPr>
    </w:p>
    <w:p w14:paraId="7305E4A5">
      <w:pPr>
        <w:ind w:firstLine="480" w:firstLineChars="200"/>
        <w:rPr>
          <w:rFonts w:hint="eastAsia" w:cs="仿宋_GB2312"/>
          <w:i w:val="0"/>
          <w:iCs w:val="0"/>
          <w:color w:val="auto"/>
          <w:szCs w:val="24"/>
          <w:highlight w:val="none"/>
          <w:lang w:val="zh-CN"/>
        </w:rPr>
      </w:pPr>
    </w:p>
    <w:p w14:paraId="5E18FB3B">
      <w:pPr>
        <w:ind w:firstLine="480" w:firstLineChars="200"/>
        <w:rPr>
          <w:rFonts w:cs="仿宋_GB2312"/>
          <w:i w:val="0"/>
          <w:iCs w:val="0"/>
          <w:color w:val="auto"/>
          <w:szCs w:val="24"/>
          <w:highlight w:val="none"/>
          <w:lang w:val="zh-CN"/>
        </w:rPr>
      </w:pPr>
      <w:r>
        <w:rPr>
          <w:rFonts w:hint="eastAsia" w:cs="仿宋_GB2312"/>
          <w:i w:val="0"/>
          <w:iCs w:val="0"/>
          <w:color w:val="auto"/>
          <w:szCs w:val="24"/>
          <w:highlight w:val="none"/>
          <w:lang w:val="zh-CN"/>
        </w:rPr>
        <w:t>封面：</w:t>
      </w:r>
    </w:p>
    <w:p w14:paraId="7ACEBF31">
      <w:pPr>
        <w:autoSpaceDE w:val="0"/>
        <w:autoSpaceDN w:val="0"/>
        <w:adjustRightInd w:val="0"/>
        <w:rPr>
          <w:i w:val="0"/>
          <w:iCs w:val="0"/>
          <w:color w:val="auto"/>
          <w:sz w:val="21"/>
          <w:szCs w:val="24"/>
          <w:highlight w:val="none"/>
        </w:rPr>
      </w:pPr>
    </w:p>
    <w:p w14:paraId="37077D1C">
      <w:pPr>
        <w:autoSpaceDE w:val="0"/>
        <w:autoSpaceDN w:val="0"/>
        <w:adjustRightInd w:val="0"/>
        <w:rPr>
          <w:i w:val="0"/>
          <w:iCs w:val="0"/>
          <w:color w:val="auto"/>
          <w:sz w:val="21"/>
          <w:szCs w:val="24"/>
          <w:highlight w:val="none"/>
        </w:rPr>
      </w:pPr>
    </w:p>
    <w:p w14:paraId="26A9FF10">
      <w:pPr>
        <w:autoSpaceDE w:val="0"/>
        <w:autoSpaceDN w:val="0"/>
        <w:adjustRightInd w:val="0"/>
        <w:jc w:val="center"/>
        <w:rPr>
          <w:i w:val="0"/>
          <w:iCs w:val="0"/>
          <w:color w:val="auto"/>
          <w:sz w:val="21"/>
          <w:szCs w:val="24"/>
          <w:highlight w:val="none"/>
        </w:rPr>
      </w:pPr>
    </w:p>
    <w:p w14:paraId="57360705">
      <w:pPr>
        <w:pStyle w:val="4"/>
        <w:bidi w:val="0"/>
        <w:spacing w:line="360" w:lineRule="auto"/>
        <w:rPr>
          <w:rFonts w:hint="eastAsia"/>
          <w:color w:val="auto"/>
          <w:sz w:val="48"/>
          <w:szCs w:val="48"/>
          <w:highlight w:val="none"/>
        </w:rPr>
      </w:pPr>
      <w:bookmarkStart w:id="624" w:name="_Toc12918"/>
      <w:r>
        <w:rPr>
          <w:rFonts w:hint="eastAsia"/>
          <w:color w:val="auto"/>
          <w:sz w:val="48"/>
          <w:szCs w:val="48"/>
          <w:highlight w:val="none"/>
          <w:lang w:val="en-US" w:eastAsia="zh-CN"/>
        </w:rPr>
        <w:t>响</w:t>
      </w:r>
      <w:r>
        <w:rPr>
          <w:rFonts w:hint="eastAsia"/>
          <w:color w:val="auto"/>
          <w:sz w:val="48"/>
          <w:szCs w:val="48"/>
          <w:highlight w:val="none"/>
        </w:rPr>
        <w:t xml:space="preserve"> </w:t>
      </w:r>
      <w:r>
        <w:rPr>
          <w:rFonts w:hint="eastAsia"/>
          <w:color w:val="auto"/>
          <w:sz w:val="48"/>
          <w:szCs w:val="48"/>
          <w:highlight w:val="none"/>
          <w:lang w:val="en-US" w:eastAsia="zh-CN"/>
        </w:rPr>
        <w:t>应</w:t>
      </w:r>
      <w:r>
        <w:rPr>
          <w:rFonts w:hint="eastAsia"/>
          <w:color w:val="auto"/>
          <w:sz w:val="48"/>
          <w:szCs w:val="48"/>
          <w:highlight w:val="none"/>
        </w:rPr>
        <w:t xml:space="preserve"> 文 件</w:t>
      </w:r>
      <w:bookmarkEnd w:id="624"/>
    </w:p>
    <w:p w14:paraId="5F95AD39">
      <w:pPr>
        <w:pStyle w:val="4"/>
        <w:bidi w:val="0"/>
        <w:spacing w:line="360" w:lineRule="auto"/>
        <w:rPr>
          <w:rFonts w:hint="eastAsia"/>
          <w:color w:val="auto"/>
          <w:sz w:val="48"/>
          <w:szCs w:val="48"/>
          <w:highlight w:val="none"/>
        </w:rPr>
      </w:pPr>
      <w:bookmarkStart w:id="625" w:name="_Toc22197"/>
      <w:r>
        <w:rPr>
          <w:rFonts w:hint="eastAsia"/>
          <w:color w:val="auto"/>
          <w:sz w:val="48"/>
          <w:szCs w:val="48"/>
          <w:highlight w:val="none"/>
        </w:rPr>
        <w:t>资格证明文件</w:t>
      </w:r>
      <w:bookmarkEnd w:id="625"/>
    </w:p>
    <w:p w14:paraId="11DB6CF5">
      <w:pPr>
        <w:autoSpaceDE w:val="0"/>
        <w:autoSpaceDN w:val="0"/>
        <w:adjustRightInd w:val="0"/>
        <w:rPr>
          <w:b/>
          <w:bCs/>
          <w:i w:val="0"/>
          <w:iCs w:val="0"/>
          <w:color w:val="auto"/>
          <w:sz w:val="22"/>
          <w:highlight w:val="none"/>
        </w:rPr>
      </w:pPr>
    </w:p>
    <w:p w14:paraId="67D0EDA9">
      <w:pPr>
        <w:autoSpaceDE w:val="0"/>
        <w:autoSpaceDN w:val="0"/>
        <w:adjustRightInd w:val="0"/>
        <w:jc w:val="center"/>
        <w:rPr>
          <w:rFonts w:hint="eastAsia"/>
          <w:i w:val="0"/>
          <w:iCs w:val="0"/>
          <w:color w:val="auto"/>
          <w:sz w:val="36"/>
          <w:szCs w:val="36"/>
          <w:highlight w:val="none"/>
          <w:lang w:val="en-US" w:eastAsia="zh-CN"/>
        </w:rPr>
      </w:pPr>
    </w:p>
    <w:p w14:paraId="26D6A5C5">
      <w:pPr>
        <w:autoSpaceDE w:val="0"/>
        <w:autoSpaceDN w:val="0"/>
        <w:adjustRightInd w:val="0"/>
        <w:jc w:val="center"/>
        <w:rPr>
          <w:rFonts w:hint="eastAsia"/>
          <w:i w:val="0"/>
          <w:iCs w:val="0"/>
          <w:color w:val="auto"/>
          <w:sz w:val="36"/>
          <w:szCs w:val="36"/>
          <w:highlight w:val="none"/>
          <w:lang w:val="en-US" w:eastAsia="zh-CN"/>
        </w:rPr>
      </w:pPr>
    </w:p>
    <w:p w14:paraId="5A93F85C">
      <w:pPr>
        <w:autoSpaceDE w:val="0"/>
        <w:autoSpaceDN w:val="0"/>
        <w:adjustRightInd w:val="0"/>
        <w:jc w:val="center"/>
        <w:rPr>
          <w:rFonts w:hint="eastAsia" w:eastAsia="宋体"/>
          <w:i w:val="0"/>
          <w:iCs w:val="0"/>
          <w:color w:val="auto"/>
          <w:sz w:val="36"/>
          <w:szCs w:val="36"/>
          <w:highlight w:val="none"/>
          <w:lang w:eastAsia="zh-CN"/>
        </w:rPr>
      </w:pPr>
    </w:p>
    <w:p w14:paraId="7706F553">
      <w:pPr>
        <w:autoSpaceDE w:val="0"/>
        <w:autoSpaceDN w:val="0"/>
        <w:adjustRightInd w:val="0"/>
        <w:rPr>
          <w:i w:val="0"/>
          <w:iCs w:val="0"/>
          <w:color w:val="auto"/>
          <w:sz w:val="21"/>
          <w:szCs w:val="21"/>
          <w:highlight w:val="none"/>
        </w:rPr>
      </w:pPr>
    </w:p>
    <w:p w14:paraId="32069084">
      <w:pPr>
        <w:autoSpaceDE w:val="0"/>
        <w:autoSpaceDN w:val="0"/>
        <w:adjustRightInd w:val="0"/>
        <w:rPr>
          <w:i w:val="0"/>
          <w:iCs w:val="0"/>
          <w:color w:val="auto"/>
          <w:sz w:val="21"/>
          <w:szCs w:val="21"/>
          <w:highlight w:val="none"/>
        </w:rPr>
      </w:pPr>
    </w:p>
    <w:p w14:paraId="2FAACB21">
      <w:pPr>
        <w:rPr>
          <w:rFonts w:hint="eastAsia" w:ascii="宋体" w:hAnsi="宋体" w:eastAsia="宋体" w:cs="宋体"/>
          <w:i w:val="0"/>
          <w:iCs w:val="0"/>
          <w:color w:val="auto"/>
          <w:sz w:val="36"/>
          <w:szCs w:val="36"/>
          <w:highlight w:val="none"/>
        </w:rPr>
      </w:pPr>
    </w:p>
    <w:p w14:paraId="5239F587">
      <w:pPr>
        <w:ind w:left="420" w:leftChars="175"/>
        <w:rPr>
          <w:rFonts w:hint="eastAsia" w:ascii="宋体" w:hAnsi="宋体" w:eastAsia="宋体" w:cs="宋体"/>
          <w:i w:val="0"/>
          <w:iCs w:val="0"/>
          <w:color w:val="auto"/>
          <w:sz w:val="36"/>
          <w:szCs w:val="36"/>
          <w:highlight w:val="none"/>
        </w:rPr>
      </w:pPr>
      <w:r>
        <w:rPr>
          <w:rFonts w:hint="eastAsia" w:ascii="宋体" w:hAnsi="宋体" w:eastAsia="宋体" w:cs="宋体"/>
          <w:i w:val="0"/>
          <w:iCs w:val="0"/>
          <w:color w:val="auto"/>
          <w:sz w:val="36"/>
          <w:szCs w:val="36"/>
          <w:highlight w:val="none"/>
        </w:rPr>
        <w:t>项目编号</w:t>
      </w:r>
      <w:r>
        <w:rPr>
          <w:rFonts w:hint="eastAsia" w:ascii="宋体" w:hAnsi="宋体" w:eastAsia="宋体" w:cs="宋体"/>
          <w:i w:val="0"/>
          <w:iCs w:val="0"/>
          <w:color w:val="auto"/>
          <w:sz w:val="36"/>
          <w:szCs w:val="36"/>
          <w:highlight w:val="none"/>
          <w:lang w:val="en-US" w:eastAsia="zh-CN"/>
        </w:rPr>
        <w:t>/包号</w:t>
      </w:r>
      <w:r>
        <w:rPr>
          <w:rFonts w:hint="eastAsia" w:ascii="宋体" w:hAnsi="宋体" w:eastAsia="宋体" w:cs="宋体"/>
          <w:i w:val="0"/>
          <w:iCs w:val="0"/>
          <w:color w:val="auto"/>
          <w:sz w:val="36"/>
          <w:szCs w:val="36"/>
          <w:highlight w:val="none"/>
        </w:rPr>
        <w:t>：</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75AD0331">
      <w:pPr>
        <w:ind w:left="420" w:leftChars="175"/>
        <w:rPr>
          <w:rFonts w:hint="eastAsia" w:ascii="宋体" w:hAnsi="宋体" w:eastAsia="宋体" w:cs="宋体"/>
          <w:i w:val="0"/>
          <w:iCs w:val="0"/>
          <w:color w:val="auto"/>
          <w:sz w:val="36"/>
          <w:szCs w:val="36"/>
          <w:highlight w:val="none"/>
        </w:rPr>
      </w:pPr>
      <w:r>
        <w:rPr>
          <w:rFonts w:hint="eastAsia" w:ascii="宋体" w:hAnsi="宋体" w:eastAsia="宋体" w:cs="宋体"/>
          <w:i w:val="0"/>
          <w:iCs w:val="0"/>
          <w:color w:val="auto"/>
          <w:sz w:val="36"/>
          <w:szCs w:val="36"/>
          <w:highlight w:val="none"/>
        </w:rPr>
        <w:t>项目名称：</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04A215D3">
      <w:pPr>
        <w:ind w:left="420" w:leftChars="175"/>
        <w:rPr>
          <w:rFonts w:hint="eastAsia" w:ascii="宋体" w:hAnsi="宋体" w:eastAsia="宋体" w:cs="宋体"/>
          <w:i w:val="0"/>
          <w:iCs w:val="0"/>
          <w:color w:val="auto"/>
          <w:sz w:val="36"/>
          <w:szCs w:val="36"/>
          <w:highlight w:val="none"/>
        </w:rPr>
      </w:pPr>
      <w:r>
        <w:rPr>
          <w:rFonts w:hint="eastAsia" w:cs="宋体"/>
          <w:i w:val="0"/>
          <w:iCs w:val="0"/>
          <w:color w:val="auto"/>
          <w:sz w:val="36"/>
          <w:szCs w:val="36"/>
          <w:highlight w:val="none"/>
          <w:lang w:val="en-US" w:eastAsia="zh-CN"/>
        </w:rPr>
        <w:t>供 应 商</w:t>
      </w:r>
      <w:r>
        <w:rPr>
          <w:rFonts w:hint="eastAsia" w:ascii="宋体" w:hAnsi="宋体" w:eastAsia="宋体" w:cs="宋体"/>
          <w:i w:val="0"/>
          <w:iCs w:val="0"/>
          <w:color w:val="auto"/>
          <w:sz w:val="36"/>
          <w:szCs w:val="36"/>
          <w:highlight w:val="none"/>
        </w:rPr>
        <w:t>：</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017A4996">
      <w:pPr>
        <w:ind w:left="840" w:firstLine="420"/>
        <w:rPr>
          <w:b/>
          <w:bCs/>
          <w:i w:val="0"/>
          <w:iCs w:val="0"/>
          <w:color w:val="auto"/>
          <w:sz w:val="28"/>
          <w:szCs w:val="28"/>
          <w:highlight w:val="none"/>
        </w:rPr>
      </w:pPr>
    </w:p>
    <w:p w14:paraId="485AD490">
      <w:pPr>
        <w:ind w:left="840" w:firstLine="420"/>
        <w:rPr>
          <w:b/>
          <w:bCs/>
          <w:i w:val="0"/>
          <w:iCs w:val="0"/>
          <w:color w:val="auto"/>
          <w:sz w:val="28"/>
          <w:szCs w:val="28"/>
          <w:highlight w:val="none"/>
        </w:rPr>
      </w:pPr>
    </w:p>
    <w:p w14:paraId="54315688">
      <w:pPr>
        <w:ind w:left="840" w:firstLine="420"/>
        <w:rPr>
          <w:b/>
          <w:bCs/>
          <w:i w:val="0"/>
          <w:iCs w:val="0"/>
          <w:color w:val="auto"/>
          <w:sz w:val="28"/>
          <w:szCs w:val="28"/>
          <w:highlight w:val="none"/>
        </w:rPr>
      </w:pPr>
    </w:p>
    <w:p w14:paraId="3887EEA7">
      <w:pPr>
        <w:jc w:val="center"/>
        <w:rPr>
          <w:rFonts w:ascii="黑体" w:hAnsi="黑体" w:eastAsia="黑体"/>
          <w:i w:val="0"/>
          <w:iCs w:val="0"/>
          <w:color w:val="auto"/>
          <w:sz w:val="32"/>
          <w:szCs w:val="32"/>
          <w:highlight w:val="none"/>
        </w:rPr>
      </w:pPr>
      <w:r>
        <w:rPr>
          <w:rFonts w:hint="eastAsia" w:ascii="宋体" w:hAnsi="宋体" w:eastAsia="宋体" w:cs="宋体"/>
          <w:i w:val="0"/>
          <w:iCs w:val="0"/>
          <w:color w:val="auto"/>
          <w:sz w:val="32"/>
          <w:szCs w:val="32"/>
          <w:highlight w:val="none"/>
        </w:rPr>
        <w:t>年   月    日</w:t>
      </w:r>
    </w:p>
    <w:p w14:paraId="4D559AAC">
      <w:pPr>
        <w:jc w:val="center"/>
        <w:rPr>
          <w:b/>
          <w:bCs/>
          <w:i w:val="0"/>
          <w:iCs w:val="0"/>
          <w:color w:val="auto"/>
          <w:sz w:val="28"/>
          <w:szCs w:val="28"/>
          <w:highlight w:val="none"/>
        </w:rPr>
      </w:pPr>
      <w:r>
        <w:rPr>
          <w:b/>
          <w:bCs/>
          <w:i w:val="0"/>
          <w:iCs w:val="0"/>
          <w:color w:val="auto"/>
          <w:sz w:val="28"/>
          <w:szCs w:val="28"/>
          <w:highlight w:val="none"/>
        </w:rPr>
        <w:br w:type="page"/>
      </w:r>
    </w:p>
    <w:p w14:paraId="083173A3">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28"/>
          <w:szCs w:val="28"/>
          <w:highlight w:val="none"/>
          <w:lang w:val="en-US" w:eastAsia="zh-CN" w:bidi="ar-SA"/>
        </w:rPr>
      </w:pPr>
      <w:bookmarkStart w:id="626" w:name="_Toc2966"/>
      <w:bookmarkStart w:id="627" w:name="_Toc163492921"/>
      <w:bookmarkStart w:id="628" w:name="_Toc155185927"/>
      <w:bookmarkStart w:id="629" w:name="_Toc155185928"/>
      <w:bookmarkStart w:id="630" w:name="_Toc163492922"/>
      <w:bookmarkStart w:id="631" w:name="_Toc163493643"/>
      <w:r>
        <w:rPr>
          <w:rFonts w:hint="eastAsia" w:ascii="等线 Light" w:hAnsi="等线 Light" w:eastAsia="宋体" w:cs="宋体"/>
          <w:b/>
          <w:bCs/>
          <w:i w:val="0"/>
          <w:iCs w:val="0"/>
          <w:color w:val="auto"/>
          <w:kern w:val="2"/>
          <w:sz w:val="28"/>
          <w:szCs w:val="28"/>
          <w:highlight w:val="none"/>
          <w:lang w:val="en-US" w:eastAsia="zh-CN" w:bidi="ar-SA"/>
        </w:rPr>
        <w:t>一、满足《中华人民共和国政府采购法》第二十二条规定</w:t>
      </w:r>
      <w:bookmarkEnd w:id="626"/>
    </w:p>
    <w:bookmarkEnd w:id="627"/>
    <w:bookmarkEnd w:id="628"/>
    <w:p w14:paraId="008CC6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i w:val="0"/>
          <w:iCs w:val="0"/>
          <w:color w:val="auto"/>
          <w:kern w:val="2"/>
          <w:sz w:val="24"/>
          <w:szCs w:val="24"/>
          <w:highlight w:val="none"/>
          <w:lang w:val="en-US" w:eastAsia="zh-CN" w:bidi="ar-SA"/>
        </w:rPr>
      </w:pPr>
    </w:p>
    <w:p w14:paraId="4F503C0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（一）法人、其他组织或者自然人的证明文件</w:t>
      </w:r>
    </w:p>
    <w:p w14:paraId="2B1688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i w:val="0"/>
          <w:iCs w:val="0"/>
          <w:color w:val="auto"/>
          <w:kern w:val="0"/>
          <w:sz w:val="24"/>
          <w:szCs w:val="24"/>
          <w:highlight w:val="none"/>
          <w:lang w:val="en-US" w:eastAsia="zh-CN"/>
        </w:rPr>
      </w:pPr>
      <w:r>
        <w:rPr>
          <w:rFonts w:hint="eastAsia" w:cs="宋体"/>
          <w:b w:val="0"/>
          <w:bCs w:val="0"/>
          <w:i w:val="0"/>
          <w:iCs w:val="0"/>
          <w:color w:val="auto"/>
          <w:kern w:val="0"/>
          <w:sz w:val="24"/>
          <w:szCs w:val="24"/>
          <w:highlight w:val="none"/>
          <w:lang w:val="en-US" w:eastAsia="zh-CN"/>
        </w:rPr>
        <w:t>1、供应商</w:t>
      </w:r>
      <w:r>
        <w:rPr>
          <w:rFonts w:hint="eastAsia" w:ascii="宋体" w:hAnsi="宋体" w:eastAsia="宋体" w:cs="宋体"/>
          <w:b w:val="0"/>
          <w:bCs w:val="0"/>
          <w:i w:val="0"/>
          <w:iCs w:val="0"/>
          <w:color w:val="auto"/>
          <w:kern w:val="0"/>
          <w:sz w:val="24"/>
          <w:szCs w:val="24"/>
          <w:highlight w:val="none"/>
          <w:lang w:val="en-US" w:eastAsia="zh-CN"/>
        </w:rPr>
        <w:t>为企业（包括合伙企业）的，应提供有效的“营业执照”；</w:t>
      </w:r>
    </w:p>
    <w:p w14:paraId="6CC198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i w:val="0"/>
          <w:iCs w:val="0"/>
          <w:color w:val="auto"/>
          <w:kern w:val="0"/>
          <w:sz w:val="24"/>
          <w:szCs w:val="24"/>
          <w:highlight w:val="none"/>
          <w:lang w:val="en-US" w:eastAsia="zh-CN"/>
        </w:rPr>
      </w:pPr>
      <w:r>
        <w:rPr>
          <w:rFonts w:hint="eastAsia" w:cs="宋体"/>
          <w:b w:val="0"/>
          <w:bCs w:val="0"/>
          <w:i w:val="0"/>
          <w:iCs w:val="0"/>
          <w:color w:val="auto"/>
          <w:kern w:val="0"/>
          <w:sz w:val="24"/>
          <w:szCs w:val="24"/>
          <w:highlight w:val="none"/>
          <w:lang w:val="en-US" w:eastAsia="zh-CN"/>
        </w:rPr>
        <w:t>2、供应商</w:t>
      </w:r>
      <w:r>
        <w:rPr>
          <w:rFonts w:hint="eastAsia" w:ascii="宋体" w:hAnsi="宋体" w:eastAsia="宋体" w:cs="宋体"/>
          <w:b w:val="0"/>
          <w:bCs w:val="0"/>
          <w:i w:val="0"/>
          <w:iCs w:val="0"/>
          <w:color w:val="auto"/>
          <w:kern w:val="0"/>
          <w:sz w:val="24"/>
          <w:szCs w:val="24"/>
          <w:highlight w:val="none"/>
          <w:lang w:val="en-US" w:eastAsia="zh-CN"/>
        </w:rPr>
        <w:t>为事业单位的，应提供有效的“事业单位法人证书”；</w:t>
      </w:r>
    </w:p>
    <w:p w14:paraId="0E889E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i w:val="0"/>
          <w:iCs w:val="0"/>
          <w:color w:val="auto"/>
          <w:kern w:val="0"/>
          <w:sz w:val="24"/>
          <w:szCs w:val="24"/>
          <w:highlight w:val="none"/>
          <w:lang w:val="en-US" w:eastAsia="zh-CN"/>
        </w:rPr>
      </w:pPr>
      <w:r>
        <w:rPr>
          <w:rFonts w:hint="eastAsia" w:cs="宋体"/>
          <w:b w:val="0"/>
          <w:bCs w:val="0"/>
          <w:i w:val="0"/>
          <w:iCs w:val="0"/>
          <w:color w:val="auto"/>
          <w:kern w:val="0"/>
          <w:sz w:val="24"/>
          <w:szCs w:val="24"/>
          <w:highlight w:val="none"/>
          <w:lang w:val="en-US" w:eastAsia="zh-CN"/>
        </w:rPr>
        <w:t>3、供应商</w:t>
      </w:r>
      <w:r>
        <w:rPr>
          <w:rFonts w:hint="eastAsia" w:ascii="宋体" w:hAnsi="宋体" w:eastAsia="宋体" w:cs="宋体"/>
          <w:b w:val="0"/>
          <w:bCs w:val="0"/>
          <w:i w:val="0"/>
          <w:iCs w:val="0"/>
          <w:color w:val="auto"/>
          <w:kern w:val="0"/>
          <w:sz w:val="24"/>
          <w:szCs w:val="24"/>
          <w:highlight w:val="none"/>
          <w:lang w:val="en-US" w:eastAsia="zh-CN"/>
        </w:rPr>
        <w:t>为非企业机构的，应提供有效的“执业许可证”、“登记证书”等证明文件；</w:t>
      </w:r>
    </w:p>
    <w:p w14:paraId="27CF0A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i w:val="0"/>
          <w:iCs w:val="0"/>
          <w:color w:val="auto"/>
          <w:kern w:val="0"/>
          <w:sz w:val="24"/>
          <w:szCs w:val="24"/>
          <w:highlight w:val="none"/>
          <w:lang w:val="en-US" w:eastAsia="zh-CN"/>
        </w:rPr>
      </w:pPr>
      <w:r>
        <w:rPr>
          <w:rFonts w:hint="eastAsia" w:cs="宋体"/>
          <w:b w:val="0"/>
          <w:bCs w:val="0"/>
          <w:i w:val="0"/>
          <w:iCs w:val="0"/>
          <w:color w:val="auto"/>
          <w:kern w:val="0"/>
          <w:sz w:val="24"/>
          <w:szCs w:val="24"/>
          <w:highlight w:val="none"/>
          <w:lang w:val="en-US" w:eastAsia="zh-CN"/>
        </w:rPr>
        <w:t>4、供应商</w:t>
      </w:r>
      <w:r>
        <w:rPr>
          <w:rFonts w:hint="eastAsia" w:ascii="宋体" w:hAnsi="宋体" w:eastAsia="宋体" w:cs="宋体"/>
          <w:b w:val="0"/>
          <w:bCs w:val="0"/>
          <w:i w:val="0"/>
          <w:iCs w:val="0"/>
          <w:color w:val="auto"/>
          <w:kern w:val="0"/>
          <w:sz w:val="24"/>
          <w:szCs w:val="24"/>
          <w:highlight w:val="none"/>
          <w:lang w:val="en-US" w:eastAsia="zh-CN"/>
        </w:rPr>
        <w:t>是个体工商户的，应提供有效的“个体工商户营业执照”；</w:t>
      </w:r>
    </w:p>
    <w:p w14:paraId="5856E1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i w:val="0"/>
          <w:iCs w:val="0"/>
          <w:color w:val="auto"/>
          <w:kern w:val="0"/>
          <w:sz w:val="24"/>
          <w:szCs w:val="24"/>
          <w:highlight w:val="none"/>
          <w:lang w:val="en-US" w:eastAsia="zh-CN"/>
        </w:rPr>
      </w:pPr>
      <w:r>
        <w:rPr>
          <w:rFonts w:hint="eastAsia" w:cs="宋体"/>
          <w:b w:val="0"/>
          <w:bCs w:val="0"/>
          <w:i w:val="0"/>
          <w:iCs w:val="0"/>
          <w:color w:val="auto"/>
          <w:kern w:val="0"/>
          <w:sz w:val="24"/>
          <w:szCs w:val="24"/>
          <w:highlight w:val="none"/>
          <w:lang w:val="en-US" w:eastAsia="zh-CN"/>
        </w:rPr>
        <w:t>5、供应商</w:t>
      </w:r>
      <w:r>
        <w:rPr>
          <w:rFonts w:hint="eastAsia" w:ascii="宋体" w:hAnsi="宋体" w:eastAsia="宋体" w:cs="宋体"/>
          <w:b w:val="0"/>
          <w:bCs w:val="0"/>
          <w:i w:val="0"/>
          <w:iCs w:val="0"/>
          <w:color w:val="auto"/>
          <w:kern w:val="0"/>
          <w:sz w:val="24"/>
          <w:szCs w:val="24"/>
          <w:highlight w:val="none"/>
          <w:lang w:val="en-US" w:eastAsia="zh-CN"/>
        </w:rPr>
        <w:t>是自然人的，应提供有效的自然人身份证明。</w:t>
      </w:r>
    </w:p>
    <w:p w14:paraId="072C50DF">
      <w:pPr>
        <w:rPr>
          <w:rFonts w:hint="eastAsia" w:ascii="宋体" w:hAnsi="宋体" w:eastAsia="宋体" w:cs="宋体"/>
          <w:i w:val="0"/>
          <w:iCs w:val="0"/>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lang w:val="en-US" w:eastAsia="zh-CN"/>
        </w:rPr>
        <w:br w:type="page"/>
      </w:r>
    </w:p>
    <w:bookmarkEnd w:id="629"/>
    <w:bookmarkEnd w:id="630"/>
    <w:p w14:paraId="22F4C0EC">
      <w:pPr>
        <w:rPr>
          <w:rFonts w:hint="eastAsia" w:cs="宋体"/>
          <w:b/>
          <w:bCs/>
          <w:szCs w:val="24"/>
          <w:highlight w:val="none"/>
        </w:rPr>
      </w:pPr>
      <w:bookmarkStart w:id="632" w:name="_Toc109899498"/>
      <w:bookmarkStart w:id="633" w:name="_Toc109900336"/>
      <w:bookmarkStart w:id="634" w:name="_Toc163492923"/>
      <w:bookmarkStart w:id="635" w:name="_Toc155185930"/>
      <w:bookmarkStart w:id="636" w:name="_Toc140132840"/>
      <w:bookmarkStart w:id="637" w:name="_Toc109899917"/>
      <w:bookmarkStart w:id="638" w:name="_Toc18060"/>
      <w:r>
        <w:rPr>
          <w:rFonts w:hint="eastAsia" w:cs="宋体"/>
          <w:b/>
          <w:bCs/>
          <w:szCs w:val="24"/>
          <w:highlight w:val="none"/>
        </w:rPr>
        <w:t>（二）具有良好的商业信誉和健全的财务会计制度；</w:t>
      </w:r>
    </w:p>
    <w:p w14:paraId="6D180F85">
      <w:pPr>
        <w:ind w:firstLine="480" w:firstLineChars="200"/>
        <w:rPr>
          <w:rFonts w:hint="eastAsia" w:cs="宋体"/>
          <w:b/>
          <w:bCs/>
          <w:szCs w:val="24"/>
          <w:highlight w:val="none"/>
        </w:rPr>
      </w:pPr>
      <w:bookmarkStart w:id="639" w:name="_Toc28292"/>
      <w:bookmarkStart w:id="640" w:name="_Toc11370"/>
      <w:r>
        <w:rPr>
          <w:rFonts w:hint="eastAsia" w:cs="宋体"/>
          <w:b w:val="0"/>
          <w:bCs w:val="0"/>
          <w:szCs w:val="24"/>
          <w:highlight w:val="none"/>
        </w:rPr>
        <w:t>供应商需提供2025年度的财务状况报表或经第三方审计出具的审计报告复印件/扫描件并加盖公章，供应商成立不足一年(含一年)的需提供财务状况报表(需包含资产负债表、现金流量表、利润表)或近三个月内任意一个月的银行资信证明材料复印件/扫描件并加盖公章。</w:t>
      </w:r>
      <w:bookmarkStart w:id="731" w:name="_GoBack"/>
      <w:bookmarkEnd w:id="731"/>
      <w:r>
        <w:rPr>
          <w:rFonts w:hint="eastAsia" w:cs="宋体"/>
          <w:b/>
          <w:bCs/>
          <w:szCs w:val="24"/>
          <w:highlight w:val="none"/>
        </w:rPr>
        <w:br w:type="page"/>
      </w:r>
    </w:p>
    <w:p w14:paraId="08485A44">
      <w:pPr>
        <w:rPr>
          <w:rFonts w:hint="eastAsia" w:cs="宋体"/>
          <w:b/>
          <w:bCs/>
          <w:szCs w:val="24"/>
          <w:highlight w:val="none"/>
        </w:rPr>
      </w:pPr>
      <w:r>
        <w:rPr>
          <w:rFonts w:hint="eastAsia" w:cs="宋体"/>
          <w:b/>
          <w:bCs/>
          <w:szCs w:val="24"/>
          <w:highlight w:val="none"/>
        </w:rPr>
        <w:t>（三）有依法缴纳税收和社会保障资金的良好记录</w:t>
      </w:r>
      <w:bookmarkEnd w:id="639"/>
      <w:bookmarkEnd w:id="640"/>
    </w:p>
    <w:p w14:paraId="4D556D43">
      <w:pPr>
        <w:pStyle w:val="79"/>
        <w:adjustRightInd w:val="0"/>
        <w:snapToGrid w:val="0"/>
        <w:spacing w:line="360" w:lineRule="auto"/>
        <w:ind w:firstLine="420" w:firstLineChars="200"/>
        <w:jc w:val="left"/>
        <w:rPr>
          <w:rFonts w:hint="eastAsia" w:ascii="宋体" w:hAnsi="宋体" w:cs="宋体"/>
          <w:bCs/>
          <w:szCs w:val="21"/>
          <w:highlight w:val="none"/>
        </w:rPr>
      </w:pPr>
      <w:r>
        <w:rPr>
          <w:rFonts w:hint="eastAsia" w:ascii="宋体" w:hAnsi="宋体" w:cs="宋体"/>
          <w:bCs/>
          <w:szCs w:val="21"/>
          <w:highlight w:val="none"/>
          <w:lang w:val="en-US" w:eastAsia="zh-CN"/>
        </w:rPr>
        <w:t>1.</w:t>
      </w:r>
      <w:r>
        <w:rPr>
          <w:rFonts w:hint="eastAsia" w:ascii="宋体" w:hAnsi="宋体" w:cs="宋体"/>
          <w:bCs/>
          <w:szCs w:val="21"/>
          <w:highlight w:val="none"/>
        </w:rPr>
        <w:t>供应商依法缴纳</w:t>
      </w:r>
      <w:r>
        <w:rPr>
          <w:rFonts w:hint="eastAsia" w:ascii="宋体" w:hAnsi="宋体" w:cs="宋体"/>
          <w:b/>
          <w:bCs w:val="0"/>
          <w:szCs w:val="21"/>
          <w:highlight w:val="none"/>
        </w:rPr>
        <w:t>税收</w:t>
      </w:r>
      <w:r>
        <w:rPr>
          <w:rFonts w:hint="eastAsia" w:ascii="宋体" w:hAnsi="宋体" w:cs="宋体"/>
          <w:bCs/>
          <w:szCs w:val="21"/>
          <w:highlight w:val="none"/>
        </w:rPr>
        <w:t>的证明材料：本项目</w:t>
      </w:r>
      <w:r>
        <w:rPr>
          <w:rFonts w:hint="eastAsia" w:ascii="宋体" w:hAnsi="宋体" w:cs="宋体"/>
          <w:b/>
          <w:bCs w:val="0"/>
          <w:szCs w:val="21"/>
          <w:highlight w:val="none"/>
        </w:rPr>
        <w:t>投标截止时间前6个月内（至少提供1个月）缴纳税收的凭据</w:t>
      </w:r>
      <w:r>
        <w:rPr>
          <w:rFonts w:hint="eastAsia" w:ascii="宋体" w:hAnsi="宋体" w:cs="宋体"/>
          <w:bCs/>
          <w:szCs w:val="21"/>
          <w:highlight w:val="none"/>
        </w:rPr>
        <w:t>（完税证、缴款书、印花税票、银行代扣（代缴）转账凭证等均可）；</w:t>
      </w:r>
    </w:p>
    <w:p w14:paraId="2FC6A9A2">
      <w:pPr>
        <w:pStyle w:val="79"/>
        <w:adjustRightInd w:val="0"/>
        <w:snapToGrid w:val="0"/>
        <w:spacing w:line="360" w:lineRule="auto"/>
        <w:ind w:firstLine="420" w:firstLineChars="200"/>
        <w:jc w:val="left"/>
        <w:rPr>
          <w:rFonts w:hint="eastAsia" w:ascii="宋体" w:hAnsi="宋体" w:cs="宋体"/>
          <w:bCs/>
          <w:szCs w:val="21"/>
          <w:highlight w:val="none"/>
        </w:rPr>
      </w:pPr>
      <w:r>
        <w:rPr>
          <w:rFonts w:hint="eastAsia" w:ascii="宋体" w:hAnsi="宋体" w:cs="宋体"/>
          <w:bCs/>
          <w:szCs w:val="21"/>
          <w:highlight w:val="none"/>
        </w:rPr>
        <w:t>新成立的供应商，按实际成立月份提供即可。</w:t>
      </w:r>
    </w:p>
    <w:p w14:paraId="32861544">
      <w:pPr>
        <w:pStyle w:val="79"/>
        <w:adjustRightInd w:val="0"/>
        <w:snapToGrid w:val="0"/>
        <w:spacing w:line="360" w:lineRule="auto"/>
        <w:ind w:firstLine="420" w:firstLineChars="200"/>
        <w:jc w:val="left"/>
        <w:rPr>
          <w:rFonts w:hint="eastAsia" w:ascii="宋体" w:hAnsi="宋体" w:cs="宋体"/>
          <w:bCs/>
          <w:szCs w:val="21"/>
          <w:highlight w:val="none"/>
        </w:rPr>
      </w:pPr>
      <w:r>
        <w:rPr>
          <w:rFonts w:hint="eastAsia" w:ascii="宋体" w:hAnsi="宋体" w:cs="宋体"/>
          <w:bCs/>
          <w:szCs w:val="21"/>
          <w:highlight w:val="none"/>
        </w:rPr>
        <w:t>依法免税的供应商，须提供相应文件证明其依法免税。</w:t>
      </w:r>
    </w:p>
    <w:p w14:paraId="3EE05F43">
      <w:pPr>
        <w:pStyle w:val="79"/>
        <w:adjustRightInd w:val="0"/>
        <w:snapToGrid w:val="0"/>
        <w:spacing w:line="360" w:lineRule="auto"/>
        <w:ind w:firstLine="420" w:firstLineChars="200"/>
        <w:jc w:val="left"/>
        <w:rPr>
          <w:rFonts w:hint="eastAsia" w:ascii="宋体" w:hAnsi="宋体" w:cs="宋体"/>
          <w:bCs/>
          <w:szCs w:val="21"/>
          <w:highlight w:val="none"/>
        </w:rPr>
      </w:pPr>
    </w:p>
    <w:p w14:paraId="530A5B3D">
      <w:pPr>
        <w:pStyle w:val="79"/>
        <w:adjustRightInd w:val="0"/>
        <w:snapToGrid w:val="0"/>
        <w:spacing w:line="360" w:lineRule="auto"/>
        <w:ind w:firstLine="420" w:firstLineChars="200"/>
        <w:jc w:val="left"/>
        <w:rPr>
          <w:rFonts w:hint="eastAsia" w:ascii="宋体" w:hAnsi="宋体" w:cs="宋体"/>
          <w:bCs/>
          <w:szCs w:val="21"/>
          <w:highlight w:val="none"/>
        </w:rPr>
      </w:pPr>
      <w:r>
        <w:rPr>
          <w:rFonts w:hint="eastAsia" w:ascii="宋体" w:hAnsi="宋体" w:cs="宋体"/>
          <w:bCs/>
          <w:szCs w:val="21"/>
          <w:highlight w:val="none"/>
          <w:lang w:val="en-US" w:eastAsia="zh-CN"/>
        </w:rPr>
        <w:t>2.</w:t>
      </w:r>
      <w:r>
        <w:rPr>
          <w:rFonts w:hint="eastAsia" w:ascii="宋体" w:hAnsi="宋体" w:cs="宋体"/>
          <w:bCs/>
          <w:szCs w:val="21"/>
          <w:highlight w:val="none"/>
        </w:rPr>
        <w:t>供应商依法缴纳</w:t>
      </w:r>
      <w:r>
        <w:rPr>
          <w:rFonts w:hint="eastAsia" w:ascii="宋体" w:hAnsi="宋体" w:cs="宋体"/>
          <w:b/>
          <w:bCs w:val="0"/>
          <w:szCs w:val="21"/>
          <w:highlight w:val="none"/>
        </w:rPr>
        <w:t>社会保障资金</w:t>
      </w:r>
      <w:r>
        <w:rPr>
          <w:rFonts w:hint="eastAsia" w:ascii="宋体" w:hAnsi="宋体" w:cs="宋体"/>
          <w:bCs/>
          <w:szCs w:val="21"/>
          <w:highlight w:val="none"/>
        </w:rPr>
        <w:t>的证明材料：</w:t>
      </w:r>
      <w:r>
        <w:rPr>
          <w:rFonts w:hint="eastAsia" w:ascii="宋体" w:hAnsi="宋体" w:cs="宋体"/>
          <w:b/>
          <w:bCs w:val="0"/>
          <w:szCs w:val="21"/>
          <w:highlight w:val="none"/>
        </w:rPr>
        <w:t>本项目投标截止时间时间前6个月内（至少提供1个月）缴纳社会保险的凭据</w:t>
      </w:r>
      <w:r>
        <w:rPr>
          <w:rFonts w:hint="eastAsia" w:ascii="宋体" w:hAnsi="宋体" w:cs="宋体"/>
          <w:bCs/>
          <w:szCs w:val="21"/>
          <w:highlight w:val="none"/>
        </w:rPr>
        <w:t>（专用收据或社会保险交纳清单）；</w:t>
      </w:r>
    </w:p>
    <w:p w14:paraId="3586E1C2">
      <w:pPr>
        <w:pStyle w:val="79"/>
        <w:adjustRightInd w:val="0"/>
        <w:snapToGrid w:val="0"/>
        <w:spacing w:line="360" w:lineRule="auto"/>
        <w:ind w:firstLine="420" w:firstLineChars="200"/>
        <w:jc w:val="left"/>
        <w:rPr>
          <w:rFonts w:hint="eastAsia" w:ascii="宋体" w:hAnsi="宋体" w:cs="宋体"/>
          <w:bCs/>
          <w:szCs w:val="21"/>
          <w:highlight w:val="none"/>
        </w:rPr>
      </w:pPr>
      <w:r>
        <w:rPr>
          <w:rFonts w:hint="eastAsia" w:ascii="宋体" w:hAnsi="宋体" w:cs="宋体"/>
          <w:bCs/>
          <w:szCs w:val="21"/>
          <w:highlight w:val="none"/>
        </w:rPr>
        <w:t>供应商为其他组织或自然人的，也需要按此项规定提供缴纳税收的凭据和交纳社会保险的凭据。</w:t>
      </w:r>
    </w:p>
    <w:p w14:paraId="6C1D6951">
      <w:pPr>
        <w:pStyle w:val="79"/>
        <w:adjustRightInd w:val="0"/>
        <w:snapToGrid w:val="0"/>
        <w:spacing w:line="360" w:lineRule="auto"/>
        <w:ind w:firstLine="420" w:firstLineChars="200"/>
        <w:jc w:val="left"/>
        <w:rPr>
          <w:rFonts w:hint="eastAsia" w:ascii="宋体" w:hAnsi="宋体" w:cs="宋体"/>
          <w:bCs/>
          <w:szCs w:val="21"/>
          <w:highlight w:val="none"/>
        </w:rPr>
        <w:sectPr>
          <w:headerReference r:id="rId10" w:type="default"/>
          <w:footerReference r:id="rId11" w:type="default"/>
          <w:pgSz w:w="11906" w:h="16838"/>
          <w:pgMar w:top="1440" w:right="1797" w:bottom="1440" w:left="1797" w:header="851" w:footer="992" w:gutter="0"/>
          <w:pgNumType w:fmt="numberInDash"/>
          <w:cols w:space="720" w:num="1"/>
        </w:sectPr>
      </w:pPr>
      <w:r>
        <w:rPr>
          <w:rFonts w:hint="eastAsia" w:ascii="宋体" w:hAnsi="宋体" w:cs="宋体"/>
          <w:bCs/>
          <w:szCs w:val="21"/>
          <w:highlight w:val="none"/>
        </w:rPr>
        <w:t>依法不需要缴纳社会保障资金的供应商，须提供相应文件证明其依法不需要缴纳社会保障资金。</w:t>
      </w:r>
    </w:p>
    <w:p w14:paraId="116F296F">
      <w:pPr>
        <w:rPr>
          <w:rFonts w:hint="eastAsia" w:cs="宋体"/>
          <w:b/>
          <w:bCs/>
          <w:szCs w:val="24"/>
          <w:highlight w:val="none"/>
        </w:rPr>
      </w:pPr>
      <w:bookmarkStart w:id="641" w:name="_Toc19442"/>
      <w:bookmarkStart w:id="642" w:name="_Toc7342"/>
      <w:r>
        <w:rPr>
          <w:rFonts w:hint="eastAsia" w:cs="宋体"/>
          <w:b/>
          <w:bCs/>
          <w:szCs w:val="24"/>
          <w:highlight w:val="none"/>
        </w:rPr>
        <w:t>（四）</w:t>
      </w:r>
      <w:r>
        <w:rPr>
          <w:rFonts w:hint="eastAsia" w:cs="宋体"/>
          <w:b/>
          <w:bCs/>
          <w:szCs w:val="24"/>
          <w:highlight w:val="none"/>
          <w:lang w:val="en-US" w:eastAsia="zh-CN"/>
        </w:rPr>
        <w:t>供应商</w:t>
      </w:r>
      <w:r>
        <w:rPr>
          <w:rFonts w:hint="eastAsia" w:cs="宋体"/>
          <w:b/>
          <w:bCs/>
          <w:szCs w:val="24"/>
          <w:highlight w:val="none"/>
        </w:rPr>
        <w:t>须具有履行合同所必需的设备和专业技术能力，须附相关证明材料或声明：</w:t>
      </w:r>
      <w:bookmarkEnd w:id="641"/>
      <w:bookmarkEnd w:id="642"/>
    </w:p>
    <w:p w14:paraId="5986F6EA">
      <w:pPr>
        <w:pStyle w:val="79"/>
        <w:autoSpaceDE w:val="0"/>
        <w:autoSpaceDN w:val="0"/>
        <w:adjustRightInd w:val="0"/>
        <w:spacing w:line="440" w:lineRule="exact"/>
        <w:jc w:val="left"/>
        <w:rPr>
          <w:rFonts w:hint="eastAsia" w:ascii="宋体" w:hAnsi="宋体" w:cs="宋体"/>
          <w:kern w:val="0"/>
          <w:sz w:val="24"/>
          <w:szCs w:val="24"/>
          <w:highlight w:val="none"/>
        </w:rPr>
      </w:pPr>
      <w:r>
        <w:rPr>
          <w:rFonts w:hint="eastAsia" w:ascii="宋体" w:hAnsi="宋体" w:cs="宋体"/>
          <w:kern w:val="0"/>
          <w:sz w:val="24"/>
          <w:szCs w:val="24"/>
          <w:highlight w:val="none"/>
        </w:rPr>
        <w:t>格式：</w:t>
      </w:r>
    </w:p>
    <w:p w14:paraId="4A38C300">
      <w:pPr>
        <w:pStyle w:val="79"/>
        <w:autoSpaceDE w:val="0"/>
        <w:autoSpaceDN w:val="0"/>
        <w:adjustRightInd w:val="0"/>
        <w:spacing w:line="440" w:lineRule="exact"/>
        <w:ind w:firstLine="120" w:firstLineChars="50"/>
        <w:jc w:val="left"/>
        <w:rPr>
          <w:rFonts w:hint="eastAsia" w:ascii="宋体" w:hAnsi="宋体" w:cs="宋体"/>
          <w:kern w:val="0"/>
          <w:sz w:val="24"/>
          <w:szCs w:val="24"/>
          <w:highlight w:val="none"/>
        </w:rPr>
      </w:pPr>
      <w:r>
        <w:rPr>
          <w:rFonts w:hint="eastAsia" w:ascii="宋体" w:hAnsi="宋体" w:cs="宋体"/>
          <w:kern w:val="0"/>
          <w:sz w:val="24"/>
          <w:szCs w:val="24"/>
          <w:highlight w:val="none"/>
        </w:rPr>
        <w:t>本供应商郑重声明：</w:t>
      </w:r>
    </w:p>
    <w:p w14:paraId="28AB58E3">
      <w:pPr>
        <w:pStyle w:val="79"/>
        <w:autoSpaceDE w:val="0"/>
        <w:autoSpaceDN w:val="0"/>
        <w:adjustRightInd w:val="0"/>
        <w:spacing w:line="440" w:lineRule="exact"/>
        <w:ind w:firstLine="480" w:firstLineChars="200"/>
        <w:jc w:val="left"/>
        <w:rPr>
          <w:rFonts w:hint="eastAsia" w:ascii="宋体" w:hAnsi="宋体" w:cs="宋体"/>
          <w:kern w:val="0"/>
          <w:sz w:val="24"/>
          <w:szCs w:val="24"/>
          <w:highlight w:val="none"/>
        </w:rPr>
      </w:pPr>
    </w:p>
    <w:p w14:paraId="73F5A200">
      <w:pPr>
        <w:pStyle w:val="79"/>
        <w:autoSpaceDE w:val="0"/>
        <w:autoSpaceDN w:val="0"/>
        <w:adjustRightInd w:val="0"/>
        <w:spacing w:line="440" w:lineRule="exact"/>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本公司（或单位）具备</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项目名称、编号）</w:t>
      </w:r>
      <w:r>
        <w:rPr>
          <w:rFonts w:hint="eastAsia" w:ascii="宋体" w:hAnsi="宋体" w:cs="宋体"/>
          <w:kern w:val="0"/>
          <w:sz w:val="24"/>
          <w:szCs w:val="24"/>
          <w:highlight w:val="none"/>
        </w:rPr>
        <w:t xml:space="preserve">履行合同所必需的设备和专业技术能力，特此承诺。 </w:t>
      </w:r>
    </w:p>
    <w:p w14:paraId="66EC920B">
      <w:pPr>
        <w:pStyle w:val="80"/>
        <w:adjustRightInd w:val="0"/>
        <w:snapToGrid w:val="0"/>
        <w:spacing w:line="500" w:lineRule="exact"/>
        <w:rPr>
          <w:rFonts w:hint="eastAsia" w:ascii="宋体" w:hAnsi="宋体" w:cs="宋体"/>
          <w:sz w:val="24"/>
          <w:szCs w:val="24"/>
          <w:highlight w:val="none"/>
        </w:rPr>
      </w:pPr>
    </w:p>
    <w:p w14:paraId="3CE16FD7">
      <w:pPr>
        <w:pStyle w:val="80"/>
        <w:adjustRightInd w:val="0"/>
        <w:snapToGrid w:val="0"/>
        <w:spacing w:line="500" w:lineRule="exact"/>
        <w:rPr>
          <w:rFonts w:hint="eastAsia" w:ascii="宋体" w:hAnsi="宋体" w:cs="宋体"/>
          <w:sz w:val="24"/>
          <w:szCs w:val="24"/>
          <w:highlight w:val="none"/>
        </w:rPr>
      </w:pPr>
    </w:p>
    <w:p w14:paraId="0050C746">
      <w:pPr>
        <w:pStyle w:val="80"/>
        <w:adjustRightInd w:val="0"/>
        <w:snapToGrid w:val="0"/>
        <w:spacing w:line="500" w:lineRule="exact"/>
        <w:rPr>
          <w:rFonts w:hint="eastAsia" w:ascii="宋体" w:hAnsi="宋体" w:cs="宋体"/>
          <w:sz w:val="24"/>
          <w:szCs w:val="24"/>
          <w:highlight w:val="none"/>
        </w:rPr>
      </w:pPr>
    </w:p>
    <w:p w14:paraId="0D93E707">
      <w:pPr>
        <w:pStyle w:val="80"/>
        <w:adjustRightInd w:val="0"/>
        <w:snapToGrid w:val="0"/>
        <w:spacing w:line="500" w:lineRule="exact"/>
        <w:rPr>
          <w:rFonts w:hint="eastAsia" w:ascii="宋体" w:hAnsi="宋体" w:cs="宋体"/>
          <w:sz w:val="24"/>
          <w:szCs w:val="24"/>
          <w:highlight w:val="none"/>
        </w:rPr>
      </w:pPr>
    </w:p>
    <w:p w14:paraId="678CD1A9">
      <w:pPr>
        <w:pStyle w:val="80"/>
        <w:adjustRightInd w:val="0"/>
        <w:snapToGrid w:val="0"/>
        <w:spacing w:line="500" w:lineRule="exact"/>
        <w:rPr>
          <w:rFonts w:hint="eastAsia" w:ascii="宋体" w:hAnsi="宋体" w:cs="宋体"/>
          <w:sz w:val="24"/>
          <w:szCs w:val="24"/>
          <w:highlight w:val="none"/>
        </w:rPr>
      </w:pPr>
    </w:p>
    <w:p w14:paraId="57B0A635">
      <w:pPr>
        <w:pStyle w:val="80"/>
        <w:adjustRightInd w:val="0"/>
        <w:snapToGrid w:val="0"/>
        <w:spacing w:line="500" w:lineRule="exact"/>
        <w:rPr>
          <w:rFonts w:hint="eastAsia" w:ascii="宋体" w:hAnsi="宋体" w:cs="宋体"/>
          <w:sz w:val="24"/>
          <w:szCs w:val="24"/>
          <w:highlight w:val="none"/>
        </w:rPr>
      </w:pPr>
    </w:p>
    <w:p w14:paraId="43618446">
      <w:pPr>
        <w:pStyle w:val="80"/>
        <w:adjustRightInd w:val="0"/>
        <w:snapToGrid w:val="0"/>
        <w:spacing w:line="500" w:lineRule="exact"/>
        <w:rPr>
          <w:rFonts w:hint="eastAsia" w:ascii="宋体" w:hAnsi="宋体" w:cs="宋体"/>
          <w:sz w:val="24"/>
          <w:szCs w:val="24"/>
          <w:highlight w:val="none"/>
        </w:rPr>
      </w:pPr>
    </w:p>
    <w:p w14:paraId="793B7085">
      <w:pPr>
        <w:pStyle w:val="80"/>
        <w:adjustRightInd w:val="0"/>
        <w:snapToGrid w:val="0"/>
        <w:spacing w:line="500" w:lineRule="exact"/>
        <w:rPr>
          <w:rFonts w:hint="eastAsia" w:ascii="宋体" w:hAnsi="宋体" w:cs="宋体"/>
          <w:sz w:val="24"/>
          <w:szCs w:val="24"/>
          <w:highlight w:val="none"/>
        </w:rPr>
      </w:pPr>
      <w:r>
        <w:rPr>
          <w:rFonts w:hint="eastAsia" w:ascii="宋体" w:hAnsi="宋体" w:cs="宋体"/>
          <w:sz w:val="24"/>
          <w:szCs w:val="24"/>
          <w:highlight w:val="none"/>
        </w:rPr>
        <w:t>法定代表人（单位负责人）或其委托代理人（签字或电子签章）：</w:t>
      </w:r>
      <w:r>
        <w:rPr>
          <w:rFonts w:hint="eastAsia" w:ascii="宋体" w:hAnsi="宋体" w:cs="宋体"/>
          <w:sz w:val="24"/>
          <w:szCs w:val="24"/>
          <w:highlight w:val="none"/>
          <w:u w:val="single"/>
        </w:rPr>
        <w:t xml:space="preserve">                  </w:t>
      </w:r>
    </w:p>
    <w:p w14:paraId="3F6EBE0A">
      <w:pPr>
        <w:pStyle w:val="80"/>
        <w:adjustRightInd w:val="0"/>
        <w:snapToGrid w:val="0"/>
        <w:spacing w:line="500" w:lineRule="exact"/>
        <w:rPr>
          <w:rFonts w:hint="eastAsia" w:ascii="宋体" w:hAnsi="宋体" w:cs="宋体"/>
          <w:sz w:val="24"/>
          <w:szCs w:val="24"/>
          <w:highlight w:val="none"/>
          <w:u w:val="single"/>
        </w:rPr>
      </w:pPr>
      <w:r>
        <w:rPr>
          <w:rFonts w:hint="eastAsia" w:ascii="宋体" w:hAnsi="宋体" w:cs="宋体"/>
          <w:sz w:val="24"/>
          <w:szCs w:val="24"/>
          <w:highlight w:val="none"/>
        </w:rPr>
        <w:t>供应商名称（签章）：</w:t>
      </w:r>
      <w:r>
        <w:rPr>
          <w:rFonts w:hint="eastAsia" w:ascii="宋体" w:hAnsi="宋体" w:cs="宋体"/>
          <w:sz w:val="24"/>
          <w:szCs w:val="24"/>
          <w:highlight w:val="none"/>
          <w:u w:val="single"/>
        </w:rPr>
        <w:t xml:space="preserve">                       </w:t>
      </w:r>
    </w:p>
    <w:p w14:paraId="61162CD1">
      <w:pPr>
        <w:pStyle w:val="80"/>
        <w:spacing w:line="500" w:lineRule="exact"/>
        <w:rPr>
          <w:rFonts w:hint="eastAsia" w:ascii="宋体" w:hAnsi="宋体" w:cs="宋体"/>
          <w:highlight w:val="none"/>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日</w:t>
      </w:r>
    </w:p>
    <w:p w14:paraId="13337DB8">
      <w:pPr>
        <w:pStyle w:val="79"/>
        <w:adjustRightInd w:val="0"/>
        <w:snapToGrid w:val="0"/>
        <w:spacing w:line="360" w:lineRule="auto"/>
        <w:jc w:val="left"/>
        <w:rPr>
          <w:rFonts w:hint="eastAsia" w:ascii="宋体" w:hAnsi="宋体" w:cs="宋体"/>
          <w:b/>
          <w:sz w:val="24"/>
          <w:szCs w:val="24"/>
          <w:highlight w:val="none"/>
        </w:rPr>
      </w:pPr>
    </w:p>
    <w:p w14:paraId="28B5D325">
      <w:pPr>
        <w:pStyle w:val="81"/>
        <w:outlineLvl w:val="2"/>
        <w:rPr>
          <w:rFonts w:hint="eastAsia" w:ascii="宋体" w:hAnsi="宋体" w:eastAsia="宋体" w:cs="宋体"/>
          <w:highlight w:val="none"/>
        </w:rPr>
        <w:sectPr>
          <w:pgSz w:w="11906" w:h="16838"/>
          <w:pgMar w:top="1440" w:right="1797" w:bottom="1440" w:left="1797" w:header="851" w:footer="992" w:gutter="0"/>
          <w:pgNumType w:fmt="numberInDash"/>
          <w:cols w:space="720" w:num="1"/>
        </w:sectPr>
      </w:pPr>
    </w:p>
    <w:p w14:paraId="639AF239">
      <w:pPr>
        <w:rPr>
          <w:rFonts w:hint="eastAsia" w:cs="宋体"/>
          <w:b/>
          <w:bCs/>
          <w:szCs w:val="24"/>
          <w:highlight w:val="none"/>
        </w:rPr>
      </w:pPr>
      <w:bookmarkStart w:id="643" w:name="_Toc16347"/>
      <w:bookmarkStart w:id="644" w:name="_Toc21544"/>
      <w:r>
        <w:rPr>
          <w:rFonts w:hint="eastAsia" w:cs="宋体"/>
          <w:b/>
          <w:bCs/>
          <w:szCs w:val="24"/>
          <w:highlight w:val="none"/>
        </w:rPr>
        <w:t>（五）参加政府采购活动前三年内，在经营活动中没有重大违法记录的书面声明：</w:t>
      </w:r>
      <w:bookmarkEnd w:id="643"/>
      <w:bookmarkEnd w:id="644"/>
    </w:p>
    <w:p w14:paraId="342F1C5F">
      <w:pPr>
        <w:pStyle w:val="79"/>
        <w:adjustRightInd w:val="0"/>
        <w:snapToGrid w:val="0"/>
        <w:spacing w:line="360" w:lineRule="auto"/>
        <w:rPr>
          <w:rFonts w:hint="eastAsia" w:ascii="宋体" w:hAnsi="宋体" w:cs="宋体"/>
          <w:sz w:val="24"/>
          <w:szCs w:val="24"/>
          <w:highlight w:val="none"/>
        </w:rPr>
      </w:pPr>
      <w:r>
        <w:rPr>
          <w:rFonts w:hint="eastAsia" w:ascii="宋体" w:hAnsi="宋体" w:cs="宋体"/>
          <w:sz w:val="24"/>
          <w:szCs w:val="24"/>
          <w:highlight w:val="none"/>
        </w:rPr>
        <w:t>格式：</w:t>
      </w:r>
    </w:p>
    <w:p w14:paraId="244FE43C">
      <w:pPr>
        <w:pStyle w:val="82"/>
        <w:adjustRightInd w:val="0"/>
        <w:snapToGrid w:val="0"/>
        <w:spacing w:line="360" w:lineRule="auto"/>
        <w:ind w:firstLine="480" w:firstLineChars="200"/>
        <w:jc w:val="center"/>
        <w:rPr>
          <w:rFonts w:hint="eastAsia" w:ascii="宋体" w:hAnsi="宋体" w:cs="宋体"/>
          <w:sz w:val="24"/>
          <w:highlight w:val="none"/>
        </w:rPr>
      </w:pPr>
      <w:r>
        <w:rPr>
          <w:rFonts w:hint="eastAsia" w:ascii="宋体" w:hAnsi="宋体" w:cs="宋体"/>
          <w:sz w:val="24"/>
          <w:highlight w:val="none"/>
        </w:rPr>
        <w:t>无重大违法记录声明书</w:t>
      </w:r>
    </w:p>
    <w:p w14:paraId="0D3D04F7">
      <w:pPr>
        <w:pStyle w:val="79"/>
        <w:adjustRightInd w:val="0"/>
        <w:snapToGrid w:val="0"/>
        <w:spacing w:line="360" w:lineRule="auto"/>
        <w:rPr>
          <w:rFonts w:hint="eastAsia" w:ascii="宋体" w:hAnsi="宋体" w:cs="宋体"/>
          <w:sz w:val="24"/>
          <w:szCs w:val="24"/>
          <w:highlight w:val="none"/>
        </w:rPr>
      </w:pPr>
    </w:p>
    <w:p w14:paraId="7EAA258E">
      <w:pPr>
        <w:pStyle w:val="79"/>
        <w:adjustRightInd w:val="0"/>
        <w:snapToGrid w:val="0"/>
        <w:spacing w:line="360" w:lineRule="auto"/>
        <w:rPr>
          <w:rFonts w:hint="eastAsia" w:ascii="宋体" w:hAnsi="宋体" w:cs="宋体"/>
          <w:sz w:val="24"/>
          <w:szCs w:val="24"/>
          <w:highlight w:val="none"/>
        </w:rPr>
      </w:pPr>
      <w:r>
        <w:rPr>
          <w:rFonts w:hint="eastAsia" w:ascii="宋体" w:hAnsi="宋体" w:cs="宋体"/>
          <w:sz w:val="24"/>
          <w:szCs w:val="24"/>
          <w:highlight w:val="none"/>
          <w:u w:val="single"/>
        </w:rPr>
        <w:t xml:space="preserve">（采购人）         </w:t>
      </w:r>
      <w:r>
        <w:rPr>
          <w:rFonts w:hint="eastAsia" w:ascii="宋体" w:hAnsi="宋体" w:cs="宋体"/>
          <w:sz w:val="24"/>
          <w:szCs w:val="24"/>
          <w:highlight w:val="none"/>
        </w:rPr>
        <w:t>：</w:t>
      </w:r>
    </w:p>
    <w:p w14:paraId="2630DF76">
      <w:pPr>
        <w:pStyle w:val="79"/>
        <w:adjustRightInd w:val="0"/>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我公司参与</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项目名称、编号）</w:t>
      </w:r>
      <w:r>
        <w:rPr>
          <w:rFonts w:hint="eastAsia" w:ascii="宋体" w:hAnsi="宋体" w:cs="宋体"/>
          <w:sz w:val="24"/>
          <w:szCs w:val="24"/>
          <w:highlight w:val="none"/>
          <w:lang w:val="en-US" w:eastAsia="zh-CN"/>
        </w:rPr>
        <w:t>磋商</w:t>
      </w:r>
      <w:r>
        <w:rPr>
          <w:rFonts w:hint="eastAsia" w:ascii="宋体" w:hAnsi="宋体" w:cs="宋体"/>
          <w:sz w:val="24"/>
          <w:szCs w:val="24"/>
          <w:highlight w:val="none"/>
        </w:rPr>
        <w:t>，本公司郑重声明，我方参加本项目政府采购活动前三年内无重大违法记录，符合《政府采购法》规定的供应商条件。若贵方在本项目采购过程中发现我方政府采购活动前三年内有重大违法记录，我公司将无条件退出本项目的</w:t>
      </w:r>
      <w:r>
        <w:rPr>
          <w:rFonts w:hint="eastAsia" w:ascii="宋体" w:hAnsi="宋体" w:cs="宋体"/>
          <w:sz w:val="24"/>
          <w:szCs w:val="24"/>
          <w:highlight w:val="none"/>
          <w:lang w:val="en-US" w:eastAsia="zh-CN"/>
        </w:rPr>
        <w:t>磋商</w:t>
      </w:r>
      <w:r>
        <w:rPr>
          <w:rFonts w:hint="eastAsia" w:ascii="宋体" w:hAnsi="宋体" w:cs="宋体"/>
          <w:sz w:val="24"/>
          <w:szCs w:val="24"/>
          <w:highlight w:val="none"/>
        </w:rPr>
        <w:t>，并承担因此引起的一切后果。我方对此声明负全部法律责任。</w:t>
      </w:r>
    </w:p>
    <w:p w14:paraId="0C1C4997">
      <w:pPr>
        <w:pStyle w:val="79"/>
        <w:adjustRightInd w:val="0"/>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特此声明  </w:t>
      </w:r>
    </w:p>
    <w:p w14:paraId="0839CD35">
      <w:pPr>
        <w:pStyle w:val="80"/>
        <w:adjustRightInd w:val="0"/>
        <w:snapToGrid w:val="0"/>
        <w:spacing w:line="500" w:lineRule="exact"/>
        <w:rPr>
          <w:rFonts w:hint="eastAsia" w:ascii="宋体" w:hAnsi="宋体" w:cs="宋体"/>
          <w:sz w:val="24"/>
          <w:szCs w:val="24"/>
          <w:highlight w:val="none"/>
        </w:rPr>
      </w:pPr>
      <w:r>
        <w:rPr>
          <w:rFonts w:hint="eastAsia" w:ascii="宋体" w:hAnsi="宋体" w:cs="宋体"/>
          <w:sz w:val="24"/>
          <w:szCs w:val="24"/>
          <w:highlight w:val="none"/>
        </w:rPr>
        <w:t>法定代表人（单位负责人）或其委托代理人（签字或电子签章）：</w:t>
      </w:r>
      <w:r>
        <w:rPr>
          <w:rFonts w:hint="eastAsia" w:ascii="宋体" w:hAnsi="宋体" w:cs="宋体"/>
          <w:sz w:val="24"/>
          <w:szCs w:val="24"/>
          <w:highlight w:val="none"/>
          <w:u w:val="single"/>
        </w:rPr>
        <w:t xml:space="preserve">                  </w:t>
      </w:r>
    </w:p>
    <w:p w14:paraId="161C8654">
      <w:pPr>
        <w:pStyle w:val="80"/>
        <w:adjustRightInd w:val="0"/>
        <w:snapToGrid w:val="0"/>
        <w:spacing w:line="500" w:lineRule="exact"/>
        <w:rPr>
          <w:rFonts w:hint="eastAsia" w:ascii="宋体" w:hAnsi="宋体" w:cs="宋体"/>
          <w:sz w:val="24"/>
          <w:szCs w:val="24"/>
          <w:highlight w:val="none"/>
          <w:u w:val="single"/>
        </w:rPr>
      </w:pPr>
      <w:r>
        <w:rPr>
          <w:rFonts w:hint="eastAsia" w:ascii="宋体" w:hAnsi="宋体" w:cs="宋体"/>
          <w:sz w:val="24"/>
          <w:szCs w:val="24"/>
          <w:highlight w:val="none"/>
        </w:rPr>
        <w:t>投标人名称（签章）：</w:t>
      </w:r>
      <w:r>
        <w:rPr>
          <w:rFonts w:hint="eastAsia" w:ascii="宋体" w:hAnsi="宋体" w:cs="宋体"/>
          <w:sz w:val="24"/>
          <w:szCs w:val="24"/>
          <w:highlight w:val="none"/>
          <w:u w:val="single"/>
        </w:rPr>
        <w:t xml:space="preserve">                       </w:t>
      </w:r>
    </w:p>
    <w:p w14:paraId="4D86F833">
      <w:pPr>
        <w:pStyle w:val="80"/>
        <w:spacing w:line="500" w:lineRule="exact"/>
        <w:rPr>
          <w:rFonts w:hint="eastAsia" w:ascii="宋体" w:hAnsi="宋体" w:cs="宋体"/>
          <w:highlight w:val="none"/>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日</w:t>
      </w:r>
    </w:p>
    <w:p w14:paraId="230084A6">
      <w:pPr>
        <w:pStyle w:val="79"/>
        <w:adjustRightInd w:val="0"/>
        <w:snapToGrid w:val="0"/>
        <w:spacing w:line="360" w:lineRule="auto"/>
        <w:jc w:val="left"/>
        <w:rPr>
          <w:rFonts w:hint="eastAsia" w:ascii="宋体" w:hAnsi="宋体" w:cs="宋体"/>
          <w:sz w:val="24"/>
          <w:szCs w:val="24"/>
          <w:highlight w:val="none"/>
        </w:rPr>
      </w:pPr>
    </w:p>
    <w:p w14:paraId="4DC100AB">
      <w:pPr>
        <w:pStyle w:val="79"/>
        <w:adjustRightInd w:val="0"/>
        <w:snapToGrid w:val="0"/>
        <w:spacing w:line="360" w:lineRule="auto"/>
        <w:jc w:val="left"/>
        <w:rPr>
          <w:rFonts w:hint="eastAsia" w:ascii="宋体" w:hAnsi="宋体" w:cs="宋体"/>
          <w:b/>
          <w:kern w:val="0"/>
          <w:sz w:val="32"/>
          <w:szCs w:val="24"/>
          <w:highlight w:val="none"/>
        </w:rPr>
        <w:sectPr>
          <w:pgSz w:w="11906" w:h="16838"/>
          <w:pgMar w:top="1440" w:right="1797" w:bottom="1440" w:left="1797" w:header="851" w:footer="992" w:gutter="0"/>
          <w:pgNumType w:fmt="numberInDash"/>
          <w:cols w:space="720" w:num="1"/>
        </w:sectPr>
      </w:pPr>
    </w:p>
    <w:p w14:paraId="3A9E75AA">
      <w:pPr>
        <w:rPr>
          <w:rFonts w:hint="eastAsia" w:cs="宋体"/>
          <w:b/>
          <w:bCs/>
          <w:szCs w:val="24"/>
          <w:highlight w:val="none"/>
        </w:rPr>
      </w:pPr>
      <w:bookmarkStart w:id="645" w:name="_Toc32053"/>
      <w:bookmarkStart w:id="646" w:name="_Toc31574"/>
      <w:r>
        <w:rPr>
          <w:rFonts w:hint="eastAsia" w:cs="宋体"/>
          <w:b/>
          <w:bCs/>
          <w:szCs w:val="24"/>
          <w:highlight w:val="none"/>
        </w:rPr>
        <w:t>（六）</w:t>
      </w:r>
      <w:r>
        <w:rPr>
          <w:rFonts w:hint="eastAsia" w:cs="宋体"/>
          <w:b/>
          <w:bCs/>
          <w:szCs w:val="24"/>
          <w:highlight w:val="none"/>
          <w:lang w:val="en-US" w:eastAsia="zh-CN"/>
        </w:rPr>
        <w:t>供应商</w:t>
      </w:r>
      <w:r>
        <w:rPr>
          <w:rFonts w:hint="eastAsia" w:cs="宋体"/>
          <w:b/>
          <w:bCs/>
          <w:szCs w:val="24"/>
          <w:highlight w:val="none"/>
        </w:rPr>
        <w:t>未列入失信被执行人、重大税收违法案件当事人名单、政府采购严重违法失信行为记录名单</w:t>
      </w:r>
      <w:bookmarkEnd w:id="645"/>
      <w:bookmarkEnd w:id="646"/>
    </w:p>
    <w:p w14:paraId="4334B58D">
      <w:pPr>
        <w:pStyle w:val="83"/>
        <w:spacing w:line="360" w:lineRule="auto"/>
        <w:ind w:firstLine="504" w:firstLineChars="200"/>
        <w:jc w:val="left"/>
        <w:rPr>
          <w:rFonts w:hint="eastAsia" w:ascii="宋体" w:hAnsi="宋体" w:cs="宋体"/>
          <w:spacing w:val="6"/>
          <w:kern w:val="0"/>
          <w:sz w:val="24"/>
          <w:szCs w:val="24"/>
          <w:highlight w:val="none"/>
        </w:rPr>
      </w:pPr>
    </w:p>
    <w:p w14:paraId="7DBAEABB">
      <w:pPr>
        <w:pStyle w:val="83"/>
        <w:spacing w:line="360" w:lineRule="auto"/>
        <w:ind w:firstLine="504" w:firstLineChars="200"/>
        <w:jc w:val="left"/>
        <w:rPr>
          <w:rFonts w:hint="eastAsia" w:ascii="宋体" w:hAnsi="宋体" w:cs="宋体"/>
          <w:spacing w:val="6"/>
          <w:kern w:val="0"/>
          <w:sz w:val="24"/>
          <w:szCs w:val="24"/>
          <w:highlight w:val="none"/>
        </w:rPr>
      </w:pPr>
      <w:r>
        <w:rPr>
          <w:rFonts w:hint="eastAsia" w:ascii="宋体" w:hAnsi="宋体" w:cs="宋体"/>
          <w:spacing w:val="6"/>
          <w:kern w:val="0"/>
          <w:sz w:val="24"/>
          <w:szCs w:val="24"/>
          <w:highlight w:val="none"/>
        </w:rPr>
        <w:t>“信用中国”网站查询信息：</w:t>
      </w:r>
    </w:p>
    <w:p w14:paraId="3E63A811">
      <w:pPr>
        <w:pStyle w:val="83"/>
        <w:spacing w:line="360" w:lineRule="auto"/>
        <w:ind w:firstLine="504" w:firstLineChars="200"/>
        <w:jc w:val="left"/>
        <w:rPr>
          <w:rFonts w:hint="eastAsia" w:ascii="宋体" w:hAnsi="宋体" w:cs="宋体"/>
          <w:spacing w:val="6"/>
          <w:kern w:val="0"/>
          <w:sz w:val="24"/>
          <w:szCs w:val="24"/>
          <w:highlight w:val="none"/>
        </w:rPr>
      </w:pPr>
      <w:r>
        <w:rPr>
          <w:rFonts w:hint="eastAsia" w:ascii="宋体" w:hAnsi="宋体" w:cs="宋体"/>
          <w:spacing w:val="6"/>
          <w:kern w:val="0"/>
          <w:sz w:val="24"/>
          <w:szCs w:val="24"/>
          <w:highlight w:val="none"/>
        </w:rPr>
        <w:t xml:space="preserve">①未被列入失信被执行人； </w:t>
      </w:r>
    </w:p>
    <w:p w14:paraId="364F8BBA">
      <w:pPr>
        <w:pStyle w:val="83"/>
        <w:spacing w:line="360" w:lineRule="auto"/>
        <w:ind w:firstLine="504" w:firstLineChars="200"/>
        <w:jc w:val="left"/>
        <w:rPr>
          <w:rFonts w:hint="eastAsia" w:ascii="宋体" w:hAnsi="宋体" w:cs="宋体"/>
          <w:spacing w:val="6"/>
          <w:kern w:val="0"/>
          <w:sz w:val="24"/>
          <w:szCs w:val="24"/>
          <w:highlight w:val="none"/>
        </w:rPr>
      </w:pPr>
      <w:r>
        <w:rPr>
          <w:rFonts w:hint="eastAsia" w:ascii="宋体" w:hAnsi="宋体" w:cs="宋体"/>
          <w:spacing w:val="6"/>
          <w:kern w:val="0"/>
          <w:sz w:val="24"/>
          <w:szCs w:val="24"/>
          <w:highlight w:val="none"/>
        </w:rPr>
        <w:t>②不是重大税收违法案件当事人名单的</w:t>
      </w:r>
      <w:r>
        <w:rPr>
          <w:rFonts w:hint="eastAsia" w:ascii="宋体" w:hAnsi="宋体" w:cs="宋体"/>
          <w:spacing w:val="6"/>
          <w:kern w:val="0"/>
          <w:sz w:val="24"/>
          <w:szCs w:val="24"/>
          <w:highlight w:val="none"/>
          <w:lang w:val="en-US" w:eastAsia="zh-CN"/>
        </w:rPr>
        <w:t>供应商</w:t>
      </w:r>
      <w:r>
        <w:rPr>
          <w:rFonts w:hint="eastAsia" w:ascii="宋体" w:hAnsi="宋体" w:cs="宋体"/>
          <w:spacing w:val="6"/>
          <w:kern w:val="0"/>
          <w:sz w:val="24"/>
          <w:szCs w:val="24"/>
          <w:highlight w:val="none"/>
        </w:rPr>
        <w:t xml:space="preserve">； </w:t>
      </w:r>
    </w:p>
    <w:p w14:paraId="756BBDA6">
      <w:pPr>
        <w:pStyle w:val="83"/>
        <w:spacing w:line="360" w:lineRule="auto"/>
        <w:ind w:firstLine="504" w:firstLineChars="200"/>
        <w:jc w:val="left"/>
        <w:rPr>
          <w:rFonts w:hint="eastAsia" w:ascii="宋体" w:hAnsi="宋体" w:cs="宋体"/>
          <w:spacing w:val="6"/>
          <w:kern w:val="0"/>
          <w:sz w:val="24"/>
          <w:szCs w:val="24"/>
          <w:highlight w:val="none"/>
        </w:rPr>
      </w:pPr>
    </w:p>
    <w:p w14:paraId="6299787C">
      <w:pPr>
        <w:pStyle w:val="83"/>
        <w:spacing w:line="360" w:lineRule="auto"/>
        <w:ind w:firstLine="504" w:firstLineChars="200"/>
        <w:jc w:val="left"/>
        <w:rPr>
          <w:rFonts w:hint="eastAsia" w:ascii="宋体" w:hAnsi="宋体" w:cs="宋体"/>
          <w:spacing w:val="6"/>
          <w:kern w:val="0"/>
          <w:sz w:val="24"/>
          <w:szCs w:val="24"/>
          <w:highlight w:val="none"/>
        </w:rPr>
      </w:pPr>
    </w:p>
    <w:p w14:paraId="23429959">
      <w:pPr>
        <w:pStyle w:val="83"/>
        <w:spacing w:line="360" w:lineRule="auto"/>
        <w:ind w:firstLine="504" w:firstLineChars="200"/>
        <w:jc w:val="left"/>
        <w:rPr>
          <w:rFonts w:hint="eastAsia" w:ascii="宋体" w:hAnsi="宋体" w:cs="宋体"/>
          <w:spacing w:val="6"/>
          <w:kern w:val="0"/>
          <w:sz w:val="24"/>
          <w:szCs w:val="24"/>
          <w:highlight w:val="none"/>
        </w:rPr>
      </w:pPr>
    </w:p>
    <w:p w14:paraId="6014EFCB">
      <w:pPr>
        <w:pStyle w:val="83"/>
        <w:spacing w:line="360" w:lineRule="auto"/>
        <w:ind w:firstLine="504" w:firstLineChars="200"/>
        <w:jc w:val="left"/>
        <w:rPr>
          <w:rFonts w:hint="eastAsia" w:ascii="宋体" w:hAnsi="宋体" w:cs="宋体"/>
          <w:spacing w:val="6"/>
          <w:kern w:val="0"/>
          <w:sz w:val="24"/>
          <w:szCs w:val="24"/>
          <w:highlight w:val="none"/>
        </w:rPr>
      </w:pPr>
      <w:r>
        <w:rPr>
          <w:rFonts w:hint="eastAsia" w:ascii="宋体" w:hAnsi="宋体" w:cs="宋体"/>
          <w:spacing w:val="6"/>
          <w:kern w:val="0"/>
          <w:sz w:val="24"/>
          <w:szCs w:val="24"/>
          <w:highlight w:val="none"/>
        </w:rPr>
        <w:t xml:space="preserve"> </w:t>
      </w:r>
    </w:p>
    <w:p w14:paraId="62BFFB9A">
      <w:pPr>
        <w:pStyle w:val="83"/>
        <w:spacing w:line="360" w:lineRule="auto"/>
        <w:ind w:firstLine="504" w:firstLineChars="200"/>
        <w:jc w:val="left"/>
        <w:rPr>
          <w:rFonts w:hint="eastAsia" w:ascii="宋体" w:hAnsi="宋体" w:cs="宋体"/>
          <w:spacing w:val="6"/>
          <w:kern w:val="0"/>
          <w:sz w:val="24"/>
          <w:szCs w:val="24"/>
          <w:highlight w:val="none"/>
        </w:rPr>
      </w:pPr>
      <w:r>
        <w:rPr>
          <w:rFonts w:hint="eastAsia" w:ascii="宋体" w:hAnsi="宋体" w:cs="宋体"/>
          <w:spacing w:val="6"/>
          <w:kern w:val="0"/>
          <w:sz w:val="24"/>
          <w:szCs w:val="24"/>
          <w:highlight w:val="none"/>
        </w:rPr>
        <w:t>“中国政府采购网”查询信息：</w:t>
      </w:r>
    </w:p>
    <w:p w14:paraId="1D1D3273">
      <w:pPr>
        <w:ind w:firstLine="480" w:firstLineChars="200"/>
        <w:rPr>
          <w:rFonts w:hint="eastAsia" w:cs="宋体"/>
          <w:szCs w:val="24"/>
          <w:highlight w:val="none"/>
        </w:rPr>
      </w:pPr>
      <w:r>
        <w:rPr>
          <w:rFonts w:hint="eastAsia" w:cs="宋体"/>
          <w:szCs w:val="24"/>
          <w:highlight w:val="none"/>
        </w:rPr>
        <w:t>①政府采购严重违法失信行为信息记录：</w:t>
      </w:r>
    </w:p>
    <w:p w14:paraId="33834AA7">
      <w:pPr>
        <w:rPr>
          <w:rFonts w:hint="eastAsia" w:cs="宋体"/>
          <w:szCs w:val="24"/>
          <w:highlight w:val="none"/>
        </w:rPr>
      </w:pPr>
      <w:r>
        <w:rPr>
          <w:rFonts w:hint="eastAsia" w:cs="宋体"/>
          <w:szCs w:val="24"/>
          <w:highlight w:val="none"/>
        </w:rPr>
        <w:br w:type="page"/>
      </w:r>
    </w:p>
    <w:p w14:paraId="757E3A65">
      <w:pPr>
        <w:ind w:left="420"/>
        <w:rPr>
          <w:rFonts w:hint="eastAsia" w:cs="宋体"/>
          <w:b/>
          <w:bCs/>
          <w:szCs w:val="24"/>
          <w:highlight w:val="none"/>
        </w:rPr>
      </w:pPr>
      <w:r>
        <w:rPr>
          <w:rFonts w:hint="eastAsia" w:cs="宋体"/>
          <w:b/>
          <w:bCs/>
          <w:szCs w:val="24"/>
          <w:highlight w:val="none"/>
        </w:rPr>
        <w:t>（七）法律、行政法规规定的其他条件</w:t>
      </w:r>
    </w:p>
    <w:p w14:paraId="5B873911">
      <w:pPr>
        <w:rPr>
          <w:rFonts w:ascii="Arial" w:hAnsi="Arial" w:cs="Arial"/>
          <w:szCs w:val="21"/>
          <w:highlight w:val="none"/>
        </w:rPr>
      </w:pPr>
    </w:p>
    <w:p w14:paraId="3F899E5C">
      <w:pPr>
        <w:jc w:val="center"/>
        <w:rPr>
          <w:rFonts w:ascii="Arial" w:hAnsi="Arial" w:cs="Arial"/>
          <w:szCs w:val="21"/>
          <w:highlight w:val="none"/>
        </w:rPr>
      </w:pPr>
      <w:r>
        <w:rPr>
          <w:rFonts w:hint="eastAsia" w:ascii="Arial" w:hAnsi="Arial" w:cs="Arial"/>
          <w:szCs w:val="21"/>
          <w:highlight w:val="none"/>
        </w:rPr>
        <w:t>供应商可自行做出承诺，格式自拟。</w:t>
      </w:r>
    </w:p>
    <w:p w14:paraId="5B53B954">
      <w:pPr>
        <w:rPr>
          <w:rFonts w:ascii="Arial" w:hAnsi="Arial" w:cs="Arial"/>
          <w:i w:val="0"/>
          <w:iCs w:val="0"/>
          <w:color w:val="auto"/>
          <w:szCs w:val="21"/>
          <w:highlight w:val="none"/>
        </w:rPr>
      </w:pPr>
      <w:bookmarkStart w:id="647" w:name="_Toc1571"/>
      <w:r>
        <w:rPr>
          <w:rFonts w:hint="eastAsia"/>
          <w:highlight w:val="none"/>
        </w:rPr>
        <w:br w:type="page"/>
      </w:r>
      <w:bookmarkEnd w:id="647"/>
    </w:p>
    <w:p w14:paraId="180C6C28">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28"/>
          <w:szCs w:val="28"/>
          <w:highlight w:val="none"/>
          <w:lang w:val="zh-CN" w:eastAsia="zh-CN" w:bidi="ar-SA"/>
        </w:rPr>
      </w:pPr>
      <w:r>
        <w:rPr>
          <w:rFonts w:hint="eastAsia" w:cs="宋体"/>
          <w:b/>
          <w:bCs/>
          <w:i w:val="0"/>
          <w:iCs w:val="0"/>
          <w:color w:val="auto"/>
          <w:kern w:val="2"/>
          <w:sz w:val="28"/>
          <w:szCs w:val="28"/>
          <w:highlight w:val="none"/>
          <w:lang w:val="en-US" w:eastAsia="zh-CN" w:bidi="ar-SA"/>
        </w:rPr>
        <w:t>二</w:t>
      </w:r>
      <w:r>
        <w:rPr>
          <w:rFonts w:hint="eastAsia" w:ascii="等线 Light" w:hAnsi="等线 Light" w:eastAsia="宋体" w:cs="宋体"/>
          <w:b/>
          <w:bCs/>
          <w:i w:val="0"/>
          <w:iCs w:val="0"/>
          <w:color w:val="auto"/>
          <w:kern w:val="2"/>
          <w:sz w:val="28"/>
          <w:szCs w:val="28"/>
          <w:highlight w:val="none"/>
          <w:lang w:val="en-US" w:eastAsia="zh-CN" w:bidi="ar-SA"/>
        </w:rPr>
        <w:t>、</w:t>
      </w:r>
      <w:bookmarkEnd w:id="632"/>
      <w:bookmarkEnd w:id="633"/>
      <w:bookmarkEnd w:id="634"/>
      <w:bookmarkEnd w:id="635"/>
      <w:bookmarkEnd w:id="636"/>
      <w:bookmarkEnd w:id="637"/>
      <w:bookmarkStart w:id="648" w:name="_Toc155185931"/>
      <w:bookmarkStart w:id="649" w:name="_Toc163492924"/>
      <w:r>
        <w:rPr>
          <w:rFonts w:hint="eastAsia" w:ascii="等线 Light" w:hAnsi="等线 Light" w:eastAsia="宋体" w:cs="宋体"/>
          <w:b/>
          <w:bCs/>
          <w:i w:val="0"/>
          <w:iCs w:val="0"/>
          <w:color w:val="auto"/>
          <w:kern w:val="2"/>
          <w:sz w:val="28"/>
          <w:szCs w:val="28"/>
          <w:highlight w:val="none"/>
          <w:lang w:val="zh-CN" w:eastAsia="zh-CN" w:bidi="ar-SA"/>
        </w:rPr>
        <w:t>联合体协议书</w:t>
      </w:r>
      <w:bookmarkEnd w:id="648"/>
      <w:r>
        <w:rPr>
          <w:rFonts w:hint="eastAsia" w:ascii="宋体" w:hAnsi="宋体" w:eastAsia="宋体" w:cs="宋体"/>
          <w:b w:val="0"/>
          <w:bCs w:val="0"/>
          <w:i w:val="0"/>
          <w:iCs w:val="0"/>
          <w:color w:val="auto"/>
          <w:kern w:val="2"/>
          <w:sz w:val="28"/>
          <w:szCs w:val="28"/>
          <w:highlight w:val="none"/>
          <w:lang w:val="zh-CN" w:eastAsia="zh-CN" w:bidi="ar-SA"/>
        </w:rPr>
        <w:t>【如适用】</w:t>
      </w:r>
      <w:bookmarkEnd w:id="638"/>
      <w:bookmarkEnd w:id="649"/>
    </w:p>
    <w:p w14:paraId="56BA9A46">
      <w:pPr>
        <w:snapToGrid w:val="0"/>
        <w:spacing w:line="360" w:lineRule="auto"/>
        <w:jc w:val="center"/>
        <w:outlineLvl w:val="0"/>
        <w:rPr>
          <w:rFonts w:hint="eastAsia" w:ascii="宋体" w:hAnsi="宋体" w:cs="宋体"/>
          <w:b/>
          <w:i w:val="0"/>
          <w:iCs w:val="0"/>
          <w:color w:val="auto"/>
          <w:kern w:val="0"/>
          <w:sz w:val="32"/>
          <w:szCs w:val="32"/>
          <w:highlight w:val="none"/>
        </w:rPr>
      </w:pPr>
    </w:p>
    <w:p w14:paraId="278B984D">
      <w:pPr>
        <w:snapToGrid w:val="0"/>
        <w:spacing w:line="360" w:lineRule="auto"/>
        <w:jc w:val="center"/>
        <w:outlineLvl w:val="0"/>
        <w:rPr>
          <w:rFonts w:hint="eastAsia" w:ascii="宋体" w:hAnsi="宋体" w:cs="宋体"/>
          <w:b/>
          <w:i w:val="0"/>
          <w:iCs w:val="0"/>
          <w:color w:val="auto"/>
          <w:kern w:val="0"/>
          <w:sz w:val="32"/>
          <w:szCs w:val="32"/>
          <w:highlight w:val="none"/>
        </w:rPr>
      </w:pPr>
      <w:bookmarkStart w:id="650" w:name="_Toc3468"/>
      <w:bookmarkStart w:id="651" w:name="_Toc29289"/>
      <w:r>
        <w:rPr>
          <w:rFonts w:hint="eastAsia" w:ascii="宋体" w:hAnsi="宋体" w:cs="宋体"/>
          <w:b/>
          <w:i w:val="0"/>
          <w:iCs w:val="0"/>
          <w:color w:val="auto"/>
          <w:kern w:val="0"/>
          <w:sz w:val="32"/>
          <w:szCs w:val="32"/>
          <w:highlight w:val="none"/>
        </w:rPr>
        <w:t>联合体协议书</w:t>
      </w:r>
      <w:bookmarkEnd w:id="650"/>
      <w:bookmarkEnd w:id="651"/>
    </w:p>
    <w:p w14:paraId="45A7D026">
      <w:pPr>
        <w:widowControl/>
        <w:spacing w:line="360" w:lineRule="auto"/>
        <w:ind w:firstLine="482" w:firstLineChars="200"/>
        <w:jc w:val="left"/>
        <w:rPr>
          <w:rFonts w:ascii="宋体" w:hAnsi="宋体" w:cs="宋体"/>
          <w:b/>
          <w:i w:val="0"/>
          <w:iCs w:val="0"/>
          <w:color w:val="auto"/>
          <w:sz w:val="24"/>
          <w:highlight w:val="none"/>
        </w:rPr>
      </w:pPr>
      <w:r>
        <w:rPr>
          <w:rFonts w:hint="eastAsia" w:ascii="宋体" w:hAnsi="宋体" w:cs="宋体"/>
          <w:b/>
          <w:i w:val="0"/>
          <w:iCs w:val="0"/>
          <w:color w:val="auto"/>
          <w:sz w:val="24"/>
          <w:highlight w:val="none"/>
        </w:rPr>
        <w:t>（以联合体形式</w:t>
      </w:r>
      <w:r>
        <w:rPr>
          <w:rFonts w:hint="eastAsia" w:cs="宋体"/>
          <w:b/>
          <w:i w:val="0"/>
          <w:iCs w:val="0"/>
          <w:color w:val="auto"/>
          <w:sz w:val="24"/>
          <w:highlight w:val="none"/>
          <w:lang w:val="en-US" w:eastAsia="zh-CN"/>
        </w:rPr>
        <w:t>磋商响应</w:t>
      </w:r>
      <w:r>
        <w:rPr>
          <w:rFonts w:hint="eastAsia" w:ascii="宋体" w:hAnsi="宋体" w:cs="宋体"/>
          <w:b/>
          <w:i w:val="0"/>
          <w:iCs w:val="0"/>
          <w:color w:val="auto"/>
          <w:sz w:val="24"/>
          <w:highlight w:val="none"/>
        </w:rPr>
        <w:t>的，提供联合</w:t>
      </w:r>
      <w:r>
        <w:rPr>
          <w:rFonts w:hint="eastAsia" w:cs="宋体"/>
          <w:b/>
          <w:i w:val="0"/>
          <w:iCs w:val="0"/>
          <w:color w:val="auto"/>
          <w:sz w:val="24"/>
          <w:highlight w:val="none"/>
          <w:lang w:val="en-US" w:eastAsia="zh-CN"/>
        </w:rPr>
        <w:t>体</w:t>
      </w:r>
      <w:r>
        <w:rPr>
          <w:rFonts w:hint="eastAsia" w:ascii="宋体" w:hAnsi="宋体" w:cs="宋体"/>
          <w:b/>
          <w:i w:val="0"/>
          <w:iCs w:val="0"/>
          <w:color w:val="auto"/>
          <w:sz w:val="24"/>
          <w:highlight w:val="none"/>
        </w:rPr>
        <w:t>协议</w:t>
      </w:r>
      <w:r>
        <w:rPr>
          <w:rFonts w:hint="eastAsia" w:cs="宋体"/>
          <w:b/>
          <w:i w:val="0"/>
          <w:iCs w:val="0"/>
          <w:color w:val="auto"/>
          <w:sz w:val="24"/>
          <w:highlight w:val="none"/>
          <w:lang w:val="en-US" w:eastAsia="zh-CN"/>
        </w:rPr>
        <w:t>书</w:t>
      </w:r>
      <w:r>
        <w:rPr>
          <w:rFonts w:hint="eastAsia" w:ascii="宋体" w:hAnsi="宋体" w:cs="宋体"/>
          <w:b/>
          <w:i w:val="0"/>
          <w:iCs w:val="0"/>
          <w:color w:val="auto"/>
          <w:sz w:val="24"/>
          <w:highlight w:val="none"/>
        </w:rPr>
        <w:t>；本项目不接受联合体</w:t>
      </w:r>
      <w:r>
        <w:rPr>
          <w:rFonts w:hint="eastAsia" w:cs="宋体"/>
          <w:b/>
          <w:i w:val="0"/>
          <w:iCs w:val="0"/>
          <w:color w:val="auto"/>
          <w:sz w:val="24"/>
          <w:highlight w:val="none"/>
          <w:lang w:val="en-US" w:eastAsia="zh-CN"/>
        </w:rPr>
        <w:t>磋商响应</w:t>
      </w:r>
      <w:r>
        <w:rPr>
          <w:rFonts w:hint="eastAsia" w:ascii="宋体" w:hAnsi="宋体" w:cs="宋体"/>
          <w:b/>
          <w:i w:val="0"/>
          <w:iCs w:val="0"/>
          <w:color w:val="auto"/>
          <w:sz w:val="24"/>
          <w:highlight w:val="none"/>
        </w:rPr>
        <w:t>或者</w:t>
      </w:r>
      <w:r>
        <w:rPr>
          <w:rFonts w:hint="eastAsia" w:cs="宋体"/>
          <w:b/>
          <w:i w:val="0"/>
          <w:iCs w:val="0"/>
          <w:color w:val="auto"/>
          <w:sz w:val="24"/>
          <w:highlight w:val="none"/>
          <w:lang w:val="en-US" w:eastAsia="zh-CN"/>
        </w:rPr>
        <w:t>供应商</w:t>
      </w:r>
      <w:r>
        <w:rPr>
          <w:rFonts w:hint="eastAsia" w:ascii="宋体" w:hAnsi="宋体" w:cs="宋体"/>
          <w:b/>
          <w:i w:val="0"/>
          <w:iCs w:val="0"/>
          <w:color w:val="auto"/>
          <w:sz w:val="24"/>
          <w:highlight w:val="none"/>
        </w:rPr>
        <w:t>不以联合体形式</w:t>
      </w:r>
      <w:r>
        <w:rPr>
          <w:rFonts w:hint="eastAsia" w:cs="宋体"/>
          <w:b/>
          <w:i w:val="0"/>
          <w:iCs w:val="0"/>
          <w:color w:val="auto"/>
          <w:sz w:val="24"/>
          <w:highlight w:val="none"/>
          <w:lang w:val="en-US" w:eastAsia="zh-CN"/>
        </w:rPr>
        <w:t>磋商响应</w:t>
      </w:r>
      <w:r>
        <w:rPr>
          <w:rFonts w:hint="eastAsia" w:ascii="宋体" w:hAnsi="宋体" w:cs="宋体"/>
          <w:b/>
          <w:i w:val="0"/>
          <w:iCs w:val="0"/>
          <w:color w:val="auto"/>
          <w:sz w:val="24"/>
          <w:highlight w:val="none"/>
        </w:rPr>
        <w:t>的，则不需要提供）</w:t>
      </w:r>
    </w:p>
    <w:p w14:paraId="62D51B4B">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u w:val="single"/>
        </w:rPr>
        <w:t>（联合体所有成员名称）</w:t>
      </w:r>
      <w:r>
        <w:rPr>
          <w:rFonts w:hint="eastAsia" w:ascii="宋体" w:hAnsi="宋体" w:cs="宋体"/>
          <w:i w:val="0"/>
          <w:iCs w:val="0"/>
          <w:color w:val="auto"/>
          <w:kern w:val="0"/>
          <w:sz w:val="24"/>
          <w:highlight w:val="none"/>
        </w:rPr>
        <w:t>自愿</w:t>
      </w:r>
      <w:r>
        <w:rPr>
          <w:rFonts w:hint="eastAsia" w:ascii="宋体" w:hAnsi="宋体" w:cs="宋体"/>
          <w:i w:val="0"/>
          <w:iCs w:val="0"/>
          <w:color w:val="auto"/>
          <w:kern w:val="0"/>
          <w:sz w:val="24"/>
          <w:highlight w:val="none"/>
          <w:lang w:val="zh-CN"/>
        </w:rPr>
        <w:t>组成一个联合体，以一个</w:t>
      </w:r>
      <w:r>
        <w:rPr>
          <w:rFonts w:hint="eastAsia" w:cs="宋体"/>
          <w:i w:val="0"/>
          <w:iCs w:val="0"/>
          <w:color w:val="auto"/>
          <w:kern w:val="0"/>
          <w:sz w:val="24"/>
          <w:highlight w:val="none"/>
          <w:lang w:val="en-US" w:eastAsia="zh-CN"/>
        </w:rPr>
        <w:t>供应商</w:t>
      </w:r>
      <w:r>
        <w:rPr>
          <w:rFonts w:hint="eastAsia" w:ascii="宋体" w:hAnsi="宋体" w:cs="宋体"/>
          <w:i w:val="0"/>
          <w:iCs w:val="0"/>
          <w:color w:val="auto"/>
          <w:kern w:val="0"/>
          <w:sz w:val="24"/>
          <w:highlight w:val="none"/>
          <w:lang w:val="zh-CN"/>
        </w:rPr>
        <w:t>的身份</w:t>
      </w:r>
      <w:r>
        <w:rPr>
          <w:rFonts w:hint="eastAsia" w:ascii="宋体" w:hAnsi="宋体" w:cs="宋体"/>
          <w:i w:val="0"/>
          <w:iCs w:val="0"/>
          <w:color w:val="auto"/>
          <w:kern w:val="0"/>
          <w:sz w:val="24"/>
          <w:highlight w:val="none"/>
        </w:rPr>
        <w:t>参加</w:t>
      </w:r>
      <w:r>
        <w:rPr>
          <w:rFonts w:hint="eastAsia" w:ascii="宋体" w:hAnsi="宋体" w:cs="宋体"/>
          <w:i w:val="0"/>
          <w:iCs w:val="0"/>
          <w:color w:val="auto"/>
          <w:sz w:val="24"/>
          <w:highlight w:val="none"/>
          <w:u w:val="single"/>
        </w:rPr>
        <w:t>（项目名称）</w:t>
      </w:r>
      <w:r>
        <w:rPr>
          <w:rFonts w:hint="eastAsia" w:cs="宋体"/>
          <w:i w:val="0"/>
          <w:iCs w:val="0"/>
          <w:color w:val="auto"/>
          <w:sz w:val="24"/>
          <w:highlight w:val="none"/>
          <w:u w:val="single"/>
          <w:lang w:val="en-US" w:eastAsia="zh-CN"/>
        </w:rPr>
        <w:t xml:space="preserve">   </w:t>
      </w:r>
      <w:r>
        <w:rPr>
          <w:rFonts w:hint="eastAsia" w:ascii="宋体" w:hAnsi="宋体" w:cs="宋体"/>
          <w:i w:val="0"/>
          <w:iCs w:val="0"/>
          <w:color w:val="auto"/>
          <w:sz w:val="24"/>
          <w:highlight w:val="none"/>
        </w:rPr>
        <w:t>【</w:t>
      </w:r>
      <w:r>
        <w:rPr>
          <w:rFonts w:hint="eastAsia" w:cs="宋体"/>
          <w:i w:val="0"/>
          <w:iCs w:val="0"/>
          <w:color w:val="auto"/>
          <w:sz w:val="24"/>
          <w:highlight w:val="none"/>
          <w:lang w:val="en-US" w:eastAsia="zh-CN"/>
        </w:rPr>
        <w:t>项目</w:t>
      </w:r>
      <w:r>
        <w:rPr>
          <w:rFonts w:hint="eastAsia" w:ascii="宋体" w:hAnsi="宋体" w:cs="宋体"/>
          <w:i w:val="0"/>
          <w:iCs w:val="0"/>
          <w:color w:val="auto"/>
          <w:sz w:val="24"/>
          <w:highlight w:val="none"/>
        </w:rPr>
        <w:t>编号</w:t>
      </w:r>
      <w:r>
        <w:rPr>
          <w:rFonts w:hint="eastAsia" w:cs="宋体"/>
          <w:i w:val="0"/>
          <w:iCs w:val="0"/>
          <w:color w:val="auto"/>
          <w:sz w:val="24"/>
          <w:highlight w:val="none"/>
          <w:lang w:val="en-US" w:eastAsia="zh-CN"/>
        </w:rPr>
        <w:t>/包号</w:t>
      </w:r>
      <w:r>
        <w:rPr>
          <w:rFonts w:hint="eastAsia" w:ascii="宋体" w:hAnsi="宋体" w:cs="宋体"/>
          <w:i w:val="0"/>
          <w:iCs w:val="0"/>
          <w:color w:val="auto"/>
          <w:sz w:val="24"/>
          <w:highlight w:val="none"/>
        </w:rPr>
        <w:t>：</w:t>
      </w:r>
      <w:r>
        <w:rPr>
          <w:rFonts w:hint="eastAsia" w:cs="宋体"/>
          <w:i w:val="0"/>
          <w:iCs w:val="0"/>
          <w:color w:val="auto"/>
          <w:sz w:val="24"/>
          <w:highlight w:val="none"/>
          <w:lang w:val="en-US" w:eastAsia="zh-CN"/>
        </w:rPr>
        <w:t xml:space="preserve">    </w:t>
      </w:r>
      <w:r>
        <w:rPr>
          <w:rFonts w:hint="eastAsia" w:ascii="宋体" w:hAnsi="宋体" w:cs="宋体"/>
          <w:i w:val="0"/>
          <w:iCs w:val="0"/>
          <w:color w:val="auto"/>
          <w:sz w:val="24"/>
          <w:highlight w:val="none"/>
        </w:rPr>
        <w:t>】</w:t>
      </w:r>
      <w:r>
        <w:rPr>
          <w:rFonts w:hint="eastAsia" w:cs="宋体"/>
          <w:i w:val="0"/>
          <w:iCs w:val="0"/>
          <w:color w:val="auto"/>
          <w:kern w:val="0"/>
          <w:sz w:val="24"/>
          <w:highlight w:val="none"/>
          <w:lang w:val="en-US" w:eastAsia="zh-CN"/>
        </w:rPr>
        <w:t>磋商</w:t>
      </w:r>
      <w:r>
        <w:rPr>
          <w:rFonts w:hint="eastAsia" w:ascii="宋体" w:hAnsi="宋体" w:cs="宋体"/>
          <w:i w:val="0"/>
          <w:iCs w:val="0"/>
          <w:color w:val="auto"/>
          <w:kern w:val="0"/>
          <w:sz w:val="24"/>
          <w:highlight w:val="none"/>
          <w:lang w:val="zh-CN"/>
        </w:rPr>
        <w:t xml:space="preserve">。 </w:t>
      </w:r>
    </w:p>
    <w:p w14:paraId="6A59288A">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一、各方一致决定，</w:t>
      </w:r>
      <w:r>
        <w:rPr>
          <w:rFonts w:hint="eastAsia" w:ascii="宋体" w:hAnsi="宋体" w:cs="宋体"/>
          <w:i w:val="0"/>
          <w:iCs w:val="0"/>
          <w:color w:val="auto"/>
          <w:kern w:val="0"/>
          <w:sz w:val="24"/>
          <w:highlight w:val="none"/>
          <w:u w:val="single"/>
        </w:rPr>
        <w:t>（某联合体成员名称）</w:t>
      </w:r>
      <w:r>
        <w:rPr>
          <w:rFonts w:hint="eastAsia" w:ascii="宋体" w:hAnsi="宋体" w:cs="宋体"/>
          <w:i w:val="0"/>
          <w:iCs w:val="0"/>
          <w:color w:val="auto"/>
          <w:kern w:val="0"/>
          <w:sz w:val="24"/>
          <w:highlight w:val="none"/>
        </w:rPr>
        <w:t>为联合体</w:t>
      </w:r>
      <w:r>
        <w:rPr>
          <w:rFonts w:hint="eastAsia" w:ascii="宋体" w:hAnsi="宋体" w:cs="宋体"/>
          <w:i w:val="0"/>
          <w:iCs w:val="0"/>
          <w:color w:val="auto"/>
          <w:kern w:val="0"/>
          <w:sz w:val="24"/>
          <w:highlight w:val="none"/>
          <w:lang w:val="zh-CN"/>
        </w:rPr>
        <w:t>牵头人</w:t>
      </w:r>
      <w:r>
        <w:rPr>
          <w:rFonts w:hint="eastAsia" w:ascii="宋体" w:hAnsi="宋体" w:cs="宋体"/>
          <w:i w:val="0"/>
          <w:iCs w:val="0"/>
          <w:color w:val="auto"/>
          <w:sz w:val="24"/>
          <w:highlight w:val="none"/>
        </w:rPr>
        <w:t>，代表所有联合体</w:t>
      </w:r>
      <w:r>
        <w:rPr>
          <w:rFonts w:hint="eastAsia" w:ascii="宋体" w:hAnsi="宋体" w:eastAsia="宋体" w:cs="宋体"/>
          <w:i w:val="0"/>
          <w:iCs w:val="0"/>
          <w:color w:val="auto"/>
          <w:sz w:val="24"/>
          <w:highlight w:val="none"/>
        </w:rPr>
        <w:t>成员负责</w:t>
      </w:r>
      <w:r>
        <w:rPr>
          <w:rFonts w:hint="eastAsia" w:ascii="宋体" w:hAnsi="宋体" w:eastAsia="宋体" w:cs="宋体"/>
          <w:i w:val="0"/>
          <w:iCs w:val="0"/>
          <w:color w:val="auto"/>
          <w:sz w:val="24"/>
          <w:highlight w:val="none"/>
          <w:lang w:val="en-US" w:eastAsia="zh-CN"/>
        </w:rPr>
        <w:t>磋商响应</w:t>
      </w:r>
      <w:r>
        <w:rPr>
          <w:rFonts w:hint="eastAsia" w:ascii="宋体" w:hAnsi="宋体" w:eastAsia="宋体" w:cs="宋体"/>
          <w:i w:val="0"/>
          <w:iCs w:val="0"/>
          <w:color w:val="auto"/>
          <w:sz w:val="24"/>
          <w:highlight w:val="none"/>
        </w:rPr>
        <w:t>和合同实施阶段的</w:t>
      </w:r>
      <w:r>
        <w:rPr>
          <w:rFonts w:hint="eastAsia" w:ascii="宋体" w:hAnsi="宋体" w:cs="宋体"/>
          <w:i w:val="0"/>
          <w:iCs w:val="0"/>
          <w:color w:val="auto"/>
          <w:sz w:val="24"/>
          <w:highlight w:val="none"/>
        </w:rPr>
        <w:t>主办、协调工作</w:t>
      </w:r>
      <w:r>
        <w:rPr>
          <w:rFonts w:hint="eastAsia" w:ascii="宋体" w:hAnsi="宋体" w:cs="宋体"/>
          <w:i w:val="0"/>
          <w:iCs w:val="0"/>
          <w:color w:val="auto"/>
          <w:kern w:val="0"/>
          <w:sz w:val="24"/>
          <w:highlight w:val="none"/>
          <w:lang w:val="zh-CN"/>
        </w:rPr>
        <w:t>。</w:t>
      </w:r>
    </w:p>
    <w:p w14:paraId="1FC748B0">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二、</w:t>
      </w:r>
      <w:r>
        <w:rPr>
          <w:rFonts w:hint="eastAsia" w:ascii="宋体" w:hAnsi="宋体" w:cs="宋体"/>
          <w:i w:val="0"/>
          <w:iCs w:val="0"/>
          <w:color w:val="auto"/>
          <w:sz w:val="24"/>
          <w:highlight w:val="none"/>
        </w:rPr>
        <w:t>所有联合体成员各方签署授权书，授权书载明的</w:t>
      </w:r>
      <w:r>
        <w:rPr>
          <w:rFonts w:hint="eastAsia" w:ascii="宋体" w:hAnsi="宋体" w:cs="宋体"/>
          <w:i w:val="0"/>
          <w:iCs w:val="0"/>
          <w:color w:val="auto"/>
          <w:kern w:val="0"/>
          <w:sz w:val="24"/>
          <w:highlight w:val="none"/>
          <w:lang w:val="zh-CN"/>
        </w:rPr>
        <w:t>授权代表根据</w:t>
      </w:r>
      <w:r>
        <w:rPr>
          <w:rFonts w:hint="eastAsia" w:ascii="宋体" w:hAnsi="宋体" w:cs="宋体"/>
          <w:i w:val="0"/>
          <w:iCs w:val="0"/>
          <w:color w:val="auto"/>
          <w:kern w:val="0"/>
          <w:sz w:val="24"/>
          <w:highlight w:val="none"/>
          <w:lang w:val="zh-CN" w:eastAsia="zh-CN"/>
        </w:rPr>
        <w:t>竞争性磋商</w:t>
      </w:r>
      <w:r>
        <w:rPr>
          <w:rFonts w:hint="eastAsia" w:ascii="宋体" w:hAnsi="宋体" w:cs="宋体"/>
          <w:i w:val="0"/>
          <w:iCs w:val="0"/>
          <w:color w:val="auto"/>
          <w:kern w:val="0"/>
          <w:sz w:val="24"/>
          <w:highlight w:val="none"/>
          <w:lang w:val="zh-CN"/>
        </w:rPr>
        <w:t>文件规定及</w:t>
      </w:r>
      <w:r>
        <w:rPr>
          <w:rFonts w:hint="eastAsia" w:cs="宋体"/>
          <w:i w:val="0"/>
          <w:iCs w:val="0"/>
          <w:color w:val="auto"/>
          <w:kern w:val="0"/>
          <w:sz w:val="24"/>
          <w:highlight w:val="none"/>
          <w:lang w:val="en-US" w:eastAsia="zh-CN"/>
        </w:rPr>
        <w:t>响应</w:t>
      </w:r>
      <w:r>
        <w:rPr>
          <w:rFonts w:hint="eastAsia" w:ascii="宋体" w:hAnsi="宋体" w:cs="宋体"/>
          <w:i w:val="0"/>
          <w:iCs w:val="0"/>
          <w:color w:val="auto"/>
          <w:kern w:val="0"/>
          <w:sz w:val="24"/>
          <w:highlight w:val="none"/>
          <w:lang w:val="zh-CN"/>
        </w:rPr>
        <w:t>内容而对采购人、采购代理机构所作的任何合法承诺，包括书面澄清及相应等均对联合投标各方产生约束力。</w:t>
      </w:r>
    </w:p>
    <w:p w14:paraId="71528CEE">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三、本次联合</w:t>
      </w:r>
      <w:r>
        <w:rPr>
          <w:rFonts w:hint="eastAsia" w:cs="宋体"/>
          <w:i w:val="0"/>
          <w:iCs w:val="0"/>
          <w:color w:val="auto"/>
          <w:kern w:val="0"/>
          <w:sz w:val="24"/>
          <w:highlight w:val="none"/>
          <w:lang w:val="en-US" w:eastAsia="zh-CN"/>
        </w:rPr>
        <w:t>磋商响应</w:t>
      </w:r>
      <w:r>
        <w:rPr>
          <w:rFonts w:hint="eastAsia" w:ascii="宋体" w:hAnsi="宋体" w:cs="宋体"/>
          <w:i w:val="0"/>
          <w:iCs w:val="0"/>
          <w:color w:val="auto"/>
          <w:kern w:val="0"/>
          <w:sz w:val="24"/>
          <w:highlight w:val="none"/>
          <w:lang w:val="zh-CN"/>
        </w:rPr>
        <w:t>中，分工如下：</w:t>
      </w:r>
    </w:p>
    <w:p w14:paraId="45FB3426">
      <w:pPr>
        <w:snapToGrid w:val="0"/>
        <w:spacing w:line="360" w:lineRule="auto"/>
        <w:ind w:firstLine="576"/>
        <w:rPr>
          <w:rFonts w:ascii="宋体" w:hAnsi="宋体" w:cs="宋体"/>
          <w:i w:val="0"/>
          <w:iCs w:val="0"/>
          <w:color w:val="auto"/>
          <w:kern w:val="0"/>
          <w:sz w:val="24"/>
          <w:highlight w:val="none"/>
          <w:lang w:val="zh-CN"/>
        </w:rPr>
      </w:pPr>
      <w:bookmarkStart w:id="652" w:name="_Hlk101134295"/>
      <w:r>
        <w:rPr>
          <w:rFonts w:hint="eastAsia" w:ascii="宋体" w:hAnsi="宋体" w:cs="宋体"/>
          <w:i w:val="0"/>
          <w:iCs w:val="0"/>
          <w:color w:val="auto"/>
          <w:kern w:val="0"/>
          <w:sz w:val="24"/>
          <w:highlight w:val="none"/>
          <w:u w:val="single"/>
        </w:rPr>
        <w:t>（联合体成员1）</w:t>
      </w:r>
      <w:r>
        <w:rPr>
          <w:rFonts w:hint="eastAsia" w:ascii="宋体" w:hAnsi="宋体" w:cs="宋体"/>
          <w:i w:val="0"/>
          <w:iCs w:val="0"/>
          <w:color w:val="auto"/>
          <w:kern w:val="0"/>
          <w:sz w:val="24"/>
          <w:highlight w:val="none"/>
          <w:u w:val="single"/>
          <w:lang w:val="en-US" w:eastAsia="zh-CN"/>
        </w:rPr>
        <w:t xml:space="preserve">  </w:t>
      </w:r>
      <w:r>
        <w:rPr>
          <w:rFonts w:hint="eastAsia" w:ascii="宋体" w:hAnsi="宋体" w:cs="宋体"/>
          <w:i w:val="0"/>
          <w:iCs w:val="0"/>
          <w:color w:val="auto"/>
          <w:kern w:val="0"/>
          <w:sz w:val="24"/>
          <w:highlight w:val="none"/>
          <w:lang w:val="zh-CN"/>
        </w:rPr>
        <w:t>承担</w:t>
      </w:r>
      <w:r>
        <w:rPr>
          <w:rFonts w:hint="eastAsia" w:ascii="宋体" w:hAnsi="宋体" w:cs="宋体"/>
          <w:i w:val="0"/>
          <w:iCs w:val="0"/>
          <w:color w:val="auto"/>
          <w:kern w:val="0"/>
          <w:sz w:val="24"/>
          <w:highlight w:val="none"/>
          <w:lang w:val="en-US" w:eastAsia="zh-CN"/>
        </w:rPr>
        <w:t>项目采购合同金额的</w:t>
      </w:r>
      <w:r>
        <w:rPr>
          <w:rFonts w:hint="eastAsia" w:ascii="宋体" w:hAnsi="宋体" w:cs="宋体"/>
          <w:i w:val="0"/>
          <w:iCs w:val="0"/>
          <w:color w:val="auto"/>
          <w:kern w:val="0"/>
          <w:sz w:val="24"/>
          <w:highlight w:val="none"/>
          <w:u w:val="single"/>
          <w:lang w:val="en-US" w:eastAsia="zh-CN"/>
        </w:rPr>
        <w:t xml:space="preserve">      %</w:t>
      </w:r>
      <w:r>
        <w:rPr>
          <w:rFonts w:hint="eastAsia" w:ascii="宋体" w:hAnsi="宋体" w:cs="宋体"/>
          <w:i w:val="0"/>
          <w:iCs w:val="0"/>
          <w:color w:val="auto"/>
          <w:kern w:val="0"/>
          <w:sz w:val="24"/>
          <w:highlight w:val="none"/>
          <w:u w:val="none"/>
          <w:lang w:val="en-US" w:eastAsia="zh-CN"/>
        </w:rPr>
        <w:t>，负责</w:t>
      </w:r>
      <w:r>
        <w:rPr>
          <w:rFonts w:hint="eastAsia" w:ascii="宋体" w:hAnsi="宋体" w:cs="宋体"/>
          <w:i w:val="0"/>
          <w:iCs w:val="0"/>
          <w:color w:val="auto"/>
          <w:kern w:val="0"/>
          <w:sz w:val="24"/>
          <w:highlight w:val="none"/>
          <w:lang w:val="zh-CN"/>
        </w:rPr>
        <w:t>的工作和义务为：</w:t>
      </w:r>
      <w:r>
        <w:rPr>
          <w:rFonts w:hint="eastAsia" w:ascii="宋体" w:hAnsi="宋体" w:cs="宋体"/>
          <w:i w:val="0"/>
          <w:iCs w:val="0"/>
          <w:color w:val="auto"/>
          <w:highlight w:val="none"/>
          <w:u w:val="single"/>
        </w:rPr>
        <w:t xml:space="preserve">             </w:t>
      </w:r>
      <w:r>
        <w:rPr>
          <w:rFonts w:hint="eastAsia" w:ascii="宋体" w:hAnsi="宋体" w:cs="宋体"/>
          <w:i w:val="0"/>
          <w:iCs w:val="0"/>
          <w:color w:val="auto"/>
          <w:kern w:val="0"/>
          <w:sz w:val="24"/>
          <w:highlight w:val="none"/>
          <w:lang w:val="zh-CN"/>
        </w:rPr>
        <w:t>；</w:t>
      </w:r>
    </w:p>
    <w:p w14:paraId="7C2FA471">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u w:val="single"/>
        </w:rPr>
        <w:t>（联合体成员</w:t>
      </w:r>
      <w:r>
        <w:rPr>
          <w:rFonts w:ascii="宋体" w:hAnsi="宋体" w:cs="宋体"/>
          <w:i w:val="0"/>
          <w:iCs w:val="0"/>
          <w:color w:val="auto"/>
          <w:kern w:val="0"/>
          <w:sz w:val="24"/>
          <w:highlight w:val="none"/>
          <w:u w:val="single"/>
        </w:rPr>
        <w:t>2</w:t>
      </w:r>
      <w:r>
        <w:rPr>
          <w:rFonts w:hint="eastAsia" w:ascii="宋体" w:hAnsi="宋体" w:cs="宋体"/>
          <w:i w:val="0"/>
          <w:iCs w:val="0"/>
          <w:color w:val="auto"/>
          <w:kern w:val="0"/>
          <w:sz w:val="24"/>
          <w:highlight w:val="none"/>
          <w:u w:val="single"/>
        </w:rPr>
        <w:t>）</w:t>
      </w:r>
      <w:r>
        <w:rPr>
          <w:rFonts w:hint="eastAsia" w:ascii="宋体" w:hAnsi="宋体" w:cs="宋体"/>
          <w:i w:val="0"/>
          <w:iCs w:val="0"/>
          <w:color w:val="auto"/>
          <w:kern w:val="0"/>
          <w:sz w:val="24"/>
          <w:highlight w:val="none"/>
          <w:u w:val="single"/>
          <w:lang w:val="en-US" w:eastAsia="zh-CN"/>
        </w:rPr>
        <w:t xml:space="preserve">  </w:t>
      </w:r>
      <w:r>
        <w:rPr>
          <w:rFonts w:hint="eastAsia" w:ascii="宋体" w:hAnsi="宋体" w:cs="宋体"/>
          <w:i w:val="0"/>
          <w:iCs w:val="0"/>
          <w:color w:val="auto"/>
          <w:kern w:val="0"/>
          <w:sz w:val="24"/>
          <w:highlight w:val="none"/>
          <w:lang w:val="zh-CN"/>
        </w:rPr>
        <w:t>承担</w:t>
      </w:r>
      <w:r>
        <w:rPr>
          <w:rFonts w:hint="eastAsia" w:ascii="宋体" w:hAnsi="宋体" w:cs="宋体"/>
          <w:i w:val="0"/>
          <w:iCs w:val="0"/>
          <w:color w:val="auto"/>
          <w:kern w:val="0"/>
          <w:sz w:val="24"/>
          <w:highlight w:val="none"/>
          <w:lang w:val="en-US" w:eastAsia="zh-CN"/>
        </w:rPr>
        <w:t>项目采购合同金额的</w:t>
      </w:r>
      <w:r>
        <w:rPr>
          <w:rFonts w:hint="eastAsia" w:ascii="宋体" w:hAnsi="宋体" w:cs="宋体"/>
          <w:i w:val="0"/>
          <w:iCs w:val="0"/>
          <w:color w:val="auto"/>
          <w:kern w:val="0"/>
          <w:sz w:val="24"/>
          <w:highlight w:val="none"/>
          <w:u w:val="single"/>
          <w:lang w:val="en-US" w:eastAsia="zh-CN"/>
        </w:rPr>
        <w:t xml:space="preserve">      %</w:t>
      </w:r>
      <w:r>
        <w:rPr>
          <w:rFonts w:hint="eastAsia" w:ascii="宋体" w:hAnsi="宋体" w:cs="宋体"/>
          <w:i w:val="0"/>
          <w:iCs w:val="0"/>
          <w:color w:val="auto"/>
          <w:kern w:val="0"/>
          <w:sz w:val="24"/>
          <w:highlight w:val="none"/>
          <w:u w:val="none"/>
          <w:lang w:val="en-US" w:eastAsia="zh-CN"/>
        </w:rPr>
        <w:t>，负责</w:t>
      </w:r>
      <w:r>
        <w:rPr>
          <w:rFonts w:hint="eastAsia" w:ascii="宋体" w:hAnsi="宋体" w:cs="宋体"/>
          <w:i w:val="0"/>
          <w:iCs w:val="0"/>
          <w:color w:val="auto"/>
          <w:kern w:val="0"/>
          <w:sz w:val="24"/>
          <w:highlight w:val="none"/>
          <w:lang w:val="zh-CN"/>
        </w:rPr>
        <w:t>的工作和义务为：</w:t>
      </w:r>
      <w:r>
        <w:rPr>
          <w:rFonts w:hint="eastAsia" w:ascii="宋体" w:hAnsi="宋体" w:cs="宋体"/>
          <w:i w:val="0"/>
          <w:iCs w:val="0"/>
          <w:color w:val="auto"/>
          <w:highlight w:val="none"/>
          <w:u w:val="single"/>
        </w:rPr>
        <w:t xml:space="preserve">             </w:t>
      </w:r>
      <w:r>
        <w:rPr>
          <w:rFonts w:hint="eastAsia" w:ascii="宋体" w:hAnsi="宋体" w:cs="宋体"/>
          <w:i w:val="0"/>
          <w:iCs w:val="0"/>
          <w:color w:val="auto"/>
          <w:kern w:val="0"/>
          <w:sz w:val="24"/>
          <w:highlight w:val="none"/>
          <w:lang w:val="zh-CN"/>
        </w:rPr>
        <w:t>；</w:t>
      </w:r>
    </w:p>
    <w:p w14:paraId="7B7330C6">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w:t>
      </w:r>
    </w:p>
    <w:bookmarkEnd w:id="652"/>
    <w:p w14:paraId="38911437">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四、联合体成员中小企业合同份额。</w:t>
      </w:r>
    </w:p>
    <w:p w14:paraId="451D5AC7">
      <w:pPr>
        <w:snapToGrid w:val="0"/>
        <w:spacing w:line="360" w:lineRule="auto"/>
        <w:ind w:firstLine="576"/>
        <w:rPr>
          <w:rFonts w:ascii="宋体" w:hAnsi="宋体" w:cs="宋体"/>
          <w:b/>
          <w:i w:val="0"/>
          <w:iCs w:val="0"/>
          <w:color w:val="auto"/>
          <w:kern w:val="0"/>
          <w:sz w:val="24"/>
          <w:highlight w:val="none"/>
          <w:lang w:val="zh-CN"/>
        </w:rPr>
      </w:pPr>
      <w:r>
        <w:rPr>
          <w:rFonts w:hint="eastAsia" w:ascii="宋体" w:hAnsi="宋体" w:cs="宋体"/>
          <w:i w:val="0"/>
          <w:iCs w:val="0"/>
          <w:color w:val="auto"/>
          <w:kern w:val="0"/>
          <w:sz w:val="24"/>
          <w:highlight w:val="none"/>
          <w:lang w:val="zh-CN"/>
        </w:rPr>
        <w:t>1、</w:t>
      </w:r>
      <w:r>
        <w:rPr>
          <w:rFonts w:hint="eastAsia" w:ascii="宋体" w:hAnsi="宋体" w:cs="宋体"/>
          <w:i w:val="0"/>
          <w:iCs w:val="0"/>
          <w:color w:val="auto"/>
          <w:kern w:val="0"/>
          <w:sz w:val="24"/>
          <w:highlight w:val="none"/>
          <w:u w:val="single"/>
        </w:rPr>
        <w:t>（联合体成员</w:t>
      </w:r>
      <w:r>
        <w:rPr>
          <w:rFonts w:ascii="宋体" w:hAnsi="宋体" w:cs="宋体"/>
          <w:i w:val="0"/>
          <w:iCs w:val="0"/>
          <w:color w:val="auto"/>
          <w:kern w:val="0"/>
          <w:sz w:val="24"/>
          <w:highlight w:val="none"/>
          <w:u w:val="single"/>
        </w:rPr>
        <w:t>X,</w:t>
      </w:r>
      <w:r>
        <w:rPr>
          <w:rFonts w:hint="eastAsia" w:ascii="宋体" w:hAnsi="宋体" w:cs="宋体"/>
          <w:i w:val="0"/>
          <w:iCs w:val="0"/>
          <w:color w:val="auto"/>
          <w:kern w:val="0"/>
          <w:sz w:val="24"/>
          <w:highlight w:val="none"/>
          <w:u w:val="single"/>
        </w:rPr>
        <w:t>……）</w:t>
      </w:r>
      <w:r>
        <w:rPr>
          <w:rFonts w:hint="eastAsia" w:ascii="宋体" w:hAnsi="宋体" w:cs="宋体"/>
          <w:i w:val="0"/>
          <w:iCs w:val="0"/>
          <w:color w:val="auto"/>
          <w:kern w:val="0"/>
          <w:sz w:val="24"/>
          <w:highlight w:val="none"/>
        </w:rPr>
        <w:t>提供的全部</w:t>
      </w:r>
      <w:r>
        <w:rPr>
          <w:rFonts w:hint="eastAsia" w:cs="宋体"/>
          <w:i w:val="0"/>
          <w:iCs w:val="0"/>
          <w:color w:val="auto"/>
          <w:kern w:val="0"/>
          <w:sz w:val="24"/>
          <w:highlight w:val="none"/>
          <w:lang w:val="en-US" w:eastAsia="zh-CN"/>
        </w:rPr>
        <w:t>服务及包含的</w:t>
      </w:r>
      <w:r>
        <w:rPr>
          <w:rFonts w:hint="eastAsia" w:ascii="宋体" w:hAnsi="宋体" w:cs="宋体"/>
          <w:i w:val="0"/>
          <w:iCs w:val="0"/>
          <w:color w:val="auto"/>
          <w:kern w:val="0"/>
          <w:sz w:val="24"/>
          <w:highlight w:val="none"/>
        </w:rPr>
        <w:t>货物由小微企业制造，其合同份额占到合同总金额</w:t>
      </w:r>
      <w:r>
        <w:rPr>
          <w:rFonts w:hint="eastAsia" w:ascii="宋体" w:hAnsi="宋体" w:cs="宋体"/>
          <w:i w:val="0"/>
          <w:iCs w:val="0"/>
          <w:color w:val="auto"/>
          <w:kern w:val="0"/>
          <w:sz w:val="24"/>
          <w:highlight w:val="none"/>
          <w:u w:val="single"/>
        </w:rPr>
        <w:t xml:space="preserve">     </w:t>
      </w:r>
      <w:r>
        <w:rPr>
          <w:rFonts w:hint="eastAsia" w:ascii="宋体" w:hAnsi="宋体" w:cs="宋体"/>
          <w:i w:val="0"/>
          <w:iCs w:val="0"/>
          <w:color w:val="auto"/>
          <w:kern w:val="0"/>
          <w:sz w:val="24"/>
          <w:highlight w:val="none"/>
        </w:rPr>
        <w:t>%以上；</w:t>
      </w:r>
      <w:r>
        <w:rPr>
          <w:rFonts w:hint="eastAsia" w:ascii="宋体" w:hAnsi="宋体" w:cs="宋体"/>
          <w:i w:val="0"/>
          <w:iCs w:val="0"/>
          <w:color w:val="auto"/>
          <w:kern w:val="0"/>
          <w:sz w:val="24"/>
          <w:highlight w:val="none"/>
          <w:lang w:val="zh-CN"/>
        </w:rPr>
        <w:t>……。</w:t>
      </w:r>
      <w:r>
        <w:rPr>
          <w:rFonts w:hint="eastAsia" w:ascii="宋体" w:hAnsi="宋体" w:cs="宋体"/>
          <w:b/>
          <w:i w:val="0"/>
          <w:iCs w:val="0"/>
          <w:color w:val="auto"/>
          <w:kern w:val="0"/>
          <w:sz w:val="24"/>
          <w:highlight w:val="none"/>
          <w:lang w:val="zh-CN"/>
        </w:rPr>
        <w:t>（未预留份额专门面向中小企业采购的采购项目，以及预留份额中的非预留部分采购包，接受联合体投标的，联合</w:t>
      </w:r>
      <w:r>
        <w:rPr>
          <w:rFonts w:hint="eastAsia" w:cs="宋体"/>
          <w:b/>
          <w:i w:val="0"/>
          <w:iCs w:val="0"/>
          <w:color w:val="auto"/>
          <w:kern w:val="0"/>
          <w:sz w:val="24"/>
          <w:highlight w:val="none"/>
          <w:lang w:val="en-US" w:eastAsia="zh-CN"/>
        </w:rPr>
        <w:t>体</w:t>
      </w:r>
      <w:r>
        <w:rPr>
          <w:rFonts w:hint="eastAsia" w:ascii="宋体" w:hAnsi="宋体" w:cs="宋体"/>
          <w:b/>
          <w:i w:val="0"/>
          <w:iCs w:val="0"/>
          <w:color w:val="auto"/>
          <w:kern w:val="0"/>
          <w:sz w:val="24"/>
          <w:highlight w:val="none"/>
          <w:lang w:val="zh-CN"/>
        </w:rPr>
        <w:t>协议</w:t>
      </w:r>
      <w:r>
        <w:rPr>
          <w:rFonts w:hint="eastAsia" w:cs="宋体"/>
          <w:b/>
          <w:i w:val="0"/>
          <w:iCs w:val="0"/>
          <w:color w:val="auto"/>
          <w:kern w:val="0"/>
          <w:sz w:val="24"/>
          <w:highlight w:val="none"/>
          <w:lang w:val="en-US" w:eastAsia="zh-CN"/>
        </w:rPr>
        <w:t>书</w:t>
      </w:r>
      <w:r>
        <w:rPr>
          <w:rFonts w:hint="eastAsia" w:ascii="宋体" w:hAnsi="宋体" w:cs="宋体"/>
          <w:b/>
          <w:i w:val="0"/>
          <w:iCs w:val="0"/>
          <w:color w:val="auto"/>
          <w:kern w:val="0"/>
          <w:sz w:val="24"/>
          <w:highlight w:val="none"/>
          <w:lang w:val="zh-CN"/>
        </w:rPr>
        <w:t>约定小微企业的合同份额占到合同总金额30%以上的，对联合体报价按评</w:t>
      </w:r>
      <w:r>
        <w:rPr>
          <w:rFonts w:hint="eastAsia" w:cs="宋体"/>
          <w:b/>
          <w:i w:val="0"/>
          <w:iCs w:val="0"/>
          <w:color w:val="auto"/>
          <w:kern w:val="0"/>
          <w:sz w:val="24"/>
          <w:highlight w:val="none"/>
          <w:lang w:val="en-US" w:eastAsia="zh-CN"/>
        </w:rPr>
        <w:t>审</w:t>
      </w:r>
      <w:r>
        <w:rPr>
          <w:rFonts w:hint="eastAsia" w:ascii="宋体" w:hAnsi="宋体" w:cs="宋体"/>
          <w:b/>
          <w:i w:val="0"/>
          <w:iCs w:val="0"/>
          <w:color w:val="auto"/>
          <w:kern w:val="0"/>
          <w:sz w:val="24"/>
          <w:highlight w:val="none"/>
          <w:lang w:val="zh-CN"/>
        </w:rPr>
        <w:t>标准确定的比例给予扣除。供应商</w:t>
      </w:r>
      <w:r>
        <w:rPr>
          <w:rFonts w:hint="eastAsia" w:ascii="宋体" w:hAnsi="宋体" w:cs="宋体"/>
          <w:b/>
          <w:i w:val="0"/>
          <w:iCs w:val="0"/>
          <w:color w:val="auto"/>
          <w:sz w:val="24"/>
          <w:highlight w:val="none"/>
        </w:rPr>
        <w:t>拟享受以上价格扣除政策的，填写有关内容。</w:t>
      </w:r>
      <w:r>
        <w:rPr>
          <w:rFonts w:hint="eastAsia" w:ascii="宋体" w:hAnsi="宋体" w:cs="宋体"/>
          <w:b/>
          <w:i w:val="0"/>
          <w:iCs w:val="0"/>
          <w:color w:val="auto"/>
          <w:kern w:val="0"/>
          <w:sz w:val="24"/>
          <w:highlight w:val="none"/>
          <w:lang w:val="zh-CN"/>
        </w:rPr>
        <w:t>）</w:t>
      </w:r>
    </w:p>
    <w:p w14:paraId="33DBDDDB">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sz w:val="24"/>
          <w:highlight w:val="none"/>
        </w:rPr>
        <w:t>2、中小企业合同金额达到</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u w:val="single"/>
          <w:lang w:val="en-US" w:eastAsia="zh-CN"/>
        </w:rPr>
        <w:t xml:space="preserve">  </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%，其中小微企业合同金额达到</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u w:val="single"/>
          <w:lang w:val="en-US" w:eastAsia="zh-CN"/>
        </w:rPr>
        <w:t xml:space="preserve">  </w:t>
      </w:r>
      <w:r>
        <w:rPr>
          <w:rFonts w:hint="eastAsia" w:ascii="宋体" w:hAnsi="宋体" w:cs="宋体"/>
          <w:i w:val="0"/>
          <w:iCs w:val="0"/>
          <w:color w:val="auto"/>
          <w:sz w:val="24"/>
          <w:highlight w:val="none"/>
        </w:rPr>
        <w:t>%</w:t>
      </w:r>
      <w:r>
        <w:rPr>
          <w:rFonts w:hint="eastAsia" w:ascii="宋体" w:hAnsi="宋体" w:cs="宋体"/>
          <w:i w:val="0"/>
          <w:iCs w:val="0"/>
          <w:color w:val="auto"/>
          <w:kern w:val="0"/>
          <w:sz w:val="24"/>
          <w:highlight w:val="none"/>
          <w:lang w:val="zh-CN"/>
        </w:rPr>
        <w:t>。</w:t>
      </w:r>
      <w:r>
        <w:rPr>
          <w:rFonts w:hint="eastAsia" w:ascii="宋体" w:hAnsi="宋体" w:cs="宋体"/>
          <w:b/>
          <w:bCs/>
          <w:i w:val="0"/>
          <w:iCs w:val="0"/>
          <w:color w:val="auto"/>
          <w:kern w:val="0"/>
          <w:sz w:val="24"/>
          <w:highlight w:val="none"/>
          <w:lang w:val="zh-CN"/>
        </w:rPr>
        <w:t>（</w:t>
      </w:r>
      <w:r>
        <w:rPr>
          <w:rFonts w:hint="eastAsia" w:ascii="宋体" w:hAnsi="宋体" w:cs="宋体"/>
          <w:b/>
          <w:bCs/>
          <w:i w:val="0"/>
          <w:iCs w:val="0"/>
          <w:color w:val="auto"/>
          <w:sz w:val="24"/>
          <w:highlight w:val="none"/>
        </w:rPr>
        <w:t>要求以联合体形式参加的项目或采购包，供应商按</w:t>
      </w:r>
      <w:r>
        <w:rPr>
          <w:rFonts w:hint="eastAsia" w:cs="宋体"/>
          <w:b/>
          <w:bCs/>
          <w:i w:val="0"/>
          <w:iCs w:val="0"/>
          <w:color w:val="auto"/>
          <w:sz w:val="24"/>
          <w:highlight w:val="none"/>
          <w:lang w:val="en-US" w:eastAsia="zh-CN"/>
        </w:rPr>
        <w:t>竞争性磋商</w:t>
      </w:r>
      <w:r>
        <w:rPr>
          <w:rFonts w:hint="eastAsia" w:ascii="宋体" w:hAnsi="宋体" w:cs="宋体"/>
          <w:b/>
          <w:bCs/>
          <w:i w:val="0"/>
          <w:iCs w:val="0"/>
          <w:color w:val="auto"/>
          <w:sz w:val="24"/>
          <w:highlight w:val="none"/>
        </w:rPr>
        <w:t>文件第一部分</w:t>
      </w:r>
      <w:r>
        <w:rPr>
          <w:rFonts w:hint="eastAsia" w:cs="宋体"/>
          <w:b/>
          <w:bCs/>
          <w:i w:val="0"/>
          <w:iCs w:val="0"/>
          <w:color w:val="auto"/>
          <w:sz w:val="24"/>
          <w:highlight w:val="none"/>
          <w:lang w:val="en-US" w:eastAsia="zh-CN"/>
        </w:rPr>
        <w:t>竞争性磋商</w:t>
      </w:r>
      <w:r>
        <w:rPr>
          <w:rFonts w:hint="eastAsia" w:ascii="宋体" w:hAnsi="宋体" w:cs="宋体"/>
          <w:b/>
          <w:bCs/>
          <w:i w:val="0"/>
          <w:iCs w:val="0"/>
          <w:color w:val="auto"/>
          <w:sz w:val="24"/>
          <w:highlight w:val="none"/>
        </w:rPr>
        <w:t>公告申请人的资格要求中规定的联合</w:t>
      </w:r>
      <w:r>
        <w:rPr>
          <w:rFonts w:hint="eastAsia" w:cs="宋体"/>
          <w:b/>
          <w:bCs/>
          <w:i w:val="0"/>
          <w:iCs w:val="0"/>
          <w:color w:val="auto"/>
          <w:sz w:val="24"/>
          <w:highlight w:val="none"/>
          <w:lang w:val="en-US" w:eastAsia="zh-CN"/>
        </w:rPr>
        <w:t>体</w:t>
      </w:r>
      <w:r>
        <w:rPr>
          <w:rFonts w:hint="eastAsia" w:ascii="宋体" w:hAnsi="宋体" w:cs="宋体"/>
          <w:b/>
          <w:bCs/>
          <w:i w:val="0"/>
          <w:iCs w:val="0"/>
          <w:color w:val="auto"/>
          <w:sz w:val="24"/>
          <w:highlight w:val="none"/>
        </w:rPr>
        <w:t>协议</w:t>
      </w:r>
      <w:r>
        <w:rPr>
          <w:rFonts w:hint="eastAsia" w:cs="宋体"/>
          <w:b/>
          <w:bCs/>
          <w:i w:val="0"/>
          <w:iCs w:val="0"/>
          <w:color w:val="auto"/>
          <w:sz w:val="24"/>
          <w:highlight w:val="none"/>
          <w:lang w:val="en-US" w:eastAsia="zh-CN"/>
        </w:rPr>
        <w:t>书</w:t>
      </w:r>
      <w:r>
        <w:rPr>
          <w:rFonts w:hint="eastAsia" w:ascii="宋体" w:hAnsi="宋体" w:cs="宋体"/>
          <w:b/>
          <w:bCs/>
          <w:i w:val="0"/>
          <w:iCs w:val="0"/>
          <w:color w:val="auto"/>
          <w:sz w:val="24"/>
          <w:highlight w:val="none"/>
        </w:rPr>
        <w:t>中中小企业、小微企业合同金额应当达到的比例要求填写。</w:t>
      </w:r>
      <w:r>
        <w:rPr>
          <w:rFonts w:hint="eastAsia" w:ascii="宋体" w:hAnsi="宋体" w:cs="宋体"/>
          <w:b/>
          <w:bCs/>
          <w:i w:val="0"/>
          <w:iCs w:val="0"/>
          <w:color w:val="auto"/>
          <w:kern w:val="0"/>
          <w:sz w:val="24"/>
          <w:highlight w:val="none"/>
          <w:lang w:val="zh-CN"/>
        </w:rPr>
        <w:t>）</w:t>
      </w:r>
    </w:p>
    <w:p w14:paraId="4180077E">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五、如果</w:t>
      </w:r>
      <w:r>
        <w:rPr>
          <w:rFonts w:hint="eastAsia" w:cs="宋体"/>
          <w:i w:val="0"/>
          <w:iCs w:val="0"/>
          <w:color w:val="auto"/>
          <w:kern w:val="0"/>
          <w:sz w:val="24"/>
          <w:highlight w:val="none"/>
          <w:lang w:val="en-US" w:eastAsia="zh-CN"/>
        </w:rPr>
        <w:t>成交</w:t>
      </w:r>
      <w:r>
        <w:rPr>
          <w:rFonts w:hint="eastAsia" w:ascii="宋体" w:hAnsi="宋体" w:cs="宋体"/>
          <w:i w:val="0"/>
          <w:iCs w:val="0"/>
          <w:color w:val="auto"/>
          <w:kern w:val="0"/>
          <w:sz w:val="24"/>
          <w:highlight w:val="none"/>
          <w:lang w:val="zh-CN"/>
        </w:rPr>
        <w:t>，</w:t>
      </w:r>
      <w:r>
        <w:rPr>
          <w:rFonts w:hint="eastAsia" w:ascii="宋体" w:hAnsi="宋体" w:cs="宋体"/>
          <w:i w:val="0"/>
          <w:iCs w:val="0"/>
          <w:color w:val="auto"/>
          <w:sz w:val="24"/>
          <w:highlight w:val="none"/>
        </w:rPr>
        <w:t>联合体各成员方共同与采购人签订</w:t>
      </w:r>
      <w:r>
        <w:rPr>
          <w:rFonts w:hint="eastAsia" w:ascii="宋体" w:hAnsi="宋体" w:cs="宋体"/>
          <w:i w:val="0"/>
          <w:iCs w:val="0"/>
          <w:color w:val="auto"/>
          <w:sz w:val="24"/>
          <w:highlight w:val="none"/>
          <w:lang w:val="en-US" w:eastAsia="zh-CN"/>
        </w:rPr>
        <w:t>采购</w:t>
      </w:r>
      <w:r>
        <w:rPr>
          <w:rFonts w:hint="eastAsia" w:ascii="宋体" w:hAnsi="宋体" w:cs="宋体"/>
          <w:i w:val="0"/>
          <w:iCs w:val="0"/>
          <w:color w:val="auto"/>
          <w:sz w:val="24"/>
          <w:highlight w:val="none"/>
        </w:rPr>
        <w:t>合同，并就采购合同约定的事项对采购人承担连带责任。</w:t>
      </w:r>
    </w:p>
    <w:p w14:paraId="03CDA342">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六、有关本次联合</w:t>
      </w:r>
      <w:r>
        <w:rPr>
          <w:rFonts w:hint="eastAsia" w:cs="宋体"/>
          <w:i w:val="0"/>
          <w:iCs w:val="0"/>
          <w:color w:val="auto"/>
          <w:kern w:val="0"/>
          <w:sz w:val="24"/>
          <w:highlight w:val="none"/>
          <w:lang w:val="en-US" w:eastAsia="zh-CN"/>
        </w:rPr>
        <w:t>磋商响应</w:t>
      </w:r>
      <w:r>
        <w:rPr>
          <w:rFonts w:hint="eastAsia" w:ascii="宋体" w:hAnsi="宋体" w:cs="宋体"/>
          <w:i w:val="0"/>
          <w:iCs w:val="0"/>
          <w:color w:val="auto"/>
          <w:kern w:val="0"/>
          <w:sz w:val="24"/>
          <w:highlight w:val="none"/>
          <w:lang w:val="zh-CN"/>
        </w:rPr>
        <w:t>的其他事宜：</w:t>
      </w:r>
    </w:p>
    <w:p w14:paraId="165BD0A8">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1、联合体各方不再单独参加或者与其他供应商另外组成联合体参加同一合同项下的政府采购活动。</w:t>
      </w:r>
    </w:p>
    <w:p w14:paraId="60972AC4">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2、联合体中有同类资质的各方按照联合体分工承担相同工作的，按照资质等级较低的供应商确定资质等级。</w:t>
      </w:r>
    </w:p>
    <w:p w14:paraId="6C9CF372">
      <w:pPr>
        <w:snapToGrid w:val="0"/>
        <w:spacing w:line="360" w:lineRule="auto"/>
        <w:ind w:firstLine="576"/>
        <w:rPr>
          <w:rFonts w:hint="eastAsia"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3、本协议提交采购人、采购代理机构后，联合体各方不得以任何形式对上述内容进行修改或撤销。</w:t>
      </w:r>
    </w:p>
    <w:p w14:paraId="11CAE978">
      <w:pPr>
        <w:snapToGrid w:val="0"/>
        <w:spacing w:line="360" w:lineRule="auto"/>
        <w:ind w:firstLine="576"/>
        <w:rPr>
          <w:rFonts w:hint="eastAsia" w:ascii="宋体" w:hAnsi="宋体" w:cs="宋体"/>
          <w:i w:val="0"/>
          <w:iCs w:val="0"/>
          <w:color w:val="auto"/>
          <w:kern w:val="0"/>
          <w:sz w:val="24"/>
          <w:highlight w:val="none"/>
          <w:lang w:val="zh-CN"/>
        </w:rPr>
      </w:pPr>
      <w:r>
        <w:rPr>
          <w:rFonts w:hint="eastAsia" w:cs="宋体"/>
          <w:i w:val="0"/>
          <w:iCs w:val="0"/>
          <w:color w:val="auto"/>
          <w:kern w:val="0"/>
          <w:sz w:val="24"/>
          <w:highlight w:val="none"/>
          <w:lang w:val="en-US" w:eastAsia="zh-CN"/>
        </w:rPr>
        <w:t>4、</w:t>
      </w:r>
      <w:r>
        <w:rPr>
          <w:rFonts w:hint="eastAsia" w:ascii="宋体" w:hAnsi="宋体" w:cs="宋体"/>
          <w:i w:val="0"/>
          <w:iCs w:val="0"/>
          <w:color w:val="auto"/>
          <w:kern w:val="0"/>
          <w:sz w:val="24"/>
          <w:highlight w:val="none"/>
          <w:lang w:val="zh-CN"/>
        </w:rPr>
        <w:t>其他：……</w:t>
      </w:r>
    </w:p>
    <w:p w14:paraId="24B824C8">
      <w:pPr>
        <w:snapToGrid w:val="0"/>
        <w:spacing w:line="360" w:lineRule="auto"/>
        <w:ind w:firstLine="576"/>
        <w:rPr>
          <w:rFonts w:hint="eastAsia" w:ascii="宋体" w:hAnsi="宋体" w:cs="宋体"/>
          <w:i w:val="0"/>
          <w:iCs w:val="0"/>
          <w:color w:val="auto"/>
          <w:kern w:val="0"/>
          <w:sz w:val="24"/>
          <w:highlight w:val="none"/>
          <w:lang w:val="zh-CN"/>
        </w:rPr>
      </w:pPr>
      <w:r>
        <w:rPr>
          <w:rFonts w:hint="eastAsia" w:cs="宋体"/>
          <w:i w:val="0"/>
          <w:iCs w:val="0"/>
          <w:color w:val="auto"/>
          <w:kern w:val="0"/>
          <w:sz w:val="24"/>
          <w:highlight w:val="none"/>
          <w:lang w:val="en-US" w:eastAsia="zh-CN"/>
        </w:rPr>
        <w:t>5、</w:t>
      </w:r>
      <w:r>
        <w:rPr>
          <w:rFonts w:hint="eastAsia" w:ascii="宋体" w:hAnsi="宋体" w:cs="宋体"/>
          <w:i w:val="0"/>
          <w:iCs w:val="0"/>
          <w:color w:val="auto"/>
          <w:kern w:val="0"/>
          <w:sz w:val="24"/>
          <w:highlight w:val="none"/>
          <w:lang w:val="zh-CN"/>
        </w:rPr>
        <w:t>本协议书自签署之日起生效，若未</w:t>
      </w:r>
      <w:r>
        <w:rPr>
          <w:rFonts w:hint="eastAsia" w:cs="宋体"/>
          <w:i w:val="0"/>
          <w:iCs w:val="0"/>
          <w:color w:val="auto"/>
          <w:kern w:val="0"/>
          <w:sz w:val="24"/>
          <w:highlight w:val="none"/>
          <w:lang w:val="en-US" w:eastAsia="zh-CN"/>
        </w:rPr>
        <w:t>成交</w:t>
      </w:r>
      <w:r>
        <w:rPr>
          <w:rFonts w:hint="eastAsia" w:ascii="宋体" w:hAnsi="宋体" w:cs="宋体"/>
          <w:i w:val="0"/>
          <w:iCs w:val="0"/>
          <w:color w:val="auto"/>
          <w:kern w:val="0"/>
          <w:sz w:val="24"/>
          <w:highlight w:val="none"/>
          <w:lang w:val="zh-CN"/>
        </w:rPr>
        <w:t>，自本</w:t>
      </w:r>
      <w:r>
        <w:rPr>
          <w:rFonts w:hint="eastAsia" w:cs="宋体"/>
          <w:i w:val="0"/>
          <w:iCs w:val="0"/>
          <w:color w:val="auto"/>
          <w:kern w:val="0"/>
          <w:sz w:val="24"/>
          <w:highlight w:val="none"/>
          <w:lang w:val="en-US" w:eastAsia="zh-CN"/>
        </w:rPr>
        <w:t>响应文件</w:t>
      </w:r>
      <w:r>
        <w:rPr>
          <w:rFonts w:hint="eastAsia" w:ascii="宋体" w:hAnsi="宋体" w:cs="宋体"/>
          <w:i w:val="0"/>
          <w:iCs w:val="0"/>
          <w:color w:val="auto"/>
          <w:kern w:val="0"/>
          <w:sz w:val="24"/>
          <w:highlight w:val="none"/>
          <w:lang w:val="zh-CN"/>
        </w:rPr>
        <w:t>有效期结束后自行失效；若</w:t>
      </w:r>
      <w:r>
        <w:rPr>
          <w:rFonts w:hint="eastAsia" w:cs="宋体"/>
          <w:i w:val="0"/>
          <w:iCs w:val="0"/>
          <w:color w:val="auto"/>
          <w:kern w:val="0"/>
          <w:sz w:val="24"/>
          <w:highlight w:val="none"/>
          <w:lang w:val="en-US" w:eastAsia="zh-CN"/>
        </w:rPr>
        <w:t>成交</w:t>
      </w:r>
      <w:r>
        <w:rPr>
          <w:rFonts w:hint="eastAsia" w:ascii="宋体" w:hAnsi="宋体" w:cs="宋体"/>
          <w:i w:val="0"/>
          <w:iCs w:val="0"/>
          <w:color w:val="auto"/>
          <w:kern w:val="0"/>
          <w:sz w:val="24"/>
          <w:highlight w:val="none"/>
          <w:lang w:val="zh-CN"/>
        </w:rPr>
        <w:t>，自合同书规定的期限之后自行失效。</w:t>
      </w:r>
    </w:p>
    <w:p w14:paraId="5B89538A">
      <w:pPr>
        <w:snapToGrid w:val="0"/>
        <w:spacing w:line="360" w:lineRule="auto"/>
        <w:ind w:firstLine="576"/>
        <w:rPr>
          <w:rFonts w:hint="eastAsia" w:ascii="宋体" w:hAnsi="宋体" w:cs="宋体"/>
          <w:i w:val="0"/>
          <w:iCs w:val="0"/>
          <w:color w:val="auto"/>
          <w:kern w:val="0"/>
          <w:sz w:val="24"/>
          <w:highlight w:val="none"/>
          <w:lang w:val="zh-CN"/>
        </w:rPr>
      </w:pPr>
      <w:r>
        <w:rPr>
          <w:rFonts w:hint="eastAsia" w:cs="宋体"/>
          <w:i w:val="0"/>
          <w:iCs w:val="0"/>
          <w:color w:val="auto"/>
          <w:kern w:val="0"/>
          <w:sz w:val="24"/>
          <w:highlight w:val="none"/>
          <w:lang w:val="en-US" w:eastAsia="zh-CN"/>
        </w:rPr>
        <w:t>6、</w:t>
      </w:r>
      <w:r>
        <w:rPr>
          <w:rFonts w:hint="eastAsia" w:ascii="宋体" w:hAnsi="宋体" w:cs="宋体"/>
          <w:i w:val="0"/>
          <w:iCs w:val="0"/>
          <w:color w:val="auto"/>
          <w:kern w:val="0"/>
          <w:sz w:val="24"/>
          <w:highlight w:val="none"/>
          <w:lang w:val="zh-CN"/>
        </w:rPr>
        <w:t>本协议书正本一式</w:t>
      </w:r>
      <w:r>
        <w:rPr>
          <w:rFonts w:hint="eastAsia" w:ascii="宋体" w:hAnsi="宋体" w:cs="宋体"/>
          <w:i w:val="0"/>
          <w:iCs w:val="0"/>
          <w:color w:val="auto"/>
          <w:kern w:val="0"/>
          <w:sz w:val="24"/>
          <w:highlight w:val="none"/>
          <w:u w:val="single"/>
          <w:lang w:val="zh-CN"/>
        </w:rPr>
        <w:t xml:space="preserve">    </w:t>
      </w:r>
      <w:r>
        <w:rPr>
          <w:rFonts w:hint="eastAsia" w:ascii="宋体" w:hAnsi="宋体" w:cs="宋体"/>
          <w:i w:val="0"/>
          <w:iCs w:val="0"/>
          <w:color w:val="auto"/>
          <w:kern w:val="0"/>
          <w:sz w:val="24"/>
          <w:highlight w:val="none"/>
          <w:lang w:val="zh-CN"/>
        </w:rPr>
        <w:t>份，联合体成员各执</w:t>
      </w:r>
      <w:r>
        <w:rPr>
          <w:rFonts w:hint="eastAsia" w:ascii="宋体" w:hAnsi="宋体" w:cs="宋体"/>
          <w:i w:val="0"/>
          <w:iCs w:val="0"/>
          <w:color w:val="auto"/>
          <w:kern w:val="0"/>
          <w:sz w:val="24"/>
          <w:highlight w:val="none"/>
          <w:u w:val="single"/>
          <w:lang w:val="zh-CN"/>
        </w:rPr>
        <w:t xml:space="preserve">    </w:t>
      </w:r>
      <w:r>
        <w:rPr>
          <w:rFonts w:hint="eastAsia" w:ascii="宋体" w:hAnsi="宋体" w:cs="宋体"/>
          <w:i w:val="0"/>
          <w:iCs w:val="0"/>
          <w:color w:val="auto"/>
          <w:kern w:val="0"/>
          <w:sz w:val="24"/>
          <w:highlight w:val="none"/>
          <w:lang w:val="zh-CN"/>
        </w:rPr>
        <w:t>份；副本一式</w:t>
      </w:r>
      <w:r>
        <w:rPr>
          <w:rFonts w:hint="eastAsia" w:ascii="宋体" w:hAnsi="宋体" w:cs="宋体"/>
          <w:i w:val="0"/>
          <w:iCs w:val="0"/>
          <w:color w:val="auto"/>
          <w:kern w:val="0"/>
          <w:sz w:val="24"/>
          <w:highlight w:val="none"/>
          <w:u w:val="single"/>
          <w:lang w:val="zh-CN"/>
        </w:rPr>
        <w:t xml:space="preserve">    </w:t>
      </w:r>
      <w:r>
        <w:rPr>
          <w:rFonts w:hint="eastAsia" w:ascii="宋体" w:hAnsi="宋体" w:cs="宋体"/>
          <w:i w:val="0"/>
          <w:iCs w:val="0"/>
          <w:color w:val="auto"/>
          <w:kern w:val="0"/>
          <w:sz w:val="24"/>
          <w:highlight w:val="none"/>
          <w:lang w:val="zh-CN"/>
        </w:rPr>
        <w:t>份，联合体成员各执</w:t>
      </w:r>
      <w:r>
        <w:rPr>
          <w:rFonts w:hint="eastAsia" w:ascii="宋体" w:hAnsi="宋体" w:cs="宋体"/>
          <w:i w:val="0"/>
          <w:iCs w:val="0"/>
          <w:color w:val="auto"/>
          <w:kern w:val="0"/>
          <w:sz w:val="24"/>
          <w:highlight w:val="none"/>
          <w:u w:val="single"/>
          <w:lang w:val="zh-CN"/>
        </w:rPr>
        <w:t xml:space="preserve">     </w:t>
      </w:r>
      <w:r>
        <w:rPr>
          <w:rFonts w:hint="eastAsia" w:ascii="宋体" w:hAnsi="宋体" w:cs="宋体"/>
          <w:i w:val="0"/>
          <w:iCs w:val="0"/>
          <w:color w:val="auto"/>
          <w:kern w:val="0"/>
          <w:sz w:val="24"/>
          <w:highlight w:val="none"/>
          <w:lang w:val="zh-CN"/>
        </w:rPr>
        <w:t>份。</w:t>
      </w:r>
    </w:p>
    <w:p w14:paraId="43FA2E3D">
      <w:pPr>
        <w:pStyle w:val="5"/>
        <w:rPr>
          <w:i w:val="0"/>
          <w:iCs w:val="0"/>
          <w:color w:val="auto"/>
          <w:highlight w:val="none"/>
          <w:lang w:val="zh-CN"/>
        </w:rPr>
      </w:pPr>
    </w:p>
    <w:p w14:paraId="5B123013">
      <w:pPr>
        <w:snapToGrid w:val="0"/>
        <w:spacing w:line="360" w:lineRule="auto"/>
        <w:ind w:firstLine="3840" w:firstLineChars="1600"/>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联合体成员</w:t>
      </w:r>
      <w:r>
        <w:rPr>
          <w:rFonts w:hint="eastAsia" w:ascii="宋体" w:hAnsi="宋体" w:cs="宋体"/>
          <w:i w:val="0"/>
          <w:iCs w:val="0"/>
          <w:color w:val="auto"/>
          <w:kern w:val="0"/>
          <w:sz w:val="24"/>
          <w:highlight w:val="none"/>
          <w:lang w:val="en-US" w:eastAsia="zh-CN"/>
        </w:rPr>
        <w:t>1</w:t>
      </w:r>
      <w:r>
        <w:rPr>
          <w:rFonts w:hint="eastAsia" w:ascii="宋体" w:hAnsi="宋体" w:cs="宋体"/>
          <w:i w:val="0"/>
          <w:iCs w:val="0"/>
          <w:color w:val="auto"/>
          <w:kern w:val="0"/>
          <w:sz w:val="24"/>
          <w:highlight w:val="none"/>
          <w:lang w:val="zh-CN"/>
        </w:rPr>
        <w:t>名称(公章)：</w:t>
      </w:r>
    </w:p>
    <w:p w14:paraId="1CAA91AD">
      <w:pPr>
        <w:snapToGrid w:val="0"/>
        <w:spacing w:line="360" w:lineRule="auto"/>
        <w:ind w:firstLine="3840" w:firstLineChars="1600"/>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联合体成员</w:t>
      </w:r>
      <w:r>
        <w:rPr>
          <w:rFonts w:hint="eastAsia" w:ascii="宋体" w:hAnsi="宋体" w:cs="宋体"/>
          <w:i w:val="0"/>
          <w:iCs w:val="0"/>
          <w:color w:val="auto"/>
          <w:kern w:val="0"/>
          <w:sz w:val="24"/>
          <w:highlight w:val="none"/>
          <w:lang w:val="en-US" w:eastAsia="zh-CN"/>
        </w:rPr>
        <w:t>2</w:t>
      </w:r>
      <w:r>
        <w:rPr>
          <w:rFonts w:hint="eastAsia" w:ascii="宋体" w:hAnsi="宋体" w:cs="宋体"/>
          <w:i w:val="0"/>
          <w:iCs w:val="0"/>
          <w:color w:val="auto"/>
          <w:kern w:val="0"/>
          <w:sz w:val="24"/>
          <w:highlight w:val="none"/>
          <w:lang w:val="zh-CN"/>
        </w:rPr>
        <w:t>名称(公章)：</w:t>
      </w:r>
    </w:p>
    <w:p w14:paraId="130230E8">
      <w:pPr>
        <w:snapToGrid w:val="0"/>
        <w:spacing w:line="360" w:lineRule="auto"/>
        <w:ind w:right="960"/>
        <w:jc w:val="center"/>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 xml:space="preserve">                   ……</w:t>
      </w:r>
    </w:p>
    <w:p w14:paraId="5A6CDABD">
      <w:pPr>
        <w:snapToGrid w:val="0"/>
        <w:spacing w:line="360" w:lineRule="auto"/>
        <w:jc w:val="right"/>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日期：  年  月   日</w:t>
      </w:r>
    </w:p>
    <w:p w14:paraId="73B8A053">
      <w:pPr>
        <w:spacing w:line="360" w:lineRule="auto"/>
        <w:ind w:right="420"/>
        <w:rPr>
          <w:rFonts w:ascii="宋体" w:hAnsi="宋体" w:cs="宋体"/>
          <w:i w:val="0"/>
          <w:iCs w:val="0"/>
          <w:color w:val="auto"/>
          <w:sz w:val="24"/>
          <w:highlight w:val="none"/>
        </w:rPr>
      </w:pPr>
      <w:r>
        <w:rPr>
          <w:rFonts w:hint="eastAsia" w:ascii="宋体" w:hAnsi="宋体" w:cs="宋体"/>
          <w:i w:val="0"/>
          <w:iCs w:val="0"/>
          <w:color w:val="auto"/>
          <w:sz w:val="21"/>
          <w:szCs w:val="21"/>
          <w:highlight w:val="none"/>
        </w:rPr>
        <w:t>注：按本格式和要求提供。</w:t>
      </w:r>
    </w:p>
    <w:p w14:paraId="0BF11ADC">
      <w:pPr>
        <w:keepNext w:val="0"/>
        <w:keepLines w:val="0"/>
        <w:pageBreakBefore w:val="0"/>
        <w:kinsoku/>
        <w:overflowPunct/>
        <w:topLinePunct w:val="0"/>
        <w:autoSpaceDE/>
        <w:autoSpaceDN/>
        <w:bidi w:val="0"/>
        <w:spacing w:before="157" w:beforeLines="50" w:after="157" w:afterLines="50"/>
        <w:ind w:left="2520" w:leftChars="1050"/>
        <w:textAlignment w:val="auto"/>
        <w:rPr>
          <w:rFonts w:cs="Tahoma"/>
          <w:i w:val="0"/>
          <w:iCs w:val="0"/>
          <w:color w:val="auto"/>
          <w:highlight w:val="none"/>
          <w:u w:val="single"/>
        </w:rPr>
      </w:pPr>
      <w:r>
        <w:rPr>
          <w:rFonts w:cs="Tahoma"/>
          <w:i w:val="0"/>
          <w:iCs w:val="0"/>
          <w:color w:val="auto"/>
          <w:highlight w:val="none"/>
          <w:u w:val="single"/>
        </w:rPr>
        <w:br w:type="page"/>
      </w:r>
    </w:p>
    <w:p w14:paraId="7C6F5E4E">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28"/>
          <w:szCs w:val="28"/>
          <w:highlight w:val="none"/>
          <w:lang w:val="zh-CN" w:eastAsia="zh-CN" w:bidi="ar-SA"/>
        </w:rPr>
      </w:pPr>
      <w:bookmarkStart w:id="653" w:name="_Toc156490356"/>
      <w:bookmarkStart w:id="654" w:name="_Toc162299566"/>
      <w:bookmarkStart w:id="655" w:name="_Toc722"/>
      <w:bookmarkStart w:id="656" w:name="_Toc163492925"/>
      <w:bookmarkStart w:id="657" w:name="_Hlk101169080"/>
      <w:r>
        <w:rPr>
          <w:rFonts w:hint="eastAsia" w:ascii="等线 Light" w:hAnsi="等线 Light" w:eastAsia="宋体" w:cs="宋体"/>
          <w:b/>
          <w:bCs/>
          <w:i w:val="0"/>
          <w:iCs w:val="0"/>
          <w:color w:val="auto"/>
          <w:kern w:val="2"/>
          <w:sz w:val="28"/>
          <w:szCs w:val="28"/>
          <w:highlight w:val="none"/>
          <w:lang w:val="en-US" w:eastAsia="zh-CN" w:bidi="ar-SA"/>
        </w:rPr>
        <w:t>三、</w:t>
      </w:r>
      <w:r>
        <w:rPr>
          <w:rFonts w:hint="eastAsia" w:ascii="等线 Light" w:hAnsi="等线 Light" w:eastAsia="宋体" w:cs="宋体"/>
          <w:b/>
          <w:bCs/>
          <w:i w:val="0"/>
          <w:iCs w:val="0"/>
          <w:color w:val="auto"/>
          <w:kern w:val="2"/>
          <w:sz w:val="28"/>
          <w:szCs w:val="28"/>
          <w:highlight w:val="none"/>
          <w:lang w:val="zh-CN" w:eastAsia="zh-CN" w:bidi="ar-SA"/>
        </w:rPr>
        <w:t>分包意向协议书【如适用】</w:t>
      </w:r>
      <w:bookmarkEnd w:id="653"/>
      <w:bookmarkEnd w:id="654"/>
      <w:bookmarkEnd w:id="655"/>
      <w:bookmarkEnd w:id="656"/>
    </w:p>
    <w:p w14:paraId="2423B42D">
      <w:pPr>
        <w:snapToGrid w:val="0"/>
        <w:spacing w:line="360" w:lineRule="auto"/>
        <w:jc w:val="center"/>
        <w:outlineLvl w:val="0"/>
        <w:rPr>
          <w:rFonts w:hint="eastAsia" w:ascii="宋体" w:hAnsi="宋体" w:cs="宋体"/>
          <w:b/>
          <w:i w:val="0"/>
          <w:iCs w:val="0"/>
          <w:color w:val="auto"/>
          <w:kern w:val="0"/>
          <w:sz w:val="32"/>
          <w:szCs w:val="32"/>
          <w:highlight w:val="none"/>
        </w:rPr>
      </w:pPr>
    </w:p>
    <w:p w14:paraId="61975632">
      <w:pPr>
        <w:snapToGrid w:val="0"/>
        <w:spacing w:line="360" w:lineRule="auto"/>
        <w:jc w:val="center"/>
        <w:outlineLvl w:val="0"/>
        <w:rPr>
          <w:rFonts w:hint="eastAsia" w:ascii="宋体" w:hAnsi="宋体" w:eastAsia="宋体" w:cs="宋体"/>
          <w:b/>
          <w:i w:val="0"/>
          <w:iCs w:val="0"/>
          <w:color w:val="auto"/>
          <w:kern w:val="0"/>
          <w:sz w:val="32"/>
          <w:szCs w:val="32"/>
          <w:highlight w:val="none"/>
          <w:lang w:val="en-US" w:eastAsia="zh-CN"/>
        </w:rPr>
      </w:pPr>
      <w:bookmarkStart w:id="658" w:name="_Toc28098"/>
      <w:bookmarkStart w:id="659" w:name="_Toc28256"/>
      <w:r>
        <w:rPr>
          <w:rFonts w:hint="eastAsia" w:ascii="宋体" w:hAnsi="宋体" w:cs="宋体"/>
          <w:b/>
          <w:i w:val="0"/>
          <w:iCs w:val="0"/>
          <w:color w:val="auto"/>
          <w:kern w:val="0"/>
          <w:sz w:val="32"/>
          <w:szCs w:val="32"/>
          <w:highlight w:val="none"/>
        </w:rPr>
        <w:t>分包意向协议</w:t>
      </w:r>
      <w:r>
        <w:rPr>
          <w:rFonts w:hint="eastAsia" w:ascii="宋体" w:hAnsi="宋体" w:cs="宋体"/>
          <w:b/>
          <w:i w:val="0"/>
          <w:iCs w:val="0"/>
          <w:color w:val="auto"/>
          <w:kern w:val="0"/>
          <w:sz w:val="32"/>
          <w:szCs w:val="32"/>
          <w:highlight w:val="none"/>
          <w:lang w:val="en-US" w:eastAsia="zh-CN"/>
        </w:rPr>
        <w:t>书</w:t>
      </w:r>
      <w:bookmarkEnd w:id="658"/>
      <w:bookmarkEnd w:id="659"/>
    </w:p>
    <w:p w14:paraId="15F8C311">
      <w:pPr>
        <w:widowControl/>
        <w:spacing w:line="360" w:lineRule="auto"/>
        <w:ind w:firstLine="120" w:firstLineChars="50"/>
        <w:jc w:val="left"/>
        <w:rPr>
          <w:rFonts w:ascii="宋体" w:hAnsi="宋体" w:cs="宋体"/>
          <w:i w:val="0"/>
          <w:iCs w:val="0"/>
          <w:color w:val="auto"/>
          <w:sz w:val="24"/>
          <w:highlight w:val="none"/>
        </w:rPr>
      </w:pPr>
      <w:r>
        <w:rPr>
          <w:rFonts w:hint="eastAsia" w:ascii="宋体" w:hAnsi="宋体" w:cs="宋体"/>
          <w:i w:val="0"/>
          <w:iCs w:val="0"/>
          <w:color w:val="auto"/>
          <w:sz w:val="24"/>
          <w:highlight w:val="none"/>
        </w:rPr>
        <w:t>（</w:t>
      </w:r>
      <w:r>
        <w:rPr>
          <w:rFonts w:hint="eastAsia" w:cs="宋体"/>
          <w:b/>
          <w:i w:val="0"/>
          <w:iCs w:val="0"/>
          <w:color w:val="auto"/>
          <w:sz w:val="24"/>
          <w:highlight w:val="none"/>
          <w:lang w:val="en-US" w:eastAsia="zh-CN"/>
        </w:rPr>
        <w:t>成交</w:t>
      </w:r>
      <w:r>
        <w:rPr>
          <w:rFonts w:hint="eastAsia" w:ascii="宋体" w:hAnsi="宋体" w:cs="宋体"/>
          <w:b/>
          <w:i w:val="0"/>
          <w:iCs w:val="0"/>
          <w:color w:val="auto"/>
          <w:sz w:val="24"/>
          <w:highlight w:val="none"/>
        </w:rPr>
        <w:t>后以分包方式履行合同的，提供分包意向协议</w:t>
      </w:r>
      <w:r>
        <w:rPr>
          <w:rFonts w:hint="eastAsia" w:cs="宋体"/>
          <w:b/>
          <w:i w:val="0"/>
          <w:iCs w:val="0"/>
          <w:color w:val="auto"/>
          <w:sz w:val="24"/>
          <w:highlight w:val="none"/>
          <w:lang w:val="en-US" w:eastAsia="zh-CN"/>
        </w:rPr>
        <w:t>书</w:t>
      </w:r>
      <w:r>
        <w:rPr>
          <w:rFonts w:hint="eastAsia" w:ascii="宋体" w:hAnsi="宋体" w:cs="宋体"/>
          <w:b/>
          <w:i w:val="0"/>
          <w:iCs w:val="0"/>
          <w:color w:val="auto"/>
          <w:sz w:val="24"/>
          <w:highlight w:val="none"/>
        </w:rPr>
        <w:t>；采购人不同意分包或者</w:t>
      </w:r>
      <w:r>
        <w:rPr>
          <w:rFonts w:hint="eastAsia" w:cs="宋体"/>
          <w:b/>
          <w:i w:val="0"/>
          <w:iCs w:val="0"/>
          <w:color w:val="auto"/>
          <w:sz w:val="24"/>
          <w:highlight w:val="none"/>
          <w:lang w:val="en-US" w:eastAsia="zh-CN"/>
        </w:rPr>
        <w:t>供应商成交</w:t>
      </w:r>
      <w:r>
        <w:rPr>
          <w:rFonts w:hint="eastAsia" w:ascii="宋体" w:hAnsi="宋体" w:cs="宋体"/>
          <w:b/>
          <w:i w:val="0"/>
          <w:iCs w:val="0"/>
          <w:color w:val="auto"/>
          <w:sz w:val="24"/>
          <w:highlight w:val="none"/>
        </w:rPr>
        <w:t>后不以分包方式履行合同的，则不需要提供。</w:t>
      </w:r>
      <w:r>
        <w:rPr>
          <w:rFonts w:hint="eastAsia" w:ascii="宋体" w:hAnsi="宋体" w:cs="宋体"/>
          <w:i w:val="0"/>
          <w:iCs w:val="0"/>
          <w:color w:val="auto"/>
          <w:sz w:val="24"/>
          <w:highlight w:val="none"/>
        </w:rPr>
        <w:t>）</w:t>
      </w:r>
    </w:p>
    <w:p w14:paraId="43C64321">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u w:val="single"/>
        </w:rPr>
        <w:t>（</w:t>
      </w:r>
      <w:r>
        <w:rPr>
          <w:rFonts w:hint="eastAsia" w:cs="宋体"/>
          <w:i w:val="0"/>
          <w:iCs w:val="0"/>
          <w:color w:val="auto"/>
          <w:kern w:val="0"/>
          <w:sz w:val="24"/>
          <w:highlight w:val="none"/>
          <w:u w:val="single"/>
          <w:lang w:val="en-US" w:eastAsia="zh-CN"/>
        </w:rPr>
        <w:t>供应商</w:t>
      </w:r>
      <w:r>
        <w:rPr>
          <w:rFonts w:hint="eastAsia" w:ascii="宋体" w:hAnsi="宋体" w:cs="宋体"/>
          <w:i w:val="0"/>
          <w:iCs w:val="0"/>
          <w:color w:val="auto"/>
          <w:kern w:val="0"/>
          <w:sz w:val="24"/>
          <w:highlight w:val="none"/>
          <w:u w:val="single"/>
        </w:rPr>
        <w:t>名称）</w:t>
      </w:r>
      <w:r>
        <w:rPr>
          <w:rFonts w:hint="eastAsia" w:ascii="宋体" w:hAnsi="宋体" w:cs="宋体"/>
          <w:i w:val="0"/>
          <w:iCs w:val="0"/>
          <w:color w:val="auto"/>
          <w:kern w:val="0"/>
          <w:sz w:val="24"/>
          <w:highlight w:val="none"/>
          <w:lang w:val="zh-CN"/>
        </w:rPr>
        <w:t>若成为</w:t>
      </w:r>
      <w:r>
        <w:rPr>
          <w:rFonts w:hint="eastAsia" w:ascii="宋体" w:hAnsi="宋体" w:cs="宋体"/>
          <w:i w:val="0"/>
          <w:iCs w:val="0"/>
          <w:color w:val="auto"/>
          <w:sz w:val="24"/>
          <w:highlight w:val="none"/>
          <w:u w:val="single"/>
        </w:rPr>
        <w:t>（项目名称）</w:t>
      </w:r>
      <w:r>
        <w:rPr>
          <w:rFonts w:hint="eastAsia" w:cs="宋体"/>
          <w:i w:val="0"/>
          <w:iCs w:val="0"/>
          <w:color w:val="auto"/>
          <w:sz w:val="24"/>
          <w:highlight w:val="none"/>
          <w:u w:val="single"/>
          <w:lang w:val="en-US" w:eastAsia="zh-CN"/>
        </w:rPr>
        <w:t xml:space="preserve"> </w:t>
      </w:r>
      <w:r>
        <w:rPr>
          <w:rFonts w:hint="eastAsia" w:ascii="宋体" w:hAnsi="宋体" w:cs="宋体"/>
          <w:i w:val="0"/>
          <w:iCs w:val="0"/>
          <w:color w:val="auto"/>
          <w:sz w:val="24"/>
          <w:highlight w:val="none"/>
        </w:rPr>
        <w:t>【</w:t>
      </w:r>
      <w:r>
        <w:rPr>
          <w:rFonts w:hint="eastAsia" w:cs="宋体"/>
          <w:i w:val="0"/>
          <w:iCs w:val="0"/>
          <w:color w:val="auto"/>
          <w:sz w:val="24"/>
          <w:highlight w:val="none"/>
          <w:lang w:val="en-US" w:eastAsia="zh-CN"/>
        </w:rPr>
        <w:t>项目</w:t>
      </w:r>
      <w:r>
        <w:rPr>
          <w:rFonts w:hint="eastAsia" w:ascii="宋体" w:hAnsi="宋体" w:cs="宋体"/>
          <w:i w:val="0"/>
          <w:iCs w:val="0"/>
          <w:color w:val="auto"/>
          <w:sz w:val="24"/>
          <w:highlight w:val="none"/>
        </w:rPr>
        <w:t>编号</w:t>
      </w:r>
      <w:r>
        <w:rPr>
          <w:rFonts w:hint="eastAsia" w:cs="宋体"/>
          <w:i w:val="0"/>
          <w:iCs w:val="0"/>
          <w:color w:val="auto"/>
          <w:sz w:val="24"/>
          <w:highlight w:val="none"/>
          <w:lang w:val="en-US" w:eastAsia="zh-CN"/>
        </w:rPr>
        <w:t>/包号</w:t>
      </w:r>
      <w:r>
        <w:rPr>
          <w:rFonts w:hint="eastAsia" w:ascii="宋体" w:hAnsi="宋体" w:cs="宋体"/>
          <w:i w:val="0"/>
          <w:iCs w:val="0"/>
          <w:color w:val="auto"/>
          <w:sz w:val="24"/>
          <w:highlight w:val="none"/>
        </w:rPr>
        <w:t>：</w:t>
      </w:r>
      <w:r>
        <w:rPr>
          <w:rFonts w:hint="eastAsia" w:cs="宋体"/>
          <w:i w:val="0"/>
          <w:iCs w:val="0"/>
          <w:color w:val="auto"/>
          <w:sz w:val="24"/>
          <w:highlight w:val="none"/>
          <w:lang w:val="en-US" w:eastAsia="zh-CN"/>
        </w:rPr>
        <w:t xml:space="preserve">    </w:t>
      </w:r>
      <w:r>
        <w:rPr>
          <w:rFonts w:hint="eastAsia" w:ascii="宋体" w:hAnsi="宋体" w:cs="宋体"/>
          <w:i w:val="0"/>
          <w:iCs w:val="0"/>
          <w:color w:val="auto"/>
          <w:sz w:val="24"/>
          <w:highlight w:val="none"/>
        </w:rPr>
        <w:t>】</w:t>
      </w:r>
      <w:r>
        <w:rPr>
          <w:rFonts w:hint="eastAsia" w:ascii="宋体" w:hAnsi="宋体" w:cs="宋体"/>
          <w:i w:val="0"/>
          <w:iCs w:val="0"/>
          <w:color w:val="auto"/>
          <w:kern w:val="0"/>
          <w:sz w:val="24"/>
          <w:highlight w:val="none"/>
          <w:lang w:val="zh-CN"/>
        </w:rPr>
        <w:t>的</w:t>
      </w:r>
      <w:r>
        <w:rPr>
          <w:rFonts w:hint="eastAsia" w:cs="宋体"/>
          <w:i w:val="0"/>
          <w:iCs w:val="0"/>
          <w:color w:val="auto"/>
          <w:kern w:val="0"/>
          <w:sz w:val="24"/>
          <w:highlight w:val="none"/>
          <w:lang w:val="en-US" w:eastAsia="zh-CN"/>
        </w:rPr>
        <w:t>成交</w:t>
      </w:r>
      <w:r>
        <w:rPr>
          <w:rFonts w:hint="eastAsia" w:ascii="宋体" w:hAnsi="宋体" w:cs="宋体"/>
          <w:i w:val="0"/>
          <w:iCs w:val="0"/>
          <w:color w:val="auto"/>
          <w:kern w:val="0"/>
          <w:sz w:val="24"/>
          <w:highlight w:val="none"/>
          <w:lang w:val="zh-CN"/>
        </w:rPr>
        <w:t>供应商，将依法采取分包方式履行合同。</w:t>
      </w:r>
      <w:r>
        <w:rPr>
          <w:rFonts w:hint="eastAsia" w:ascii="宋体" w:hAnsi="宋体" w:cs="宋体"/>
          <w:i w:val="0"/>
          <w:iCs w:val="0"/>
          <w:color w:val="auto"/>
          <w:kern w:val="0"/>
          <w:sz w:val="24"/>
          <w:highlight w:val="none"/>
          <w:u w:val="single"/>
        </w:rPr>
        <w:t>（</w:t>
      </w:r>
      <w:r>
        <w:rPr>
          <w:rFonts w:hint="eastAsia" w:cs="宋体"/>
          <w:i w:val="0"/>
          <w:iCs w:val="0"/>
          <w:color w:val="auto"/>
          <w:kern w:val="0"/>
          <w:sz w:val="24"/>
          <w:highlight w:val="none"/>
          <w:u w:val="single"/>
          <w:lang w:val="en-US" w:eastAsia="zh-CN"/>
        </w:rPr>
        <w:t>供应商</w:t>
      </w:r>
      <w:r>
        <w:rPr>
          <w:rFonts w:hint="eastAsia" w:ascii="宋体" w:hAnsi="宋体" w:cs="宋体"/>
          <w:i w:val="0"/>
          <w:iCs w:val="0"/>
          <w:color w:val="auto"/>
          <w:kern w:val="0"/>
          <w:sz w:val="24"/>
          <w:highlight w:val="none"/>
          <w:u w:val="single"/>
        </w:rPr>
        <w:t>名称）</w:t>
      </w:r>
      <w:r>
        <w:rPr>
          <w:rFonts w:hint="eastAsia" w:ascii="宋体" w:hAnsi="宋体" w:cs="宋体"/>
          <w:i w:val="0"/>
          <w:iCs w:val="0"/>
          <w:color w:val="auto"/>
          <w:kern w:val="0"/>
          <w:sz w:val="24"/>
          <w:highlight w:val="none"/>
        </w:rPr>
        <w:t>与</w:t>
      </w:r>
      <w:r>
        <w:rPr>
          <w:rFonts w:hint="eastAsia" w:ascii="宋体" w:hAnsi="宋体" w:cs="宋体"/>
          <w:i w:val="0"/>
          <w:iCs w:val="0"/>
          <w:color w:val="auto"/>
          <w:kern w:val="0"/>
          <w:sz w:val="24"/>
          <w:highlight w:val="none"/>
          <w:u w:val="single"/>
        </w:rPr>
        <w:t>（所有分包供应商名称）</w:t>
      </w:r>
      <w:r>
        <w:rPr>
          <w:rFonts w:hint="eastAsia" w:ascii="宋体" w:hAnsi="宋体" w:cs="宋体"/>
          <w:i w:val="0"/>
          <w:iCs w:val="0"/>
          <w:color w:val="auto"/>
          <w:kern w:val="0"/>
          <w:sz w:val="24"/>
          <w:highlight w:val="none"/>
        </w:rPr>
        <w:t>达成分包意向协议</w:t>
      </w:r>
      <w:r>
        <w:rPr>
          <w:rFonts w:hint="eastAsia" w:cs="宋体"/>
          <w:i w:val="0"/>
          <w:iCs w:val="0"/>
          <w:color w:val="auto"/>
          <w:kern w:val="0"/>
          <w:sz w:val="24"/>
          <w:highlight w:val="none"/>
          <w:lang w:val="en-US" w:eastAsia="zh-CN"/>
        </w:rPr>
        <w:t>书</w:t>
      </w:r>
      <w:r>
        <w:rPr>
          <w:rFonts w:hint="eastAsia" w:ascii="宋体" w:hAnsi="宋体" w:cs="宋体"/>
          <w:i w:val="0"/>
          <w:iCs w:val="0"/>
          <w:color w:val="auto"/>
          <w:kern w:val="0"/>
          <w:sz w:val="24"/>
          <w:highlight w:val="none"/>
          <w:lang w:val="zh-CN"/>
        </w:rPr>
        <w:t xml:space="preserve">。 </w:t>
      </w:r>
    </w:p>
    <w:p w14:paraId="4DF37DAD">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一、分包标的及数量</w:t>
      </w:r>
    </w:p>
    <w:p w14:paraId="34982AAA">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u w:val="single"/>
        </w:rPr>
        <w:t>（</w:t>
      </w:r>
      <w:r>
        <w:rPr>
          <w:rFonts w:hint="eastAsia" w:cs="宋体"/>
          <w:i w:val="0"/>
          <w:iCs w:val="0"/>
          <w:color w:val="auto"/>
          <w:kern w:val="0"/>
          <w:sz w:val="24"/>
          <w:highlight w:val="none"/>
          <w:u w:val="single"/>
          <w:lang w:val="en-US" w:eastAsia="zh-CN"/>
        </w:rPr>
        <w:t>供应商</w:t>
      </w:r>
      <w:r>
        <w:rPr>
          <w:rFonts w:hint="eastAsia" w:ascii="宋体" w:hAnsi="宋体" w:cs="宋体"/>
          <w:i w:val="0"/>
          <w:iCs w:val="0"/>
          <w:color w:val="auto"/>
          <w:kern w:val="0"/>
          <w:sz w:val="24"/>
          <w:highlight w:val="none"/>
          <w:u w:val="single"/>
        </w:rPr>
        <w:t>名称）</w:t>
      </w:r>
      <w:r>
        <w:rPr>
          <w:rFonts w:hint="eastAsia" w:ascii="宋体" w:hAnsi="宋体" w:cs="宋体"/>
          <w:i w:val="0"/>
          <w:iCs w:val="0"/>
          <w:color w:val="auto"/>
          <w:kern w:val="0"/>
          <w:sz w:val="24"/>
          <w:highlight w:val="none"/>
          <w:lang w:val="zh-CN"/>
        </w:rPr>
        <w:t>将</w:t>
      </w:r>
      <w:r>
        <w:rPr>
          <w:rFonts w:hint="eastAsia" w:ascii="宋体" w:hAnsi="宋体" w:cs="宋体"/>
          <w:i w:val="0"/>
          <w:iCs w:val="0"/>
          <w:color w:val="auto"/>
          <w:highlight w:val="none"/>
          <w:u w:val="single"/>
        </w:rPr>
        <w:t xml:space="preserve"> </w:t>
      </w:r>
      <w:r>
        <w:rPr>
          <w:rFonts w:ascii="宋体" w:hAnsi="宋体" w:cs="宋体"/>
          <w:i w:val="0"/>
          <w:iCs w:val="0"/>
          <w:color w:val="auto"/>
          <w:kern w:val="0"/>
          <w:sz w:val="24"/>
          <w:highlight w:val="none"/>
          <w:u w:val="single"/>
        </w:rPr>
        <w:t xml:space="preserve">  XX工作内容   </w:t>
      </w:r>
      <w:r>
        <w:rPr>
          <w:rFonts w:hint="eastAsia" w:ascii="宋体" w:hAnsi="宋体" w:cs="宋体"/>
          <w:i w:val="0"/>
          <w:iCs w:val="0"/>
          <w:color w:val="auto"/>
          <w:sz w:val="24"/>
          <w:highlight w:val="none"/>
        </w:rPr>
        <w:t>分包给</w:t>
      </w:r>
      <w:r>
        <w:rPr>
          <w:rFonts w:hint="eastAsia" w:ascii="宋体" w:hAnsi="宋体" w:cs="宋体"/>
          <w:i w:val="0"/>
          <w:iCs w:val="0"/>
          <w:color w:val="auto"/>
          <w:kern w:val="0"/>
          <w:sz w:val="24"/>
          <w:highlight w:val="none"/>
          <w:u w:val="single"/>
        </w:rPr>
        <w:t>（分包供应商1名称）</w:t>
      </w:r>
      <w:r>
        <w:rPr>
          <w:rFonts w:hint="eastAsia" w:ascii="宋体" w:hAnsi="宋体" w:cs="宋体"/>
          <w:i w:val="0"/>
          <w:iCs w:val="0"/>
          <w:color w:val="auto"/>
          <w:kern w:val="0"/>
          <w:sz w:val="24"/>
          <w:highlight w:val="none"/>
          <w:lang w:val="zh-CN"/>
        </w:rPr>
        <w:t>，</w:t>
      </w:r>
      <w:r>
        <w:rPr>
          <w:rFonts w:hint="eastAsia" w:ascii="宋体" w:hAnsi="宋体" w:cs="宋体"/>
          <w:i w:val="0"/>
          <w:iCs w:val="0"/>
          <w:color w:val="auto"/>
          <w:kern w:val="0"/>
          <w:sz w:val="24"/>
          <w:highlight w:val="none"/>
          <w:u w:val="single"/>
        </w:rPr>
        <w:t>（分包供应商1名称），</w:t>
      </w:r>
      <w:r>
        <w:rPr>
          <w:rFonts w:hint="eastAsia" w:ascii="宋体" w:hAnsi="宋体" w:cs="宋体"/>
          <w:i w:val="0"/>
          <w:iCs w:val="0"/>
          <w:color w:val="auto"/>
          <w:kern w:val="0"/>
          <w:sz w:val="24"/>
          <w:highlight w:val="none"/>
          <w:lang w:val="zh-CN"/>
        </w:rPr>
        <w:t>具备承</w:t>
      </w:r>
      <w:r>
        <w:rPr>
          <w:rFonts w:hint="eastAsia" w:ascii="宋体" w:hAnsi="宋体" w:cs="宋体"/>
          <w:i w:val="0"/>
          <w:iCs w:val="0"/>
          <w:color w:val="auto"/>
          <w:kern w:val="0"/>
          <w:sz w:val="24"/>
          <w:highlight w:val="none"/>
        </w:rPr>
        <w:t>担</w:t>
      </w:r>
      <w:r>
        <w:rPr>
          <w:rFonts w:hint="eastAsia" w:ascii="宋体" w:hAnsi="宋体" w:cs="宋体"/>
          <w:i w:val="0"/>
          <w:iCs w:val="0"/>
          <w:color w:val="auto"/>
          <w:kern w:val="0"/>
          <w:sz w:val="24"/>
          <w:highlight w:val="none"/>
          <w:u w:val="single"/>
          <w:lang w:val="zh-CN"/>
        </w:rPr>
        <w:t>XX工作内容</w:t>
      </w:r>
      <w:r>
        <w:rPr>
          <w:rFonts w:hint="eastAsia" w:ascii="宋体" w:hAnsi="宋体" w:cs="宋体"/>
          <w:i w:val="0"/>
          <w:iCs w:val="0"/>
          <w:color w:val="auto"/>
          <w:kern w:val="0"/>
          <w:sz w:val="24"/>
          <w:highlight w:val="none"/>
          <w:lang w:val="zh-CN"/>
        </w:rPr>
        <w:t>相应资质条件且不得再次分包；</w:t>
      </w:r>
    </w:p>
    <w:p w14:paraId="18A25F79">
      <w:pPr>
        <w:pStyle w:val="5"/>
        <w:tabs>
          <w:tab w:val="left" w:pos="432"/>
        </w:tabs>
        <w:ind w:left="758" w:leftChars="316" w:firstLine="229" w:firstLineChars="95"/>
        <w:rPr>
          <w:rFonts w:ascii="宋体" w:hAnsi="宋体" w:eastAsia="宋体" w:cs="宋体"/>
          <w:i w:val="0"/>
          <w:iCs w:val="0"/>
          <w:color w:val="auto"/>
          <w:kern w:val="0"/>
          <w:sz w:val="24"/>
          <w:szCs w:val="24"/>
          <w:highlight w:val="none"/>
        </w:rPr>
      </w:pPr>
      <w:bookmarkStart w:id="660" w:name="_Toc4735"/>
      <w:bookmarkStart w:id="661" w:name="_Toc2819"/>
      <w:r>
        <w:rPr>
          <w:rFonts w:hint="eastAsia" w:ascii="宋体" w:hAnsi="宋体" w:eastAsia="宋体" w:cs="宋体"/>
          <w:i w:val="0"/>
          <w:iCs w:val="0"/>
          <w:color w:val="auto"/>
          <w:kern w:val="0"/>
          <w:sz w:val="24"/>
          <w:szCs w:val="24"/>
          <w:highlight w:val="none"/>
        </w:rPr>
        <w:t>……</w:t>
      </w:r>
      <w:bookmarkEnd w:id="660"/>
      <w:bookmarkEnd w:id="661"/>
    </w:p>
    <w:p w14:paraId="1F6887AF">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二、分包供应商中小企业合同份额</w:t>
      </w:r>
    </w:p>
    <w:p w14:paraId="18AAF133">
      <w:pPr>
        <w:snapToGrid w:val="0"/>
        <w:spacing w:line="360" w:lineRule="auto"/>
        <w:ind w:firstLine="576"/>
        <w:rPr>
          <w:rFonts w:ascii="宋体" w:hAnsi="宋体" w:cs="宋体"/>
          <w:b/>
          <w:i w:val="0"/>
          <w:iCs w:val="0"/>
          <w:color w:val="auto"/>
          <w:kern w:val="0"/>
          <w:sz w:val="24"/>
          <w:highlight w:val="none"/>
          <w:lang w:val="zh-CN"/>
        </w:rPr>
      </w:pPr>
      <w:r>
        <w:rPr>
          <w:rFonts w:ascii="宋体" w:hAnsi="宋体" w:cs="宋体"/>
          <w:i w:val="0"/>
          <w:iCs w:val="0"/>
          <w:color w:val="auto"/>
          <w:kern w:val="0"/>
          <w:sz w:val="24"/>
          <w:highlight w:val="none"/>
        </w:rPr>
        <w:t>1、</w:t>
      </w:r>
      <w:r>
        <w:rPr>
          <w:rFonts w:hint="eastAsia" w:ascii="宋体" w:hAnsi="宋体" w:cs="宋体"/>
          <w:i w:val="0"/>
          <w:iCs w:val="0"/>
          <w:color w:val="auto"/>
          <w:kern w:val="0"/>
          <w:sz w:val="24"/>
          <w:highlight w:val="none"/>
          <w:u w:val="single"/>
        </w:rPr>
        <w:t>（分包供应商X</w:t>
      </w:r>
      <w:r>
        <w:rPr>
          <w:rFonts w:ascii="宋体" w:hAnsi="宋体" w:cs="宋体"/>
          <w:i w:val="0"/>
          <w:iCs w:val="0"/>
          <w:color w:val="auto"/>
          <w:kern w:val="0"/>
          <w:sz w:val="24"/>
          <w:highlight w:val="none"/>
          <w:u w:val="single"/>
        </w:rPr>
        <w:t>,</w:t>
      </w:r>
      <w:r>
        <w:rPr>
          <w:rFonts w:hint="eastAsia" w:ascii="宋体" w:hAnsi="宋体" w:cs="宋体"/>
          <w:i w:val="0"/>
          <w:iCs w:val="0"/>
          <w:color w:val="auto"/>
          <w:kern w:val="0"/>
          <w:sz w:val="24"/>
          <w:highlight w:val="none"/>
          <w:u w:val="single"/>
        </w:rPr>
        <w:t>……）提供的</w:t>
      </w:r>
      <w:r>
        <w:rPr>
          <w:rFonts w:hint="eastAsia" w:cs="宋体"/>
          <w:i w:val="0"/>
          <w:iCs w:val="0"/>
          <w:color w:val="auto"/>
          <w:kern w:val="0"/>
          <w:sz w:val="24"/>
          <w:highlight w:val="none"/>
          <w:u w:val="single"/>
          <w:lang w:val="en-US" w:eastAsia="zh-CN"/>
        </w:rPr>
        <w:t>服务</w:t>
      </w:r>
      <w:r>
        <w:rPr>
          <w:rFonts w:hint="eastAsia" w:ascii="宋体" w:hAnsi="宋体" w:cs="宋体"/>
          <w:i w:val="0"/>
          <w:iCs w:val="0"/>
          <w:color w:val="auto"/>
          <w:kern w:val="0"/>
          <w:sz w:val="24"/>
          <w:highlight w:val="none"/>
          <w:u w:val="single"/>
        </w:rPr>
        <w:t>全部由小微企业制造，</w:t>
      </w:r>
      <w:r>
        <w:rPr>
          <w:rFonts w:hint="eastAsia" w:ascii="宋体" w:hAnsi="宋体" w:cs="宋体"/>
          <w:i w:val="0"/>
          <w:iCs w:val="0"/>
          <w:color w:val="auto"/>
          <w:kern w:val="0"/>
          <w:sz w:val="24"/>
          <w:highlight w:val="none"/>
        </w:rPr>
        <w:t>其合同份额占到合同总金额</w:t>
      </w:r>
      <w:r>
        <w:rPr>
          <w:rFonts w:hint="eastAsia" w:ascii="宋体" w:hAnsi="宋体" w:cs="宋体"/>
          <w:i w:val="0"/>
          <w:iCs w:val="0"/>
          <w:color w:val="auto"/>
          <w:kern w:val="0"/>
          <w:sz w:val="24"/>
          <w:highlight w:val="none"/>
          <w:u w:val="single"/>
        </w:rPr>
        <w:t xml:space="preserve">     </w:t>
      </w:r>
      <w:r>
        <w:rPr>
          <w:rFonts w:hint="eastAsia" w:ascii="宋体" w:hAnsi="宋体" w:cs="宋体"/>
          <w:i w:val="0"/>
          <w:iCs w:val="0"/>
          <w:color w:val="auto"/>
          <w:kern w:val="0"/>
          <w:sz w:val="24"/>
          <w:highlight w:val="none"/>
        </w:rPr>
        <w:t>%以上</w:t>
      </w:r>
      <w:r>
        <w:rPr>
          <w:rFonts w:hint="eastAsia" w:ascii="宋体" w:hAnsi="宋体" w:cs="宋体"/>
          <w:i w:val="0"/>
          <w:iCs w:val="0"/>
          <w:color w:val="auto"/>
          <w:highlight w:val="none"/>
        </w:rPr>
        <w:t>。</w:t>
      </w:r>
      <w:r>
        <w:rPr>
          <w:rFonts w:hint="eastAsia" w:ascii="宋体" w:hAnsi="宋体" w:cs="宋体"/>
          <w:b/>
          <w:i w:val="0"/>
          <w:iCs w:val="0"/>
          <w:color w:val="auto"/>
          <w:kern w:val="0"/>
          <w:sz w:val="24"/>
          <w:highlight w:val="none"/>
          <w:lang w:val="zh-CN"/>
        </w:rPr>
        <w:t>（未预留份额专门面向中小企业采购的采购项目，以及预留份额中的非预留部分采购包，允许分包的，分包意向协议</w:t>
      </w:r>
      <w:r>
        <w:rPr>
          <w:rFonts w:hint="eastAsia" w:cs="宋体"/>
          <w:b/>
          <w:i w:val="0"/>
          <w:iCs w:val="0"/>
          <w:color w:val="auto"/>
          <w:kern w:val="0"/>
          <w:sz w:val="24"/>
          <w:highlight w:val="none"/>
          <w:lang w:val="en-US" w:eastAsia="zh-CN"/>
        </w:rPr>
        <w:t>书</w:t>
      </w:r>
      <w:r>
        <w:rPr>
          <w:rFonts w:hint="eastAsia" w:ascii="宋体" w:hAnsi="宋体" w:cs="宋体"/>
          <w:b/>
          <w:i w:val="0"/>
          <w:iCs w:val="0"/>
          <w:color w:val="auto"/>
          <w:kern w:val="0"/>
          <w:sz w:val="24"/>
          <w:highlight w:val="none"/>
          <w:lang w:val="zh-CN"/>
        </w:rPr>
        <w:t>约定小微企业的合同份额占到合同总金额30%以上的，对大中型企业的报价按评标标准确定的比例给予扣除。供应商</w:t>
      </w:r>
      <w:r>
        <w:rPr>
          <w:rFonts w:hint="eastAsia" w:ascii="宋体" w:hAnsi="宋体" w:cs="宋体"/>
          <w:b/>
          <w:i w:val="0"/>
          <w:iCs w:val="0"/>
          <w:color w:val="auto"/>
          <w:sz w:val="24"/>
          <w:highlight w:val="none"/>
        </w:rPr>
        <w:t>拟享受以上价格扣除政策的，填写有关内容。</w:t>
      </w:r>
      <w:r>
        <w:rPr>
          <w:rFonts w:hint="eastAsia" w:ascii="宋体" w:hAnsi="宋体" w:cs="宋体"/>
          <w:b/>
          <w:i w:val="0"/>
          <w:iCs w:val="0"/>
          <w:color w:val="auto"/>
          <w:kern w:val="0"/>
          <w:sz w:val="24"/>
          <w:highlight w:val="none"/>
          <w:lang w:val="zh-CN"/>
        </w:rPr>
        <w:t>）</w:t>
      </w:r>
    </w:p>
    <w:p w14:paraId="737020C5">
      <w:pPr>
        <w:spacing w:line="360" w:lineRule="auto"/>
        <w:ind w:firstLine="480" w:firstLineChars="200"/>
        <w:rPr>
          <w:rFonts w:ascii="宋体" w:hAnsi="宋体" w:cs="宋体"/>
          <w:b/>
          <w:bCs/>
          <w:i w:val="0"/>
          <w:iCs w:val="0"/>
          <w:color w:val="auto"/>
          <w:kern w:val="0"/>
          <w:sz w:val="24"/>
          <w:highlight w:val="none"/>
          <w:lang w:val="zh-CN"/>
        </w:rPr>
      </w:pPr>
      <w:r>
        <w:rPr>
          <w:rFonts w:hint="eastAsia" w:ascii="宋体" w:hAnsi="宋体" w:cs="宋体"/>
          <w:i w:val="0"/>
          <w:iCs w:val="0"/>
          <w:color w:val="auto"/>
          <w:sz w:val="24"/>
          <w:highlight w:val="none"/>
        </w:rPr>
        <w:t>2、</w:t>
      </w:r>
      <w:bookmarkStart w:id="662" w:name="_Hlk101133173"/>
      <w:r>
        <w:rPr>
          <w:rFonts w:hint="eastAsia" w:ascii="宋体" w:hAnsi="宋体" w:cs="宋体"/>
          <w:i w:val="0"/>
          <w:iCs w:val="0"/>
          <w:color w:val="auto"/>
          <w:sz w:val="24"/>
          <w:highlight w:val="none"/>
        </w:rPr>
        <w:t>中小企业合同金额达到</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%，其中小微企业合同金额达到</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w:t>
      </w:r>
      <w:r>
        <w:rPr>
          <w:rFonts w:hint="eastAsia" w:ascii="宋体" w:hAnsi="宋体" w:cs="宋体"/>
          <w:i w:val="0"/>
          <w:iCs w:val="0"/>
          <w:color w:val="auto"/>
          <w:kern w:val="0"/>
          <w:sz w:val="24"/>
          <w:highlight w:val="none"/>
          <w:lang w:val="zh-CN"/>
        </w:rPr>
        <w:t>。</w:t>
      </w:r>
      <w:r>
        <w:rPr>
          <w:rFonts w:hint="eastAsia" w:ascii="宋体" w:hAnsi="宋体" w:cs="宋体"/>
          <w:b/>
          <w:bCs/>
          <w:i w:val="0"/>
          <w:iCs w:val="0"/>
          <w:color w:val="auto"/>
          <w:kern w:val="0"/>
          <w:sz w:val="24"/>
          <w:highlight w:val="none"/>
          <w:lang w:val="zh-CN"/>
        </w:rPr>
        <w:t>（</w:t>
      </w:r>
      <w:r>
        <w:rPr>
          <w:rFonts w:hint="eastAsia" w:ascii="宋体" w:hAnsi="宋体" w:cs="宋体"/>
          <w:b/>
          <w:bCs/>
          <w:i w:val="0"/>
          <w:iCs w:val="0"/>
          <w:color w:val="auto"/>
          <w:sz w:val="24"/>
          <w:highlight w:val="none"/>
        </w:rPr>
        <w:t>要求合同分包形式参加的项目或采购包，供应商按招标文件第一部分招标公告申请人的资格要求中规定的</w:t>
      </w:r>
      <w:r>
        <w:rPr>
          <w:rFonts w:hint="eastAsia" w:ascii="宋体" w:hAnsi="宋体" w:cs="宋体"/>
          <w:b/>
          <w:i w:val="0"/>
          <w:iCs w:val="0"/>
          <w:color w:val="auto"/>
          <w:kern w:val="0"/>
          <w:sz w:val="24"/>
          <w:highlight w:val="none"/>
          <w:lang w:val="zh-CN"/>
        </w:rPr>
        <w:t>分包意向协议</w:t>
      </w:r>
      <w:r>
        <w:rPr>
          <w:rFonts w:hint="eastAsia" w:cs="宋体"/>
          <w:b/>
          <w:i w:val="0"/>
          <w:iCs w:val="0"/>
          <w:color w:val="auto"/>
          <w:kern w:val="0"/>
          <w:sz w:val="24"/>
          <w:highlight w:val="none"/>
          <w:lang w:val="en-US" w:eastAsia="zh-CN"/>
        </w:rPr>
        <w:t>书</w:t>
      </w:r>
      <w:r>
        <w:rPr>
          <w:rFonts w:hint="eastAsia" w:ascii="宋体" w:hAnsi="宋体" w:cs="宋体"/>
          <w:b/>
          <w:bCs/>
          <w:i w:val="0"/>
          <w:iCs w:val="0"/>
          <w:color w:val="auto"/>
          <w:sz w:val="24"/>
          <w:highlight w:val="none"/>
        </w:rPr>
        <w:t>中中小企业、小微企业合同金额应当达到的比例要求填写。</w:t>
      </w:r>
      <w:r>
        <w:rPr>
          <w:rFonts w:hint="eastAsia" w:ascii="宋体" w:hAnsi="宋体" w:cs="宋体"/>
          <w:b/>
          <w:bCs/>
          <w:i w:val="0"/>
          <w:iCs w:val="0"/>
          <w:color w:val="auto"/>
          <w:kern w:val="0"/>
          <w:sz w:val="24"/>
          <w:highlight w:val="none"/>
          <w:lang w:val="zh-CN"/>
        </w:rPr>
        <w:t>）</w:t>
      </w:r>
      <w:bookmarkEnd w:id="662"/>
    </w:p>
    <w:p w14:paraId="589B2F29">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三、分包工作履行期限、地点、方式</w:t>
      </w:r>
    </w:p>
    <w:p w14:paraId="635943A1">
      <w:pPr>
        <w:snapToGrid w:val="0"/>
        <w:spacing w:line="360" w:lineRule="auto"/>
        <w:ind w:firstLine="576"/>
        <w:rPr>
          <w:rFonts w:ascii="宋体" w:hAnsi="宋体" w:cs="宋体"/>
          <w:i w:val="0"/>
          <w:iCs w:val="0"/>
          <w:color w:val="auto"/>
          <w:highlight w:val="none"/>
          <w:u w:val="single"/>
        </w:rPr>
      </w:pPr>
      <w:r>
        <w:rPr>
          <w:rFonts w:hint="eastAsia" w:ascii="宋体" w:hAnsi="宋体" w:cs="宋体"/>
          <w:i w:val="0"/>
          <w:iCs w:val="0"/>
          <w:color w:val="auto"/>
          <w:highlight w:val="none"/>
          <w:u w:val="single"/>
        </w:rPr>
        <w:t xml:space="preserve">                                                                </w:t>
      </w:r>
    </w:p>
    <w:p w14:paraId="1346F2A6">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四、质量</w:t>
      </w:r>
    </w:p>
    <w:p w14:paraId="194DDA26">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highlight w:val="none"/>
          <w:u w:val="single"/>
        </w:rPr>
        <w:t xml:space="preserve">                                                                 </w:t>
      </w:r>
    </w:p>
    <w:p w14:paraId="3BF9E778">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五、价款或者报酬</w:t>
      </w:r>
    </w:p>
    <w:p w14:paraId="270DCA7A">
      <w:pPr>
        <w:snapToGrid w:val="0"/>
        <w:spacing w:line="360" w:lineRule="auto"/>
        <w:ind w:left="655" w:leftChars="273"/>
        <w:rPr>
          <w:rFonts w:ascii="宋体" w:hAnsi="宋体" w:cs="宋体"/>
          <w:i w:val="0"/>
          <w:iCs w:val="0"/>
          <w:color w:val="auto"/>
          <w:kern w:val="0"/>
          <w:sz w:val="24"/>
          <w:highlight w:val="none"/>
          <w:lang w:val="zh-CN"/>
        </w:rPr>
      </w:pPr>
      <w:r>
        <w:rPr>
          <w:rFonts w:hint="eastAsia" w:ascii="宋体" w:hAnsi="宋体" w:cs="宋体"/>
          <w:i w:val="0"/>
          <w:iCs w:val="0"/>
          <w:color w:val="auto"/>
          <w:highlight w:val="none"/>
          <w:u w:val="single"/>
        </w:rPr>
        <w:t xml:space="preserve">                                                                </w:t>
      </w:r>
    </w:p>
    <w:p w14:paraId="4311380C">
      <w:pPr>
        <w:snapToGrid w:val="0"/>
        <w:spacing w:line="360" w:lineRule="auto"/>
        <w:ind w:left="655" w:leftChars="273"/>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六、违约责任</w:t>
      </w:r>
    </w:p>
    <w:p w14:paraId="470B97E4">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highlight w:val="none"/>
          <w:u w:val="single"/>
        </w:rPr>
        <w:t xml:space="preserve">                                                                 </w:t>
      </w:r>
    </w:p>
    <w:p w14:paraId="2324CB68">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七、争议解决的办法</w:t>
      </w:r>
    </w:p>
    <w:p w14:paraId="37888D05">
      <w:pPr>
        <w:snapToGrid w:val="0"/>
        <w:spacing w:line="360" w:lineRule="auto"/>
        <w:ind w:firstLine="576"/>
        <w:rPr>
          <w:rFonts w:ascii="宋体" w:hAnsi="宋体" w:cs="宋体"/>
          <w:i w:val="0"/>
          <w:iCs w:val="0"/>
          <w:color w:val="auto"/>
          <w:kern w:val="0"/>
          <w:sz w:val="24"/>
          <w:highlight w:val="none"/>
          <w:lang w:val="zh-CN"/>
        </w:rPr>
      </w:pPr>
      <w:r>
        <w:rPr>
          <w:rFonts w:hint="eastAsia" w:ascii="宋体" w:hAnsi="宋体" w:cs="宋体"/>
          <w:i w:val="0"/>
          <w:iCs w:val="0"/>
          <w:color w:val="auto"/>
          <w:highlight w:val="none"/>
          <w:u w:val="single"/>
        </w:rPr>
        <w:t xml:space="preserve">                                                                 </w:t>
      </w:r>
    </w:p>
    <w:p w14:paraId="247D0533">
      <w:pPr>
        <w:snapToGrid w:val="0"/>
        <w:spacing w:line="360" w:lineRule="auto"/>
        <w:ind w:left="5861" w:leftChars="342" w:hanging="5040" w:hangingChars="2100"/>
        <w:jc w:val="right"/>
        <w:rPr>
          <w:rFonts w:ascii="宋体" w:hAnsi="宋体" w:cs="宋体"/>
          <w:i w:val="0"/>
          <w:iCs w:val="0"/>
          <w:color w:val="auto"/>
          <w:kern w:val="0"/>
          <w:sz w:val="24"/>
          <w:highlight w:val="none"/>
          <w:lang w:val="zh-CN"/>
        </w:rPr>
      </w:pPr>
      <w:r>
        <w:rPr>
          <w:rFonts w:hint="eastAsia" w:cs="宋体"/>
          <w:i w:val="0"/>
          <w:iCs w:val="0"/>
          <w:color w:val="auto"/>
          <w:kern w:val="0"/>
          <w:sz w:val="24"/>
          <w:highlight w:val="none"/>
          <w:lang w:val="en-US" w:eastAsia="zh-CN"/>
        </w:rPr>
        <w:t>供应商</w:t>
      </w:r>
      <w:r>
        <w:rPr>
          <w:rFonts w:hint="eastAsia" w:ascii="宋体" w:hAnsi="宋体" w:cs="宋体"/>
          <w:i w:val="0"/>
          <w:iCs w:val="0"/>
          <w:color w:val="auto"/>
          <w:kern w:val="0"/>
          <w:sz w:val="24"/>
          <w:highlight w:val="none"/>
          <w:lang w:val="zh-CN"/>
        </w:rPr>
        <w:t>名称(</w:t>
      </w:r>
      <w:r>
        <w:rPr>
          <w:rFonts w:hint="eastAsia" w:cs="宋体"/>
          <w:i w:val="0"/>
          <w:iCs w:val="0"/>
          <w:color w:val="auto"/>
          <w:kern w:val="0"/>
          <w:sz w:val="24"/>
          <w:highlight w:val="none"/>
          <w:lang w:val="zh-CN"/>
        </w:rPr>
        <w:t>公章</w:t>
      </w:r>
      <w:r>
        <w:rPr>
          <w:rFonts w:hint="eastAsia" w:ascii="宋体" w:hAnsi="宋体" w:cs="宋体"/>
          <w:i w:val="0"/>
          <w:iCs w:val="0"/>
          <w:color w:val="auto"/>
          <w:kern w:val="0"/>
          <w:sz w:val="24"/>
          <w:highlight w:val="none"/>
          <w:lang w:val="zh-CN"/>
        </w:rPr>
        <w:t>)：</w:t>
      </w:r>
    </w:p>
    <w:p w14:paraId="316E84A9">
      <w:pPr>
        <w:snapToGrid w:val="0"/>
        <w:spacing w:line="360" w:lineRule="auto"/>
        <w:jc w:val="right"/>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分包供应商名称(公章)：</w:t>
      </w:r>
    </w:p>
    <w:p w14:paraId="754988D6">
      <w:pPr>
        <w:snapToGrid w:val="0"/>
        <w:spacing w:line="360" w:lineRule="auto"/>
        <w:ind w:firstLine="5760" w:firstLineChars="2400"/>
        <w:rPr>
          <w:rFonts w:ascii="宋体" w:hAnsi="宋体" w:cs="宋体"/>
          <w:i w:val="0"/>
          <w:iCs w:val="0"/>
          <w:color w:val="auto"/>
          <w:highlight w:val="none"/>
        </w:rPr>
      </w:pPr>
      <w:r>
        <w:rPr>
          <w:rFonts w:hint="eastAsia" w:ascii="宋体" w:hAnsi="宋体" w:cs="宋体"/>
          <w:i w:val="0"/>
          <w:iCs w:val="0"/>
          <w:color w:val="auto"/>
          <w:kern w:val="0"/>
          <w:sz w:val="24"/>
          <w:highlight w:val="none"/>
          <w:lang w:val="zh-CN"/>
        </w:rPr>
        <w:t>……</w:t>
      </w:r>
    </w:p>
    <w:p w14:paraId="5088BA44">
      <w:pPr>
        <w:spacing w:line="360" w:lineRule="auto"/>
        <w:jc w:val="center"/>
        <w:rPr>
          <w:rFonts w:ascii="宋体" w:hAnsi="宋体" w:cs="宋体"/>
          <w:i w:val="0"/>
          <w:iCs w:val="0"/>
          <w:color w:val="auto"/>
          <w:kern w:val="0"/>
          <w:sz w:val="24"/>
          <w:highlight w:val="none"/>
          <w:lang w:val="zh-CN"/>
        </w:rPr>
      </w:pPr>
      <w:r>
        <w:rPr>
          <w:rFonts w:hint="eastAsia" w:ascii="宋体" w:hAnsi="宋体" w:cs="宋体"/>
          <w:i w:val="0"/>
          <w:iCs w:val="0"/>
          <w:color w:val="auto"/>
          <w:kern w:val="0"/>
          <w:sz w:val="24"/>
          <w:highlight w:val="none"/>
          <w:lang w:val="zh-CN"/>
        </w:rPr>
        <w:t xml:space="preserve">                                        日期：  年  月   日</w:t>
      </w:r>
    </w:p>
    <w:p w14:paraId="7FA576AF">
      <w:pPr>
        <w:spacing w:line="360" w:lineRule="auto"/>
        <w:ind w:right="420"/>
        <w:rPr>
          <w:rFonts w:hint="eastAsia"/>
          <w:i w:val="0"/>
          <w:iCs w:val="0"/>
          <w:color w:val="auto"/>
          <w:szCs w:val="32"/>
          <w:highlight w:val="none"/>
        </w:rPr>
      </w:pPr>
      <w:r>
        <w:rPr>
          <w:rFonts w:hint="eastAsia" w:ascii="宋体" w:hAnsi="宋体" w:cs="宋体"/>
          <w:i w:val="0"/>
          <w:iCs w:val="0"/>
          <w:color w:val="auto"/>
          <w:sz w:val="21"/>
          <w:szCs w:val="21"/>
          <w:highlight w:val="none"/>
        </w:rPr>
        <w:t>注：按本格式和要求提供。</w:t>
      </w:r>
    </w:p>
    <w:bookmarkEnd w:id="657"/>
    <w:p w14:paraId="36FEA3A8">
      <w:pPr>
        <w:ind w:left="2520" w:leftChars="1050"/>
        <w:rPr>
          <w:i w:val="0"/>
          <w:iCs w:val="0"/>
          <w:color w:val="auto"/>
          <w:highlight w:val="none"/>
        </w:rPr>
      </w:pPr>
      <w:r>
        <w:rPr>
          <w:rFonts w:cs="Courier New"/>
          <w:i w:val="0"/>
          <w:iCs w:val="0"/>
          <w:color w:val="auto"/>
          <w:szCs w:val="24"/>
          <w:highlight w:val="none"/>
        </w:rPr>
        <w:br w:type="page"/>
      </w:r>
    </w:p>
    <w:p w14:paraId="6C389AE1">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28"/>
          <w:szCs w:val="28"/>
          <w:highlight w:val="none"/>
          <w:lang w:val="en-US" w:eastAsia="zh-CN" w:bidi="ar-SA"/>
        </w:rPr>
      </w:pPr>
      <w:bookmarkStart w:id="663" w:name="_Toc155185932"/>
      <w:bookmarkStart w:id="664" w:name="_Toc163492926"/>
      <w:bookmarkStart w:id="665" w:name="_Toc4839"/>
      <w:r>
        <w:rPr>
          <w:rFonts w:hint="eastAsia" w:cs="宋体"/>
          <w:b/>
          <w:bCs/>
          <w:i w:val="0"/>
          <w:iCs w:val="0"/>
          <w:color w:val="auto"/>
          <w:kern w:val="2"/>
          <w:sz w:val="28"/>
          <w:szCs w:val="28"/>
          <w:highlight w:val="none"/>
          <w:lang w:val="en-US" w:eastAsia="zh-CN" w:bidi="ar-SA"/>
        </w:rPr>
        <w:t>四</w:t>
      </w:r>
      <w:r>
        <w:rPr>
          <w:rFonts w:hint="eastAsia" w:ascii="等线 Light" w:hAnsi="等线 Light" w:eastAsia="宋体" w:cs="宋体"/>
          <w:b/>
          <w:bCs/>
          <w:i w:val="0"/>
          <w:iCs w:val="0"/>
          <w:color w:val="auto"/>
          <w:kern w:val="2"/>
          <w:sz w:val="28"/>
          <w:szCs w:val="28"/>
          <w:highlight w:val="none"/>
          <w:lang w:val="en-US" w:eastAsia="zh-CN" w:bidi="ar-SA"/>
        </w:rPr>
        <w:t>、</w:t>
      </w:r>
      <w:bookmarkEnd w:id="663"/>
      <w:bookmarkEnd w:id="664"/>
      <w:r>
        <w:rPr>
          <w:rFonts w:hint="eastAsia" w:ascii="等线 Light" w:hAnsi="等线 Light" w:eastAsia="宋体" w:cs="宋体"/>
          <w:b/>
          <w:bCs/>
          <w:i w:val="0"/>
          <w:iCs w:val="0"/>
          <w:color w:val="auto"/>
          <w:kern w:val="2"/>
          <w:sz w:val="28"/>
          <w:szCs w:val="28"/>
          <w:highlight w:val="none"/>
          <w:lang w:val="en-US" w:eastAsia="zh-CN" w:bidi="ar-SA"/>
        </w:rPr>
        <w:t>落实政府采购政策相关证明文件</w:t>
      </w:r>
      <w:bookmarkEnd w:id="665"/>
    </w:p>
    <w:p w14:paraId="204B9689">
      <w:pPr>
        <w:pStyle w:val="6"/>
        <w:keepNext/>
        <w:keepLines/>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en-US" w:eastAsia="zh-CN" w:bidi="ar-SA"/>
        </w:rPr>
      </w:pPr>
      <w:bookmarkStart w:id="666" w:name="_Toc163492938"/>
      <w:r>
        <w:rPr>
          <w:rFonts w:hint="eastAsia" w:ascii="宋体" w:hAnsi="宋体" w:eastAsia="宋体" w:cs="宋体"/>
          <w:b/>
          <w:bCs/>
          <w:i w:val="0"/>
          <w:iCs w:val="0"/>
          <w:color w:val="auto"/>
          <w:kern w:val="2"/>
          <w:sz w:val="24"/>
          <w:szCs w:val="24"/>
          <w:highlight w:val="none"/>
          <w:lang w:val="en-US" w:eastAsia="zh-CN" w:bidi="ar-SA"/>
        </w:rPr>
        <w:t>（一）节能环保产品清单及证明材料</w:t>
      </w:r>
      <w:r>
        <w:rPr>
          <w:rFonts w:hint="eastAsia" w:ascii="宋体" w:hAnsi="宋体" w:eastAsia="宋体" w:cs="宋体"/>
          <w:b w:val="0"/>
          <w:bCs w:val="0"/>
          <w:i w:val="0"/>
          <w:iCs w:val="0"/>
          <w:color w:val="auto"/>
          <w:kern w:val="2"/>
          <w:sz w:val="24"/>
          <w:szCs w:val="24"/>
          <w:highlight w:val="none"/>
          <w:lang w:val="en-US" w:eastAsia="zh-CN" w:bidi="ar-SA"/>
        </w:rPr>
        <w:t>【如适用】</w:t>
      </w:r>
      <w:bookmarkEnd w:id="666"/>
    </w:p>
    <w:p w14:paraId="2AAF0B74">
      <w:pPr>
        <w:spacing w:line="300" w:lineRule="auto"/>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项目名称：</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项目编号</w:t>
      </w:r>
      <w:r>
        <w:rPr>
          <w:rFonts w:hint="eastAsia" w:ascii="宋体" w:hAnsi="宋体" w:eastAsia="宋体" w:cs="宋体"/>
          <w:i w:val="0"/>
          <w:iCs w:val="0"/>
          <w:color w:val="auto"/>
          <w:sz w:val="24"/>
          <w:szCs w:val="24"/>
          <w:highlight w:val="none"/>
          <w:lang w:val="en-US" w:eastAsia="zh-CN"/>
        </w:rPr>
        <w:t>/包号</w:t>
      </w:r>
      <w:r>
        <w:rPr>
          <w:rFonts w:hint="eastAsia" w:ascii="宋体" w:hAnsi="宋体" w:eastAsia="宋体" w:cs="宋体"/>
          <w:i w:val="0"/>
          <w:iCs w:val="0"/>
          <w:color w:val="auto"/>
          <w:sz w:val="24"/>
          <w:szCs w:val="24"/>
          <w:highlight w:val="none"/>
        </w:rPr>
        <w:t>：</w:t>
      </w:r>
    </w:p>
    <w:p w14:paraId="3FCD1B5D">
      <w:pPr>
        <w:spacing w:line="30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节能产品</w:t>
      </w:r>
    </w:p>
    <w:tbl>
      <w:tblPr>
        <w:tblStyle w:val="31"/>
        <w:tblW w:w="8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147"/>
        <w:gridCol w:w="972"/>
        <w:gridCol w:w="792"/>
        <w:gridCol w:w="696"/>
        <w:gridCol w:w="648"/>
        <w:gridCol w:w="1128"/>
        <w:gridCol w:w="1104"/>
        <w:gridCol w:w="1455"/>
      </w:tblGrid>
      <w:tr w14:paraId="6583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57" w:type="dxa"/>
            <w:tcBorders>
              <w:top w:val="single" w:color="auto" w:sz="4" w:space="0"/>
              <w:left w:val="single" w:color="auto" w:sz="4" w:space="0"/>
              <w:bottom w:val="single" w:color="auto" w:sz="4" w:space="0"/>
              <w:right w:val="single" w:color="auto" w:sz="4" w:space="0"/>
            </w:tcBorders>
            <w:vAlign w:val="center"/>
          </w:tcPr>
          <w:p w14:paraId="359113E2">
            <w:pPr>
              <w:pStyle w:val="49"/>
              <w:jc w:val="center"/>
              <w:rPr>
                <w:i w:val="0"/>
                <w:iCs w:val="0"/>
                <w:color w:val="auto"/>
                <w:sz w:val="21"/>
                <w:szCs w:val="21"/>
                <w:highlight w:val="none"/>
              </w:rPr>
            </w:pPr>
            <w:r>
              <w:rPr>
                <w:rFonts w:hint="eastAsia"/>
                <w:i w:val="0"/>
                <w:iCs w:val="0"/>
                <w:color w:val="auto"/>
                <w:sz w:val="21"/>
                <w:szCs w:val="21"/>
                <w:highlight w:val="none"/>
              </w:rPr>
              <w:t>序号</w:t>
            </w:r>
          </w:p>
        </w:tc>
        <w:tc>
          <w:tcPr>
            <w:tcW w:w="1147" w:type="dxa"/>
            <w:tcBorders>
              <w:top w:val="single" w:color="auto" w:sz="4" w:space="0"/>
              <w:left w:val="single" w:color="auto" w:sz="4" w:space="0"/>
              <w:bottom w:val="single" w:color="auto" w:sz="4" w:space="0"/>
              <w:right w:val="single" w:color="auto" w:sz="4" w:space="0"/>
            </w:tcBorders>
            <w:vAlign w:val="center"/>
          </w:tcPr>
          <w:p w14:paraId="01FE492F">
            <w:pPr>
              <w:pStyle w:val="49"/>
              <w:jc w:val="center"/>
              <w:rPr>
                <w:i w:val="0"/>
                <w:iCs w:val="0"/>
                <w:color w:val="auto"/>
                <w:sz w:val="21"/>
                <w:szCs w:val="21"/>
                <w:highlight w:val="none"/>
              </w:rPr>
            </w:pPr>
            <w:r>
              <w:rPr>
                <w:rFonts w:hint="eastAsia"/>
                <w:i w:val="0"/>
                <w:iCs w:val="0"/>
                <w:color w:val="auto"/>
                <w:sz w:val="21"/>
                <w:szCs w:val="21"/>
                <w:highlight w:val="none"/>
              </w:rPr>
              <w:t>设备名称</w:t>
            </w:r>
          </w:p>
        </w:tc>
        <w:tc>
          <w:tcPr>
            <w:tcW w:w="972" w:type="dxa"/>
            <w:tcBorders>
              <w:top w:val="single" w:color="auto" w:sz="4" w:space="0"/>
              <w:left w:val="single" w:color="auto" w:sz="4" w:space="0"/>
              <w:bottom w:val="single" w:color="auto" w:sz="4" w:space="0"/>
              <w:right w:val="single" w:color="auto" w:sz="4" w:space="0"/>
            </w:tcBorders>
            <w:vAlign w:val="center"/>
          </w:tcPr>
          <w:p w14:paraId="57127B11">
            <w:pPr>
              <w:pStyle w:val="49"/>
              <w:jc w:val="center"/>
              <w:rPr>
                <w:i w:val="0"/>
                <w:iCs w:val="0"/>
                <w:color w:val="auto"/>
                <w:sz w:val="21"/>
                <w:szCs w:val="21"/>
                <w:highlight w:val="none"/>
              </w:rPr>
            </w:pPr>
            <w:r>
              <w:rPr>
                <w:rFonts w:hint="eastAsia"/>
                <w:i w:val="0"/>
                <w:iCs w:val="0"/>
                <w:color w:val="auto"/>
                <w:sz w:val="21"/>
                <w:szCs w:val="21"/>
                <w:highlight w:val="none"/>
              </w:rPr>
              <w:t>制造商名称</w:t>
            </w:r>
          </w:p>
        </w:tc>
        <w:tc>
          <w:tcPr>
            <w:tcW w:w="792" w:type="dxa"/>
            <w:tcBorders>
              <w:top w:val="single" w:color="auto" w:sz="4" w:space="0"/>
              <w:left w:val="single" w:color="auto" w:sz="4" w:space="0"/>
              <w:bottom w:val="single" w:color="auto" w:sz="4" w:space="0"/>
              <w:right w:val="single" w:color="auto" w:sz="4" w:space="0"/>
            </w:tcBorders>
            <w:vAlign w:val="center"/>
          </w:tcPr>
          <w:p w14:paraId="6522A22D">
            <w:pPr>
              <w:pStyle w:val="49"/>
              <w:jc w:val="center"/>
              <w:rPr>
                <w:i w:val="0"/>
                <w:iCs w:val="0"/>
                <w:color w:val="auto"/>
                <w:sz w:val="21"/>
                <w:szCs w:val="21"/>
                <w:highlight w:val="none"/>
              </w:rPr>
            </w:pPr>
            <w:r>
              <w:rPr>
                <w:rFonts w:hint="eastAsia"/>
                <w:i w:val="0"/>
                <w:iCs w:val="0"/>
                <w:color w:val="auto"/>
                <w:sz w:val="21"/>
                <w:szCs w:val="21"/>
                <w:highlight w:val="none"/>
              </w:rPr>
              <w:t>品牌</w:t>
            </w:r>
          </w:p>
        </w:tc>
        <w:tc>
          <w:tcPr>
            <w:tcW w:w="696" w:type="dxa"/>
            <w:tcBorders>
              <w:top w:val="single" w:color="auto" w:sz="4" w:space="0"/>
              <w:left w:val="single" w:color="auto" w:sz="4" w:space="0"/>
              <w:bottom w:val="single" w:color="auto" w:sz="4" w:space="0"/>
              <w:right w:val="single" w:color="auto" w:sz="4" w:space="0"/>
            </w:tcBorders>
            <w:vAlign w:val="center"/>
          </w:tcPr>
          <w:p w14:paraId="670BB1F6">
            <w:pPr>
              <w:pStyle w:val="49"/>
              <w:jc w:val="center"/>
              <w:rPr>
                <w:i w:val="0"/>
                <w:iCs w:val="0"/>
                <w:color w:val="auto"/>
                <w:sz w:val="21"/>
                <w:szCs w:val="21"/>
                <w:highlight w:val="none"/>
              </w:rPr>
            </w:pPr>
            <w:r>
              <w:rPr>
                <w:rFonts w:hint="eastAsia"/>
                <w:i w:val="0"/>
                <w:iCs w:val="0"/>
                <w:color w:val="auto"/>
                <w:sz w:val="21"/>
                <w:szCs w:val="21"/>
                <w:highlight w:val="none"/>
              </w:rPr>
              <w:t>型号</w:t>
            </w:r>
          </w:p>
        </w:tc>
        <w:tc>
          <w:tcPr>
            <w:tcW w:w="648" w:type="dxa"/>
            <w:tcBorders>
              <w:top w:val="single" w:color="auto" w:sz="4" w:space="0"/>
              <w:left w:val="single" w:color="auto" w:sz="4" w:space="0"/>
              <w:bottom w:val="single" w:color="auto" w:sz="4" w:space="0"/>
              <w:right w:val="single" w:color="auto" w:sz="4" w:space="0"/>
            </w:tcBorders>
            <w:vAlign w:val="center"/>
          </w:tcPr>
          <w:p w14:paraId="1A65DF67">
            <w:pPr>
              <w:pStyle w:val="49"/>
              <w:jc w:val="center"/>
              <w:rPr>
                <w:i w:val="0"/>
                <w:iCs w:val="0"/>
                <w:color w:val="auto"/>
                <w:sz w:val="21"/>
                <w:szCs w:val="21"/>
                <w:highlight w:val="none"/>
              </w:rPr>
            </w:pPr>
            <w:r>
              <w:rPr>
                <w:rFonts w:hint="eastAsia"/>
                <w:i w:val="0"/>
                <w:iCs w:val="0"/>
                <w:color w:val="auto"/>
                <w:sz w:val="21"/>
                <w:szCs w:val="21"/>
                <w:highlight w:val="none"/>
              </w:rPr>
              <w:t>数量</w:t>
            </w:r>
          </w:p>
        </w:tc>
        <w:tc>
          <w:tcPr>
            <w:tcW w:w="1128" w:type="dxa"/>
            <w:tcBorders>
              <w:top w:val="single" w:color="auto" w:sz="4" w:space="0"/>
              <w:left w:val="single" w:color="auto" w:sz="4" w:space="0"/>
              <w:bottom w:val="single" w:color="auto" w:sz="4" w:space="0"/>
              <w:right w:val="single" w:color="auto" w:sz="4" w:space="0"/>
            </w:tcBorders>
            <w:vAlign w:val="center"/>
          </w:tcPr>
          <w:p w14:paraId="0BED184F">
            <w:pPr>
              <w:pStyle w:val="49"/>
              <w:jc w:val="center"/>
              <w:rPr>
                <w:i w:val="0"/>
                <w:iCs w:val="0"/>
                <w:color w:val="auto"/>
                <w:sz w:val="21"/>
                <w:szCs w:val="21"/>
                <w:highlight w:val="none"/>
              </w:rPr>
            </w:pPr>
            <w:r>
              <w:rPr>
                <w:rFonts w:hint="eastAsia"/>
                <w:i w:val="0"/>
                <w:iCs w:val="0"/>
                <w:color w:val="auto"/>
                <w:sz w:val="21"/>
                <w:szCs w:val="21"/>
                <w:highlight w:val="none"/>
              </w:rPr>
              <w:t>单价</w:t>
            </w:r>
          </w:p>
          <w:p w14:paraId="28F6AD1B">
            <w:pPr>
              <w:pStyle w:val="49"/>
              <w:jc w:val="center"/>
              <w:rPr>
                <w:i w:val="0"/>
                <w:iCs w:val="0"/>
                <w:color w:val="auto"/>
                <w:sz w:val="21"/>
                <w:szCs w:val="21"/>
                <w:highlight w:val="none"/>
              </w:rPr>
            </w:pPr>
            <w:r>
              <w:rPr>
                <w:rFonts w:hint="eastAsia"/>
                <w:i w:val="0"/>
                <w:iCs w:val="0"/>
                <w:color w:val="auto"/>
                <w:sz w:val="21"/>
                <w:szCs w:val="21"/>
                <w:highlight w:val="none"/>
              </w:rPr>
              <w:t>（万元）</w:t>
            </w:r>
          </w:p>
        </w:tc>
        <w:tc>
          <w:tcPr>
            <w:tcW w:w="1104" w:type="dxa"/>
            <w:tcBorders>
              <w:top w:val="single" w:color="auto" w:sz="4" w:space="0"/>
              <w:left w:val="single" w:color="auto" w:sz="4" w:space="0"/>
              <w:bottom w:val="single" w:color="auto" w:sz="4" w:space="0"/>
              <w:right w:val="single" w:color="auto" w:sz="4" w:space="0"/>
            </w:tcBorders>
            <w:vAlign w:val="center"/>
          </w:tcPr>
          <w:p w14:paraId="58AE0BB6">
            <w:pPr>
              <w:pStyle w:val="49"/>
              <w:jc w:val="center"/>
              <w:rPr>
                <w:i w:val="0"/>
                <w:iCs w:val="0"/>
                <w:color w:val="auto"/>
                <w:sz w:val="21"/>
                <w:szCs w:val="21"/>
                <w:highlight w:val="none"/>
              </w:rPr>
            </w:pPr>
            <w:r>
              <w:rPr>
                <w:rFonts w:hint="eastAsia"/>
                <w:i w:val="0"/>
                <w:iCs w:val="0"/>
                <w:color w:val="auto"/>
                <w:sz w:val="21"/>
                <w:szCs w:val="21"/>
                <w:highlight w:val="none"/>
              </w:rPr>
              <w:t>总价</w:t>
            </w:r>
          </w:p>
          <w:p w14:paraId="5BB0E93F">
            <w:pPr>
              <w:pStyle w:val="49"/>
              <w:jc w:val="center"/>
              <w:rPr>
                <w:i w:val="0"/>
                <w:iCs w:val="0"/>
                <w:color w:val="auto"/>
                <w:sz w:val="21"/>
                <w:szCs w:val="21"/>
                <w:highlight w:val="none"/>
              </w:rPr>
            </w:pPr>
            <w:r>
              <w:rPr>
                <w:rFonts w:hint="eastAsia"/>
                <w:i w:val="0"/>
                <w:iCs w:val="0"/>
                <w:color w:val="auto"/>
                <w:sz w:val="21"/>
                <w:szCs w:val="21"/>
                <w:highlight w:val="none"/>
              </w:rPr>
              <w:t>（万元）</w:t>
            </w:r>
          </w:p>
        </w:tc>
        <w:tc>
          <w:tcPr>
            <w:tcW w:w="1455" w:type="dxa"/>
            <w:tcBorders>
              <w:top w:val="single" w:color="auto" w:sz="4" w:space="0"/>
              <w:left w:val="single" w:color="auto" w:sz="4" w:space="0"/>
              <w:bottom w:val="single" w:color="auto" w:sz="4" w:space="0"/>
              <w:right w:val="single" w:color="auto" w:sz="4" w:space="0"/>
            </w:tcBorders>
            <w:vAlign w:val="center"/>
          </w:tcPr>
          <w:p w14:paraId="79DCA26F">
            <w:pPr>
              <w:pStyle w:val="49"/>
              <w:jc w:val="center"/>
              <w:rPr>
                <w:i w:val="0"/>
                <w:iCs w:val="0"/>
                <w:color w:val="auto"/>
                <w:sz w:val="21"/>
                <w:szCs w:val="21"/>
                <w:highlight w:val="none"/>
              </w:rPr>
            </w:pPr>
            <w:r>
              <w:rPr>
                <w:rFonts w:hint="eastAsia"/>
                <w:i w:val="0"/>
                <w:iCs w:val="0"/>
                <w:color w:val="auto"/>
                <w:sz w:val="21"/>
                <w:szCs w:val="21"/>
                <w:highlight w:val="none"/>
              </w:rPr>
              <w:t>属强制采购或优先采购</w:t>
            </w:r>
          </w:p>
        </w:tc>
      </w:tr>
      <w:tr w14:paraId="3BF8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57" w:type="dxa"/>
            <w:tcBorders>
              <w:top w:val="single" w:color="auto" w:sz="4" w:space="0"/>
              <w:left w:val="single" w:color="auto" w:sz="4" w:space="0"/>
              <w:bottom w:val="single" w:color="auto" w:sz="4" w:space="0"/>
              <w:right w:val="single" w:color="auto" w:sz="4" w:space="0"/>
            </w:tcBorders>
            <w:vAlign w:val="center"/>
          </w:tcPr>
          <w:p w14:paraId="0CE93B03">
            <w:pPr>
              <w:pStyle w:val="49"/>
              <w:numPr>
                <w:ilvl w:val="0"/>
                <w:numId w:val="3"/>
              </w:numPr>
              <w:jc w:val="center"/>
              <w:rPr>
                <w:i w:val="0"/>
                <w:iCs w:val="0"/>
                <w:color w:val="auto"/>
                <w:sz w:val="21"/>
                <w:szCs w:val="21"/>
                <w:highlight w:val="none"/>
              </w:rPr>
            </w:pPr>
          </w:p>
        </w:tc>
        <w:tc>
          <w:tcPr>
            <w:tcW w:w="1147" w:type="dxa"/>
            <w:tcBorders>
              <w:top w:val="single" w:color="auto" w:sz="4" w:space="0"/>
              <w:left w:val="single" w:color="auto" w:sz="4" w:space="0"/>
              <w:bottom w:val="single" w:color="auto" w:sz="4" w:space="0"/>
              <w:right w:val="single" w:color="auto" w:sz="4" w:space="0"/>
            </w:tcBorders>
            <w:vAlign w:val="center"/>
          </w:tcPr>
          <w:p w14:paraId="11DA68FE">
            <w:pPr>
              <w:pStyle w:val="49"/>
              <w:jc w:val="center"/>
              <w:rPr>
                <w:i w:val="0"/>
                <w:iCs w:val="0"/>
                <w:color w:val="auto"/>
                <w:sz w:val="21"/>
                <w:szCs w:val="21"/>
                <w:highlight w:val="none"/>
              </w:rPr>
            </w:pPr>
          </w:p>
        </w:tc>
        <w:tc>
          <w:tcPr>
            <w:tcW w:w="972" w:type="dxa"/>
            <w:tcBorders>
              <w:top w:val="single" w:color="auto" w:sz="4" w:space="0"/>
              <w:left w:val="single" w:color="auto" w:sz="4" w:space="0"/>
              <w:bottom w:val="single" w:color="auto" w:sz="4" w:space="0"/>
              <w:right w:val="single" w:color="auto" w:sz="4" w:space="0"/>
            </w:tcBorders>
            <w:vAlign w:val="center"/>
          </w:tcPr>
          <w:p w14:paraId="53D6B0A2">
            <w:pPr>
              <w:pStyle w:val="49"/>
              <w:jc w:val="center"/>
              <w:rPr>
                <w:i w:val="0"/>
                <w:iCs w:val="0"/>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1FA2A4CB">
            <w:pPr>
              <w:pStyle w:val="49"/>
              <w:jc w:val="center"/>
              <w:rPr>
                <w:i w:val="0"/>
                <w:iCs w:val="0"/>
                <w:color w:val="auto"/>
                <w:sz w:val="21"/>
                <w:szCs w:val="21"/>
                <w:highlight w:val="none"/>
              </w:rPr>
            </w:pPr>
          </w:p>
        </w:tc>
        <w:tc>
          <w:tcPr>
            <w:tcW w:w="696" w:type="dxa"/>
            <w:tcBorders>
              <w:top w:val="single" w:color="auto" w:sz="4" w:space="0"/>
              <w:left w:val="single" w:color="auto" w:sz="4" w:space="0"/>
              <w:bottom w:val="single" w:color="auto" w:sz="4" w:space="0"/>
              <w:right w:val="single" w:color="auto" w:sz="4" w:space="0"/>
            </w:tcBorders>
            <w:vAlign w:val="center"/>
          </w:tcPr>
          <w:p w14:paraId="12033834">
            <w:pPr>
              <w:pStyle w:val="49"/>
              <w:jc w:val="center"/>
              <w:rPr>
                <w:i w:val="0"/>
                <w:iCs w:val="0"/>
                <w:color w:val="auto"/>
                <w:sz w:val="21"/>
                <w:szCs w:val="21"/>
                <w:highlight w:val="none"/>
              </w:rPr>
            </w:pPr>
          </w:p>
        </w:tc>
        <w:tc>
          <w:tcPr>
            <w:tcW w:w="648" w:type="dxa"/>
            <w:tcBorders>
              <w:top w:val="single" w:color="auto" w:sz="4" w:space="0"/>
              <w:left w:val="single" w:color="auto" w:sz="4" w:space="0"/>
              <w:bottom w:val="single" w:color="auto" w:sz="4" w:space="0"/>
              <w:right w:val="single" w:color="auto" w:sz="4" w:space="0"/>
            </w:tcBorders>
            <w:vAlign w:val="center"/>
          </w:tcPr>
          <w:p w14:paraId="6CFCA791">
            <w:pPr>
              <w:pStyle w:val="49"/>
              <w:jc w:val="center"/>
              <w:rPr>
                <w:i w:val="0"/>
                <w:iCs w:val="0"/>
                <w:color w:val="auto"/>
                <w:sz w:val="21"/>
                <w:szCs w:val="21"/>
                <w:highlight w:val="none"/>
              </w:rPr>
            </w:pPr>
          </w:p>
        </w:tc>
        <w:tc>
          <w:tcPr>
            <w:tcW w:w="1128" w:type="dxa"/>
            <w:tcBorders>
              <w:top w:val="single" w:color="auto" w:sz="4" w:space="0"/>
              <w:left w:val="single" w:color="auto" w:sz="4" w:space="0"/>
              <w:bottom w:val="single" w:color="auto" w:sz="4" w:space="0"/>
              <w:right w:val="single" w:color="auto" w:sz="4" w:space="0"/>
            </w:tcBorders>
            <w:vAlign w:val="center"/>
          </w:tcPr>
          <w:p w14:paraId="549F13D9">
            <w:pPr>
              <w:pStyle w:val="49"/>
              <w:jc w:val="center"/>
              <w:rPr>
                <w:i w:val="0"/>
                <w:iCs w:val="0"/>
                <w:color w:val="auto"/>
                <w:sz w:val="21"/>
                <w:szCs w:val="21"/>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4486F19B">
            <w:pPr>
              <w:pStyle w:val="49"/>
              <w:jc w:val="center"/>
              <w:rPr>
                <w:i w:val="0"/>
                <w:iCs w:val="0"/>
                <w:color w:val="auto"/>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vAlign w:val="center"/>
          </w:tcPr>
          <w:p w14:paraId="25BF577C">
            <w:pPr>
              <w:pStyle w:val="49"/>
              <w:jc w:val="center"/>
              <w:rPr>
                <w:i w:val="0"/>
                <w:iCs w:val="0"/>
                <w:color w:val="auto"/>
                <w:sz w:val="21"/>
                <w:szCs w:val="21"/>
                <w:highlight w:val="none"/>
              </w:rPr>
            </w:pPr>
          </w:p>
        </w:tc>
      </w:tr>
      <w:tr w14:paraId="0681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57" w:type="dxa"/>
            <w:tcBorders>
              <w:top w:val="single" w:color="auto" w:sz="4" w:space="0"/>
              <w:left w:val="single" w:color="auto" w:sz="4" w:space="0"/>
              <w:bottom w:val="single" w:color="auto" w:sz="4" w:space="0"/>
              <w:right w:val="single" w:color="auto" w:sz="4" w:space="0"/>
            </w:tcBorders>
            <w:vAlign w:val="center"/>
          </w:tcPr>
          <w:p w14:paraId="0C6D4796">
            <w:pPr>
              <w:pStyle w:val="49"/>
              <w:numPr>
                <w:ilvl w:val="0"/>
                <w:numId w:val="3"/>
              </w:numPr>
              <w:jc w:val="center"/>
              <w:rPr>
                <w:i w:val="0"/>
                <w:iCs w:val="0"/>
                <w:color w:val="auto"/>
                <w:sz w:val="21"/>
                <w:szCs w:val="21"/>
                <w:highlight w:val="none"/>
              </w:rPr>
            </w:pPr>
          </w:p>
        </w:tc>
        <w:tc>
          <w:tcPr>
            <w:tcW w:w="1147" w:type="dxa"/>
            <w:tcBorders>
              <w:top w:val="single" w:color="auto" w:sz="4" w:space="0"/>
              <w:left w:val="single" w:color="auto" w:sz="4" w:space="0"/>
              <w:bottom w:val="single" w:color="auto" w:sz="4" w:space="0"/>
              <w:right w:val="single" w:color="auto" w:sz="4" w:space="0"/>
            </w:tcBorders>
            <w:vAlign w:val="center"/>
          </w:tcPr>
          <w:p w14:paraId="3B8911BB">
            <w:pPr>
              <w:pStyle w:val="49"/>
              <w:jc w:val="center"/>
              <w:rPr>
                <w:i w:val="0"/>
                <w:iCs w:val="0"/>
                <w:color w:val="auto"/>
                <w:sz w:val="21"/>
                <w:szCs w:val="21"/>
                <w:highlight w:val="none"/>
              </w:rPr>
            </w:pPr>
          </w:p>
        </w:tc>
        <w:tc>
          <w:tcPr>
            <w:tcW w:w="972" w:type="dxa"/>
            <w:tcBorders>
              <w:top w:val="single" w:color="auto" w:sz="4" w:space="0"/>
              <w:left w:val="single" w:color="auto" w:sz="4" w:space="0"/>
              <w:bottom w:val="single" w:color="auto" w:sz="4" w:space="0"/>
              <w:right w:val="single" w:color="auto" w:sz="4" w:space="0"/>
            </w:tcBorders>
            <w:vAlign w:val="center"/>
          </w:tcPr>
          <w:p w14:paraId="02038CCE">
            <w:pPr>
              <w:pStyle w:val="49"/>
              <w:jc w:val="center"/>
              <w:rPr>
                <w:i w:val="0"/>
                <w:iCs w:val="0"/>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5C6A7B7B">
            <w:pPr>
              <w:pStyle w:val="49"/>
              <w:jc w:val="center"/>
              <w:rPr>
                <w:i w:val="0"/>
                <w:iCs w:val="0"/>
                <w:color w:val="auto"/>
                <w:sz w:val="21"/>
                <w:szCs w:val="21"/>
                <w:highlight w:val="none"/>
              </w:rPr>
            </w:pPr>
          </w:p>
        </w:tc>
        <w:tc>
          <w:tcPr>
            <w:tcW w:w="696" w:type="dxa"/>
            <w:tcBorders>
              <w:top w:val="single" w:color="auto" w:sz="4" w:space="0"/>
              <w:left w:val="single" w:color="auto" w:sz="4" w:space="0"/>
              <w:bottom w:val="single" w:color="auto" w:sz="4" w:space="0"/>
              <w:right w:val="single" w:color="auto" w:sz="4" w:space="0"/>
            </w:tcBorders>
            <w:vAlign w:val="center"/>
          </w:tcPr>
          <w:p w14:paraId="43789EA7">
            <w:pPr>
              <w:pStyle w:val="49"/>
              <w:jc w:val="center"/>
              <w:rPr>
                <w:i w:val="0"/>
                <w:iCs w:val="0"/>
                <w:color w:val="auto"/>
                <w:sz w:val="21"/>
                <w:szCs w:val="21"/>
                <w:highlight w:val="none"/>
              </w:rPr>
            </w:pPr>
          </w:p>
        </w:tc>
        <w:tc>
          <w:tcPr>
            <w:tcW w:w="648" w:type="dxa"/>
            <w:tcBorders>
              <w:top w:val="single" w:color="auto" w:sz="4" w:space="0"/>
              <w:left w:val="single" w:color="auto" w:sz="4" w:space="0"/>
              <w:bottom w:val="single" w:color="auto" w:sz="4" w:space="0"/>
              <w:right w:val="single" w:color="auto" w:sz="4" w:space="0"/>
            </w:tcBorders>
            <w:vAlign w:val="center"/>
          </w:tcPr>
          <w:p w14:paraId="5FF04AB8">
            <w:pPr>
              <w:pStyle w:val="49"/>
              <w:jc w:val="center"/>
              <w:rPr>
                <w:i w:val="0"/>
                <w:iCs w:val="0"/>
                <w:color w:val="auto"/>
                <w:sz w:val="21"/>
                <w:szCs w:val="21"/>
                <w:highlight w:val="none"/>
              </w:rPr>
            </w:pPr>
          </w:p>
        </w:tc>
        <w:tc>
          <w:tcPr>
            <w:tcW w:w="1128" w:type="dxa"/>
            <w:tcBorders>
              <w:top w:val="single" w:color="auto" w:sz="4" w:space="0"/>
              <w:left w:val="single" w:color="auto" w:sz="4" w:space="0"/>
              <w:bottom w:val="single" w:color="auto" w:sz="4" w:space="0"/>
              <w:right w:val="single" w:color="auto" w:sz="4" w:space="0"/>
            </w:tcBorders>
            <w:vAlign w:val="center"/>
          </w:tcPr>
          <w:p w14:paraId="4192C534">
            <w:pPr>
              <w:pStyle w:val="49"/>
              <w:jc w:val="center"/>
              <w:rPr>
                <w:i w:val="0"/>
                <w:iCs w:val="0"/>
                <w:color w:val="auto"/>
                <w:sz w:val="21"/>
                <w:szCs w:val="21"/>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590F9834">
            <w:pPr>
              <w:pStyle w:val="49"/>
              <w:jc w:val="center"/>
              <w:rPr>
                <w:i w:val="0"/>
                <w:iCs w:val="0"/>
                <w:color w:val="auto"/>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vAlign w:val="center"/>
          </w:tcPr>
          <w:p w14:paraId="40CD8393">
            <w:pPr>
              <w:pStyle w:val="49"/>
              <w:jc w:val="center"/>
              <w:rPr>
                <w:i w:val="0"/>
                <w:iCs w:val="0"/>
                <w:color w:val="auto"/>
                <w:sz w:val="21"/>
                <w:szCs w:val="21"/>
                <w:highlight w:val="none"/>
              </w:rPr>
            </w:pPr>
          </w:p>
        </w:tc>
      </w:tr>
      <w:tr w14:paraId="194F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57" w:type="dxa"/>
            <w:tcBorders>
              <w:top w:val="single" w:color="auto" w:sz="4" w:space="0"/>
              <w:left w:val="single" w:color="auto" w:sz="4" w:space="0"/>
              <w:bottom w:val="single" w:color="auto" w:sz="4" w:space="0"/>
              <w:right w:val="single" w:color="auto" w:sz="4" w:space="0"/>
            </w:tcBorders>
            <w:vAlign w:val="center"/>
          </w:tcPr>
          <w:p w14:paraId="687A0B37">
            <w:pPr>
              <w:pStyle w:val="49"/>
              <w:numPr>
                <w:ilvl w:val="0"/>
                <w:numId w:val="3"/>
              </w:numPr>
              <w:jc w:val="center"/>
              <w:rPr>
                <w:i w:val="0"/>
                <w:iCs w:val="0"/>
                <w:color w:val="auto"/>
                <w:sz w:val="21"/>
                <w:szCs w:val="21"/>
                <w:highlight w:val="none"/>
              </w:rPr>
            </w:pPr>
          </w:p>
        </w:tc>
        <w:tc>
          <w:tcPr>
            <w:tcW w:w="1147" w:type="dxa"/>
            <w:tcBorders>
              <w:top w:val="single" w:color="auto" w:sz="4" w:space="0"/>
              <w:left w:val="single" w:color="auto" w:sz="4" w:space="0"/>
              <w:bottom w:val="single" w:color="auto" w:sz="4" w:space="0"/>
              <w:right w:val="single" w:color="auto" w:sz="4" w:space="0"/>
            </w:tcBorders>
            <w:vAlign w:val="center"/>
          </w:tcPr>
          <w:p w14:paraId="04F6FBCF">
            <w:pPr>
              <w:pStyle w:val="49"/>
              <w:jc w:val="center"/>
              <w:rPr>
                <w:i w:val="0"/>
                <w:iCs w:val="0"/>
                <w:color w:val="auto"/>
                <w:sz w:val="21"/>
                <w:szCs w:val="21"/>
                <w:highlight w:val="none"/>
              </w:rPr>
            </w:pPr>
            <w:r>
              <w:rPr>
                <w:i w:val="0"/>
                <w:iCs w:val="0"/>
                <w:color w:val="auto"/>
                <w:sz w:val="21"/>
                <w:szCs w:val="21"/>
                <w:highlight w:val="none"/>
              </w:rPr>
              <w:t>……</w:t>
            </w:r>
          </w:p>
        </w:tc>
        <w:tc>
          <w:tcPr>
            <w:tcW w:w="972" w:type="dxa"/>
            <w:tcBorders>
              <w:top w:val="single" w:color="auto" w:sz="4" w:space="0"/>
              <w:left w:val="single" w:color="auto" w:sz="4" w:space="0"/>
              <w:bottom w:val="single" w:color="auto" w:sz="4" w:space="0"/>
              <w:right w:val="single" w:color="auto" w:sz="4" w:space="0"/>
            </w:tcBorders>
            <w:vAlign w:val="center"/>
          </w:tcPr>
          <w:p w14:paraId="3E92AC3F">
            <w:pPr>
              <w:pStyle w:val="49"/>
              <w:jc w:val="center"/>
              <w:rPr>
                <w:i w:val="0"/>
                <w:iCs w:val="0"/>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65811A1C">
            <w:pPr>
              <w:pStyle w:val="49"/>
              <w:jc w:val="center"/>
              <w:rPr>
                <w:i w:val="0"/>
                <w:iCs w:val="0"/>
                <w:color w:val="auto"/>
                <w:sz w:val="21"/>
                <w:szCs w:val="21"/>
                <w:highlight w:val="none"/>
              </w:rPr>
            </w:pPr>
          </w:p>
        </w:tc>
        <w:tc>
          <w:tcPr>
            <w:tcW w:w="696" w:type="dxa"/>
            <w:tcBorders>
              <w:top w:val="single" w:color="auto" w:sz="4" w:space="0"/>
              <w:left w:val="single" w:color="auto" w:sz="4" w:space="0"/>
              <w:bottom w:val="single" w:color="auto" w:sz="4" w:space="0"/>
              <w:right w:val="single" w:color="auto" w:sz="4" w:space="0"/>
            </w:tcBorders>
            <w:vAlign w:val="center"/>
          </w:tcPr>
          <w:p w14:paraId="77B9F0BA">
            <w:pPr>
              <w:pStyle w:val="49"/>
              <w:jc w:val="center"/>
              <w:rPr>
                <w:i w:val="0"/>
                <w:iCs w:val="0"/>
                <w:color w:val="auto"/>
                <w:sz w:val="21"/>
                <w:szCs w:val="21"/>
                <w:highlight w:val="none"/>
              </w:rPr>
            </w:pPr>
          </w:p>
        </w:tc>
        <w:tc>
          <w:tcPr>
            <w:tcW w:w="648" w:type="dxa"/>
            <w:tcBorders>
              <w:top w:val="single" w:color="auto" w:sz="4" w:space="0"/>
              <w:left w:val="single" w:color="auto" w:sz="4" w:space="0"/>
              <w:bottom w:val="single" w:color="auto" w:sz="4" w:space="0"/>
              <w:right w:val="single" w:color="auto" w:sz="4" w:space="0"/>
            </w:tcBorders>
            <w:vAlign w:val="center"/>
          </w:tcPr>
          <w:p w14:paraId="45ACA286">
            <w:pPr>
              <w:pStyle w:val="49"/>
              <w:jc w:val="center"/>
              <w:rPr>
                <w:i w:val="0"/>
                <w:iCs w:val="0"/>
                <w:color w:val="auto"/>
                <w:sz w:val="21"/>
                <w:szCs w:val="21"/>
                <w:highlight w:val="none"/>
              </w:rPr>
            </w:pPr>
          </w:p>
        </w:tc>
        <w:tc>
          <w:tcPr>
            <w:tcW w:w="1128" w:type="dxa"/>
            <w:tcBorders>
              <w:top w:val="single" w:color="auto" w:sz="4" w:space="0"/>
              <w:left w:val="single" w:color="auto" w:sz="4" w:space="0"/>
              <w:bottom w:val="single" w:color="auto" w:sz="4" w:space="0"/>
              <w:right w:val="single" w:color="auto" w:sz="4" w:space="0"/>
            </w:tcBorders>
            <w:vAlign w:val="center"/>
          </w:tcPr>
          <w:p w14:paraId="227ED33B">
            <w:pPr>
              <w:pStyle w:val="49"/>
              <w:jc w:val="center"/>
              <w:rPr>
                <w:i w:val="0"/>
                <w:iCs w:val="0"/>
                <w:color w:val="auto"/>
                <w:sz w:val="21"/>
                <w:szCs w:val="21"/>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3AC4A1DA">
            <w:pPr>
              <w:pStyle w:val="49"/>
              <w:jc w:val="center"/>
              <w:rPr>
                <w:i w:val="0"/>
                <w:iCs w:val="0"/>
                <w:color w:val="auto"/>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vAlign w:val="center"/>
          </w:tcPr>
          <w:p w14:paraId="0D3B89C2">
            <w:pPr>
              <w:pStyle w:val="49"/>
              <w:jc w:val="center"/>
              <w:rPr>
                <w:i w:val="0"/>
                <w:iCs w:val="0"/>
                <w:color w:val="auto"/>
                <w:sz w:val="21"/>
                <w:szCs w:val="21"/>
                <w:highlight w:val="none"/>
              </w:rPr>
            </w:pPr>
          </w:p>
        </w:tc>
      </w:tr>
    </w:tbl>
    <w:p w14:paraId="180808BB">
      <w:pPr>
        <w:spacing w:line="300" w:lineRule="auto"/>
        <w:rPr>
          <w:rFonts w:ascii="Arial" w:hAnsi="Arial" w:cs="Arial"/>
          <w:i w:val="0"/>
          <w:iCs w:val="0"/>
          <w:color w:val="auto"/>
          <w:szCs w:val="21"/>
          <w:highlight w:val="none"/>
        </w:rPr>
      </w:pPr>
    </w:p>
    <w:p w14:paraId="2A95E8AD">
      <w:pPr>
        <w:spacing w:line="300" w:lineRule="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2</w:t>
      </w:r>
      <w:r>
        <w:rPr>
          <w:rFonts w:hint="eastAsia" w:ascii="宋体" w:hAnsi="宋体" w:eastAsia="宋体" w:cs="宋体"/>
          <w:i w:val="0"/>
          <w:iCs w:val="0"/>
          <w:color w:val="auto"/>
          <w:szCs w:val="21"/>
          <w:highlight w:val="none"/>
          <w:lang w:eastAsia="zh-CN"/>
        </w:rPr>
        <w:t>、</w:t>
      </w:r>
      <w:r>
        <w:rPr>
          <w:rFonts w:hint="eastAsia" w:ascii="宋体" w:hAnsi="宋体" w:eastAsia="宋体" w:cs="宋体"/>
          <w:i w:val="0"/>
          <w:iCs w:val="0"/>
          <w:color w:val="auto"/>
          <w:szCs w:val="21"/>
          <w:highlight w:val="none"/>
        </w:rPr>
        <w:t>环保产品</w:t>
      </w:r>
    </w:p>
    <w:tbl>
      <w:tblPr>
        <w:tblStyle w:val="31"/>
        <w:tblW w:w="8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6"/>
        <w:gridCol w:w="1140"/>
        <w:gridCol w:w="1272"/>
        <w:gridCol w:w="816"/>
        <w:gridCol w:w="816"/>
        <w:gridCol w:w="1032"/>
        <w:gridCol w:w="1167"/>
        <w:gridCol w:w="1170"/>
      </w:tblGrid>
      <w:tr w14:paraId="548C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6B0768D">
            <w:pPr>
              <w:pStyle w:val="49"/>
              <w:jc w:val="center"/>
              <w:rPr>
                <w:i w:val="0"/>
                <w:iCs w:val="0"/>
                <w:color w:val="auto"/>
                <w:sz w:val="21"/>
                <w:szCs w:val="21"/>
                <w:highlight w:val="none"/>
              </w:rPr>
            </w:pPr>
            <w:r>
              <w:rPr>
                <w:rFonts w:hint="eastAsia"/>
                <w:i w:val="0"/>
                <w:iCs w:val="0"/>
                <w:color w:val="auto"/>
                <w:sz w:val="21"/>
                <w:szCs w:val="21"/>
                <w:highlight w:val="none"/>
              </w:rPr>
              <w:t>序号</w:t>
            </w:r>
          </w:p>
        </w:tc>
        <w:tc>
          <w:tcPr>
            <w:tcW w:w="1140" w:type="dxa"/>
            <w:tcBorders>
              <w:top w:val="single" w:color="auto" w:sz="4" w:space="0"/>
              <w:left w:val="single" w:color="auto" w:sz="4" w:space="0"/>
              <w:bottom w:val="single" w:color="auto" w:sz="4" w:space="0"/>
              <w:right w:val="single" w:color="auto" w:sz="4" w:space="0"/>
            </w:tcBorders>
            <w:vAlign w:val="center"/>
          </w:tcPr>
          <w:p w14:paraId="0DE0587C">
            <w:pPr>
              <w:pStyle w:val="49"/>
              <w:jc w:val="center"/>
              <w:rPr>
                <w:i w:val="0"/>
                <w:iCs w:val="0"/>
                <w:color w:val="auto"/>
                <w:sz w:val="21"/>
                <w:szCs w:val="21"/>
                <w:highlight w:val="none"/>
              </w:rPr>
            </w:pPr>
            <w:r>
              <w:rPr>
                <w:rFonts w:hint="eastAsia"/>
                <w:i w:val="0"/>
                <w:iCs w:val="0"/>
                <w:color w:val="auto"/>
                <w:sz w:val="21"/>
                <w:szCs w:val="21"/>
                <w:highlight w:val="none"/>
              </w:rPr>
              <w:t>设备名称</w:t>
            </w:r>
          </w:p>
        </w:tc>
        <w:tc>
          <w:tcPr>
            <w:tcW w:w="1272" w:type="dxa"/>
            <w:tcBorders>
              <w:top w:val="single" w:color="auto" w:sz="4" w:space="0"/>
              <w:left w:val="single" w:color="auto" w:sz="4" w:space="0"/>
              <w:bottom w:val="single" w:color="auto" w:sz="4" w:space="0"/>
              <w:right w:val="single" w:color="auto" w:sz="4" w:space="0"/>
            </w:tcBorders>
            <w:vAlign w:val="center"/>
          </w:tcPr>
          <w:p w14:paraId="725FF72D">
            <w:pPr>
              <w:pStyle w:val="49"/>
              <w:jc w:val="center"/>
              <w:rPr>
                <w:i w:val="0"/>
                <w:iCs w:val="0"/>
                <w:color w:val="auto"/>
                <w:sz w:val="21"/>
                <w:szCs w:val="21"/>
                <w:highlight w:val="none"/>
              </w:rPr>
            </w:pPr>
            <w:r>
              <w:rPr>
                <w:rFonts w:hint="eastAsia"/>
                <w:i w:val="0"/>
                <w:iCs w:val="0"/>
                <w:color w:val="auto"/>
                <w:sz w:val="21"/>
                <w:szCs w:val="21"/>
                <w:highlight w:val="none"/>
              </w:rPr>
              <w:t>制造商</w:t>
            </w:r>
          </w:p>
          <w:p w14:paraId="37CC266E">
            <w:pPr>
              <w:pStyle w:val="49"/>
              <w:jc w:val="center"/>
              <w:rPr>
                <w:i w:val="0"/>
                <w:iCs w:val="0"/>
                <w:color w:val="auto"/>
                <w:sz w:val="21"/>
                <w:szCs w:val="21"/>
                <w:highlight w:val="none"/>
              </w:rPr>
            </w:pPr>
            <w:r>
              <w:rPr>
                <w:rFonts w:hint="eastAsia"/>
                <w:i w:val="0"/>
                <w:iCs w:val="0"/>
                <w:color w:val="auto"/>
                <w:sz w:val="21"/>
                <w:szCs w:val="21"/>
                <w:highlight w:val="none"/>
              </w:rPr>
              <w:t>名称</w:t>
            </w:r>
          </w:p>
        </w:tc>
        <w:tc>
          <w:tcPr>
            <w:tcW w:w="816" w:type="dxa"/>
            <w:tcBorders>
              <w:top w:val="single" w:color="auto" w:sz="4" w:space="0"/>
              <w:left w:val="single" w:color="auto" w:sz="4" w:space="0"/>
              <w:bottom w:val="single" w:color="auto" w:sz="4" w:space="0"/>
              <w:right w:val="single" w:color="auto" w:sz="4" w:space="0"/>
            </w:tcBorders>
            <w:vAlign w:val="center"/>
          </w:tcPr>
          <w:p w14:paraId="181ED2D6">
            <w:pPr>
              <w:pStyle w:val="49"/>
              <w:jc w:val="center"/>
              <w:rPr>
                <w:i w:val="0"/>
                <w:iCs w:val="0"/>
                <w:color w:val="auto"/>
                <w:sz w:val="21"/>
                <w:szCs w:val="21"/>
                <w:highlight w:val="none"/>
              </w:rPr>
            </w:pPr>
            <w:r>
              <w:rPr>
                <w:rFonts w:hint="eastAsia"/>
                <w:i w:val="0"/>
                <w:iCs w:val="0"/>
                <w:color w:val="auto"/>
                <w:sz w:val="21"/>
                <w:szCs w:val="21"/>
                <w:highlight w:val="none"/>
              </w:rPr>
              <w:t>品牌</w:t>
            </w:r>
          </w:p>
        </w:tc>
        <w:tc>
          <w:tcPr>
            <w:tcW w:w="816" w:type="dxa"/>
            <w:tcBorders>
              <w:top w:val="single" w:color="auto" w:sz="4" w:space="0"/>
              <w:left w:val="single" w:color="auto" w:sz="4" w:space="0"/>
              <w:bottom w:val="single" w:color="auto" w:sz="4" w:space="0"/>
              <w:right w:val="single" w:color="auto" w:sz="4" w:space="0"/>
            </w:tcBorders>
            <w:vAlign w:val="center"/>
          </w:tcPr>
          <w:p w14:paraId="1824C72D">
            <w:pPr>
              <w:pStyle w:val="49"/>
              <w:jc w:val="center"/>
              <w:rPr>
                <w:i w:val="0"/>
                <w:iCs w:val="0"/>
                <w:color w:val="auto"/>
                <w:sz w:val="21"/>
                <w:szCs w:val="21"/>
                <w:highlight w:val="none"/>
              </w:rPr>
            </w:pPr>
            <w:r>
              <w:rPr>
                <w:rFonts w:hint="eastAsia"/>
                <w:i w:val="0"/>
                <w:iCs w:val="0"/>
                <w:color w:val="auto"/>
                <w:sz w:val="21"/>
                <w:szCs w:val="21"/>
                <w:highlight w:val="none"/>
              </w:rPr>
              <w:t>型号</w:t>
            </w:r>
          </w:p>
        </w:tc>
        <w:tc>
          <w:tcPr>
            <w:tcW w:w="1032" w:type="dxa"/>
            <w:tcBorders>
              <w:top w:val="single" w:color="auto" w:sz="4" w:space="0"/>
              <w:left w:val="single" w:color="auto" w:sz="4" w:space="0"/>
              <w:bottom w:val="single" w:color="auto" w:sz="4" w:space="0"/>
              <w:right w:val="single" w:color="auto" w:sz="4" w:space="0"/>
            </w:tcBorders>
            <w:vAlign w:val="center"/>
          </w:tcPr>
          <w:p w14:paraId="51648D77">
            <w:pPr>
              <w:pStyle w:val="49"/>
              <w:jc w:val="center"/>
              <w:rPr>
                <w:i w:val="0"/>
                <w:iCs w:val="0"/>
                <w:color w:val="auto"/>
                <w:sz w:val="21"/>
                <w:szCs w:val="21"/>
                <w:highlight w:val="none"/>
              </w:rPr>
            </w:pPr>
            <w:r>
              <w:rPr>
                <w:rFonts w:hint="eastAsia"/>
                <w:i w:val="0"/>
                <w:iCs w:val="0"/>
                <w:color w:val="auto"/>
                <w:sz w:val="21"/>
                <w:szCs w:val="21"/>
                <w:highlight w:val="none"/>
              </w:rPr>
              <w:t>数量</w:t>
            </w:r>
          </w:p>
        </w:tc>
        <w:tc>
          <w:tcPr>
            <w:tcW w:w="1167" w:type="dxa"/>
            <w:tcBorders>
              <w:top w:val="single" w:color="auto" w:sz="4" w:space="0"/>
              <w:left w:val="single" w:color="auto" w:sz="4" w:space="0"/>
              <w:bottom w:val="single" w:color="auto" w:sz="4" w:space="0"/>
              <w:right w:val="single" w:color="auto" w:sz="4" w:space="0"/>
            </w:tcBorders>
            <w:vAlign w:val="center"/>
          </w:tcPr>
          <w:p w14:paraId="11FD54B1">
            <w:pPr>
              <w:pStyle w:val="49"/>
              <w:jc w:val="center"/>
              <w:rPr>
                <w:i w:val="0"/>
                <w:iCs w:val="0"/>
                <w:color w:val="auto"/>
                <w:sz w:val="21"/>
                <w:szCs w:val="21"/>
                <w:highlight w:val="none"/>
              </w:rPr>
            </w:pPr>
            <w:r>
              <w:rPr>
                <w:rFonts w:hint="eastAsia"/>
                <w:i w:val="0"/>
                <w:iCs w:val="0"/>
                <w:color w:val="auto"/>
                <w:sz w:val="21"/>
                <w:szCs w:val="21"/>
                <w:highlight w:val="none"/>
              </w:rPr>
              <w:t>单价</w:t>
            </w:r>
          </w:p>
          <w:p w14:paraId="08817B70">
            <w:pPr>
              <w:pStyle w:val="49"/>
              <w:jc w:val="center"/>
              <w:rPr>
                <w:i w:val="0"/>
                <w:iCs w:val="0"/>
                <w:color w:val="auto"/>
                <w:sz w:val="21"/>
                <w:szCs w:val="21"/>
                <w:highlight w:val="none"/>
              </w:rPr>
            </w:pPr>
            <w:r>
              <w:rPr>
                <w:rFonts w:hint="eastAsia"/>
                <w:i w:val="0"/>
                <w:iCs w:val="0"/>
                <w:color w:val="auto"/>
                <w:sz w:val="21"/>
                <w:szCs w:val="21"/>
                <w:highlight w:val="none"/>
              </w:rPr>
              <w:t>（万元）</w:t>
            </w:r>
          </w:p>
        </w:tc>
        <w:tc>
          <w:tcPr>
            <w:tcW w:w="1170" w:type="dxa"/>
            <w:tcBorders>
              <w:top w:val="single" w:color="auto" w:sz="4" w:space="0"/>
              <w:left w:val="single" w:color="auto" w:sz="4" w:space="0"/>
              <w:bottom w:val="single" w:color="auto" w:sz="4" w:space="0"/>
              <w:right w:val="single" w:color="auto" w:sz="4" w:space="0"/>
            </w:tcBorders>
            <w:vAlign w:val="center"/>
          </w:tcPr>
          <w:p w14:paraId="3D9DA191">
            <w:pPr>
              <w:pStyle w:val="49"/>
              <w:jc w:val="center"/>
              <w:rPr>
                <w:i w:val="0"/>
                <w:iCs w:val="0"/>
                <w:color w:val="auto"/>
                <w:sz w:val="21"/>
                <w:szCs w:val="21"/>
                <w:highlight w:val="none"/>
              </w:rPr>
            </w:pPr>
            <w:r>
              <w:rPr>
                <w:rFonts w:hint="eastAsia"/>
                <w:i w:val="0"/>
                <w:iCs w:val="0"/>
                <w:color w:val="auto"/>
                <w:sz w:val="21"/>
                <w:szCs w:val="21"/>
                <w:highlight w:val="none"/>
              </w:rPr>
              <w:t>总价</w:t>
            </w:r>
          </w:p>
          <w:p w14:paraId="658882C8">
            <w:pPr>
              <w:pStyle w:val="49"/>
              <w:jc w:val="center"/>
              <w:rPr>
                <w:i w:val="0"/>
                <w:iCs w:val="0"/>
                <w:color w:val="auto"/>
                <w:sz w:val="21"/>
                <w:szCs w:val="21"/>
                <w:highlight w:val="none"/>
              </w:rPr>
            </w:pPr>
            <w:r>
              <w:rPr>
                <w:rFonts w:hint="eastAsia"/>
                <w:i w:val="0"/>
                <w:iCs w:val="0"/>
                <w:color w:val="auto"/>
                <w:sz w:val="21"/>
                <w:szCs w:val="21"/>
                <w:highlight w:val="none"/>
              </w:rPr>
              <w:t>（万元）</w:t>
            </w:r>
          </w:p>
        </w:tc>
      </w:tr>
      <w:tr w14:paraId="78AD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5703B4E">
            <w:pPr>
              <w:pStyle w:val="49"/>
              <w:numPr>
                <w:ilvl w:val="0"/>
                <w:numId w:val="4"/>
              </w:numPr>
              <w:jc w:val="center"/>
              <w:rPr>
                <w:i w:val="0"/>
                <w:iCs w:val="0"/>
                <w:color w:val="auto"/>
                <w:sz w:val="21"/>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3C96FA61">
            <w:pPr>
              <w:pStyle w:val="49"/>
              <w:jc w:val="center"/>
              <w:rPr>
                <w:i w:val="0"/>
                <w:iCs w:val="0"/>
                <w:color w:val="auto"/>
                <w:sz w:val="21"/>
                <w:szCs w:val="21"/>
                <w:highlight w:val="none"/>
              </w:rPr>
            </w:pPr>
          </w:p>
        </w:tc>
        <w:tc>
          <w:tcPr>
            <w:tcW w:w="1272" w:type="dxa"/>
            <w:tcBorders>
              <w:top w:val="single" w:color="auto" w:sz="4" w:space="0"/>
              <w:left w:val="single" w:color="auto" w:sz="4" w:space="0"/>
              <w:bottom w:val="single" w:color="auto" w:sz="4" w:space="0"/>
              <w:right w:val="single" w:color="auto" w:sz="4" w:space="0"/>
            </w:tcBorders>
            <w:vAlign w:val="center"/>
          </w:tcPr>
          <w:p w14:paraId="1B1A9DDD">
            <w:pPr>
              <w:pStyle w:val="49"/>
              <w:jc w:val="center"/>
              <w:rPr>
                <w:i w:val="0"/>
                <w:iCs w:val="0"/>
                <w:color w:val="auto"/>
                <w:sz w:val="21"/>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52D7C54C">
            <w:pPr>
              <w:pStyle w:val="49"/>
              <w:jc w:val="center"/>
              <w:rPr>
                <w:i w:val="0"/>
                <w:iCs w:val="0"/>
                <w:color w:val="auto"/>
                <w:sz w:val="21"/>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26E00ACD">
            <w:pPr>
              <w:pStyle w:val="49"/>
              <w:jc w:val="center"/>
              <w:rPr>
                <w:i w:val="0"/>
                <w:iCs w:val="0"/>
                <w:color w:val="auto"/>
                <w:sz w:val="21"/>
                <w:szCs w:val="21"/>
                <w:highlight w:val="none"/>
              </w:rPr>
            </w:pPr>
          </w:p>
        </w:tc>
        <w:tc>
          <w:tcPr>
            <w:tcW w:w="1032" w:type="dxa"/>
            <w:tcBorders>
              <w:top w:val="single" w:color="auto" w:sz="4" w:space="0"/>
              <w:left w:val="single" w:color="auto" w:sz="4" w:space="0"/>
              <w:bottom w:val="single" w:color="auto" w:sz="4" w:space="0"/>
              <w:right w:val="single" w:color="auto" w:sz="4" w:space="0"/>
            </w:tcBorders>
            <w:vAlign w:val="center"/>
          </w:tcPr>
          <w:p w14:paraId="65197D7B">
            <w:pPr>
              <w:pStyle w:val="49"/>
              <w:jc w:val="center"/>
              <w:rPr>
                <w:i w:val="0"/>
                <w:iCs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00DA51ED">
            <w:pPr>
              <w:pStyle w:val="49"/>
              <w:jc w:val="center"/>
              <w:rPr>
                <w:i w:val="0"/>
                <w:iCs w:val="0"/>
                <w:color w:val="auto"/>
                <w:sz w:val="21"/>
                <w:szCs w:val="21"/>
                <w:highlight w:val="none"/>
              </w:rPr>
            </w:pPr>
          </w:p>
        </w:tc>
        <w:tc>
          <w:tcPr>
            <w:tcW w:w="1170" w:type="dxa"/>
            <w:tcBorders>
              <w:top w:val="single" w:color="auto" w:sz="4" w:space="0"/>
              <w:left w:val="single" w:color="auto" w:sz="4" w:space="0"/>
              <w:bottom w:val="single" w:color="auto" w:sz="4" w:space="0"/>
              <w:right w:val="single" w:color="auto" w:sz="4" w:space="0"/>
            </w:tcBorders>
            <w:vAlign w:val="center"/>
          </w:tcPr>
          <w:p w14:paraId="4BCBAC93">
            <w:pPr>
              <w:pStyle w:val="49"/>
              <w:jc w:val="center"/>
              <w:rPr>
                <w:i w:val="0"/>
                <w:iCs w:val="0"/>
                <w:color w:val="auto"/>
                <w:sz w:val="21"/>
                <w:szCs w:val="21"/>
                <w:highlight w:val="none"/>
              </w:rPr>
            </w:pPr>
          </w:p>
        </w:tc>
      </w:tr>
      <w:tr w14:paraId="7837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0529DA8B">
            <w:pPr>
              <w:pStyle w:val="49"/>
              <w:numPr>
                <w:ilvl w:val="0"/>
                <w:numId w:val="4"/>
              </w:numPr>
              <w:jc w:val="center"/>
              <w:rPr>
                <w:i w:val="0"/>
                <w:iCs w:val="0"/>
                <w:color w:val="auto"/>
                <w:sz w:val="21"/>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5BBDDCFE">
            <w:pPr>
              <w:pStyle w:val="49"/>
              <w:jc w:val="center"/>
              <w:rPr>
                <w:i w:val="0"/>
                <w:iCs w:val="0"/>
                <w:color w:val="auto"/>
                <w:sz w:val="21"/>
                <w:szCs w:val="21"/>
                <w:highlight w:val="none"/>
              </w:rPr>
            </w:pPr>
          </w:p>
        </w:tc>
        <w:tc>
          <w:tcPr>
            <w:tcW w:w="1272" w:type="dxa"/>
            <w:tcBorders>
              <w:top w:val="single" w:color="auto" w:sz="4" w:space="0"/>
              <w:left w:val="single" w:color="auto" w:sz="4" w:space="0"/>
              <w:bottom w:val="single" w:color="auto" w:sz="4" w:space="0"/>
              <w:right w:val="single" w:color="auto" w:sz="4" w:space="0"/>
            </w:tcBorders>
            <w:vAlign w:val="center"/>
          </w:tcPr>
          <w:p w14:paraId="23669DDA">
            <w:pPr>
              <w:pStyle w:val="49"/>
              <w:jc w:val="center"/>
              <w:rPr>
                <w:i w:val="0"/>
                <w:iCs w:val="0"/>
                <w:color w:val="auto"/>
                <w:sz w:val="21"/>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35BCA2F2">
            <w:pPr>
              <w:pStyle w:val="49"/>
              <w:jc w:val="center"/>
              <w:rPr>
                <w:i w:val="0"/>
                <w:iCs w:val="0"/>
                <w:color w:val="auto"/>
                <w:sz w:val="21"/>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139AD782">
            <w:pPr>
              <w:pStyle w:val="49"/>
              <w:jc w:val="center"/>
              <w:rPr>
                <w:i w:val="0"/>
                <w:iCs w:val="0"/>
                <w:color w:val="auto"/>
                <w:sz w:val="21"/>
                <w:szCs w:val="21"/>
                <w:highlight w:val="none"/>
              </w:rPr>
            </w:pPr>
          </w:p>
        </w:tc>
        <w:tc>
          <w:tcPr>
            <w:tcW w:w="1032" w:type="dxa"/>
            <w:tcBorders>
              <w:top w:val="single" w:color="auto" w:sz="4" w:space="0"/>
              <w:left w:val="single" w:color="auto" w:sz="4" w:space="0"/>
              <w:bottom w:val="single" w:color="auto" w:sz="4" w:space="0"/>
              <w:right w:val="single" w:color="auto" w:sz="4" w:space="0"/>
            </w:tcBorders>
            <w:vAlign w:val="center"/>
          </w:tcPr>
          <w:p w14:paraId="4465E61E">
            <w:pPr>
              <w:pStyle w:val="49"/>
              <w:jc w:val="center"/>
              <w:rPr>
                <w:i w:val="0"/>
                <w:iCs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271E9191">
            <w:pPr>
              <w:pStyle w:val="49"/>
              <w:jc w:val="center"/>
              <w:rPr>
                <w:i w:val="0"/>
                <w:iCs w:val="0"/>
                <w:color w:val="auto"/>
                <w:sz w:val="21"/>
                <w:szCs w:val="21"/>
                <w:highlight w:val="none"/>
              </w:rPr>
            </w:pPr>
          </w:p>
        </w:tc>
        <w:tc>
          <w:tcPr>
            <w:tcW w:w="1170" w:type="dxa"/>
            <w:tcBorders>
              <w:top w:val="single" w:color="auto" w:sz="4" w:space="0"/>
              <w:left w:val="single" w:color="auto" w:sz="4" w:space="0"/>
              <w:bottom w:val="single" w:color="auto" w:sz="4" w:space="0"/>
              <w:right w:val="single" w:color="auto" w:sz="4" w:space="0"/>
            </w:tcBorders>
            <w:vAlign w:val="center"/>
          </w:tcPr>
          <w:p w14:paraId="5A3CCE46">
            <w:pPr>
              <w:pStyle w:val="49"/>
              <w:jc w:val="center"/>
              <w:rPr>
                <w:i w:val="0"/>
                <w:iCs w:val="0"/>
                <w:color w:val="auto"/>
                <w:sz w:val="21"/>
                <w:szCs w:val="21"/>
                <w:highlight w:val="none"/>
              </w:rPr>
            </w:pPr>
          </w:p>
        </w:tc>
      </w:tr>
      <w:tr w14:paraId="20F0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724D44C1">
            <w:pPr>
              <w:pStyle w:val="49"/>
              <w:numPr>
                <w:ilvl w:val="0"/>
                <w:numId w:val="4"/>
              </w:numPr>
              <w:jc w:val="center"/>
              <w:rPr>
                <w:i w:val="0"/>
                <w:iCs w:val="0"/>
                <w:color w:val="auto"/>
                <w:sz w:val="21"/>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1EB594D7">
            <w:pPr>
              <w:pStyle w:val="49"/>
              <w:jc w:val="center"/>
              <w:rPr>
                <w:i w:val="0"/>
                <w:iCs w:val="0"/>
                <w:color w:val="auto"/>
                <w:sz w:val="21"/>
                <w:szCs w:val="21"/>
                <w:highlight w:val="none"/>
              </w:rPr>
            </w:pPr>
            <w:r>
              <w:rPr>
                <w:i w:val="0"/>
                <w:iCs w:val="0"/>
                <w:color w:val="auto"/>
                <w:sz w:val="21"/>
                <w:szCs w:val="21"/>
                <w:highlight w:val="none"/>
              </w:rPr>
              <w:t>……</w:t>
            </w:r>
          </w:p>
        </w:tc>
        <w:tc>
          <w:tcPr>
            <w:tcW w:w="1272" w:type="dxa"/>
            <w:tcBorders>
              <w:top w:val="single" w:color="auto" w:sz="4" w:space="0"/>
              <w:left w:val="single" w:color="auto" w:sz="4" w:space="0"/>
              <w:bottom w:val="single" w:color="auto" w:sz="4" w:space="0"/>
              <w:right w:val="single" w:color="auto" w:sz="4" w:space="0"/>
            </w:tcBorders>
            <w:vAlign w:val="center"/>
          </w:tcPr>
          <w:p w14:paraId="4D7DB35C">
            <w:pPr>
              <w:pStyle w:val="49"/>
              <w:jc w:val="center"/>
              <w:rPr>
                <w:i w:val="0"/>
                <w:iCs w:val="0"/>
                <w:color w:val="auto"/>
                <w:sz w:val="21"/>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4C1BF136">
            <w:pPr>
              <w:pStyle w:val="49"/>
              <w:jc w:val="center"/>
              <w:rPr>
                <w:i w:val="0"/>
                <w:iCs w:val="0"/>
                <w:color w:val="auto"/>
                <w:sz w:val="21"/>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0C814958">
            <w:pPr>
              <w:pStyle w:val="49"/>
              <w:jc w:val="center"/>
              <w:rPr>
                <w:i w:val="0"/>
                <w:iCs w:val="0"/>
                <w:color w:val="auto"/>
                <w:sz w:val="21"/>
                <w:szCs w:val="21"/>
                <w:highlight w:val="none"/>
              </w:rPr>
            </w:pPr>
          </w:p>
        </w:tc>
        <w:tc>
          <w:tcPr>
            <w:tcW w:w="1032" w:type="dxa"/>
            <w:tcBorders>
              <w:top w:val="single" w:color="auto" w:sz="4" w:space="0"/>
              <w:left w:val="single" w:color="auto" w:sz="4" w:space="0"/>
              <w:bottom w:val="single" w:color="auto" w:sz="4" w:space="0"/>
              <w:right w:val="single" w:color="auto" w:sz="4" w:space="0"/>
            </w:tcBorders>
            <w:vAlign w:val="center"/>
          </w:tcPr>
          <w:p w14:paraId="3F9604ED">
            <w:pPr>
              <w:pStyle w:val="49"/>
              <w:jc w:val="center"/>
              <w:rPr>
                <w:i w:val="0"/>
                <w:iCs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73221FFC">
            <w:pPr>
              <w:pStyle w:val="49"/>
              <w:jc w:val="center"/>
              <w:rPr>
                <w:i w:val="0"/>
                <w:iCs w:val="0"/>
                <w:color w:val="auto"/>
                <w:sz w:val="21"/>
                <w:szCs w:val="21"/>
                <w:highlight w:val="none"/>
              </w:rPr>
            </w:pPr>
          </w:p>
        </w:tc>
        <w:tc>
          <w:tcPr>
            <w:tcW w:w="1170" w:type="dxa"/>
            <w:tcBorders>
              <w:top w:val="single" w:color="auto" w:sz="4" w:space="0"/>
              <w:left w:val="single" w:color="auto" w:sz="4" w:space="0"/>
              <w:bottom w:val="single" w:color="auto" w:sz="4" w:space="0"/>
              <w:right w:val="single" w:color="auto" w:sz="4" w:space="0"/>
            </w:tcBorders>
            <w:vAlign w:val="center"/>
          </w:tcPr>
          <w:p w14:paraId="6816AA65">
            <w:pPr>
              <w:pStyle w:val="49"/>
              <w:jc w:val="center"/>
              <w:rPr>
                <w:i w:val="0"/>
                <w:iCs w:val="0"/>
                <w:color w:val="auto"/>
                <w:sz w:val="21"/>
                <w:szCs w:val="21"/>
                <w:highlight w:val="none"/>
              </w:rPr>
            </w:pPr>
          </w:p>
        </w:tc>
      </w:tr>
    </w:tbl>
    <w:p w14:paraId="568B8C01">
      <w:pPr>
        <w:spacing w:line="300" w:lineRule="auto"/>
        <w:rPr>
          <w:rFonts w:ascii="Arial" w:hAnsi="Arial" w:cs="Arial"/>
          <w:i w:val="0"/>
          <w:iCs w:val="0"/>
          <w:color w:val="auto"/>
          <w:szCs w:val="21"/>
          <w:highlight w:val="none"/>
        </w:rPr>
      </w:pPr>
    </w:p>
    <w:p w14:paraId="21E6F1AC">
      <w:pPr>
        <w:keepNext w:val="0"/>
        <w:keepLines w:val="0"/>
        <w:pageBreakBefore w:val="0"/>
        <w:widowControl w:val="0"/>
        <w:kinsoku/>
        <w:wordWrap/>
        <w:overflowPunct/>
        <w:topLinePunct w:val="0"/>
        <w:autoSpaceDE/>
        <w:autoSpaceDN/>
        <w:bidi w:val="0"/>
        <w:adjustRightInd/>
        <w:snapToGrid/>
        <w:textAlignment w:val="auto"/>
        <w:rPr>
          <w:rFonts w:ascii="Arial" w:hAnsi="Arial" w:cs="Arial"/>
          <w:b/>
          <w:i w:val="0"/>
          <w:iCs w:val="0"/>
          <w:color w:val="auto"/>
          <w:szCs w:val="21"/>
          <w:highlight w:val="none"/>
        </w:rPr>
      </w:pPr>
      <w:r>
        <w:rPr>
          <w:rFonts w:hint="eastAsia" w:ascii="Arial" w:hAnsi="Arial" w:cs="Arial"/>
          <w:b/>
          <w:i w:val="0"/>
          <w:iCs w:val="0"/>
          <w:color w:val="auto"/>
          <w:sz w:val="21"/>
          <w:szCs w:val="21"/>
          <w:highlight w:val="none"/>
        </w:rPr>
        <w:t>特别说明：</w:t>
      </w:r>
      <w:r>
        <w:rPr>
          <w:rFonts w:hint="eastAsia" w:ascii="Arial" w:hAnsi="Arial" w:cs="Arial"/>
          <w:b/>
          <w:i w:val="0"/>
          <w:iCs w:val="0"/>
          <w:color w:val="auto"/>
          <w:sz w:val="21"/>
          <w:szCs w:val="21"/>
          <w:highlight w:val="none"/>
          <w:lang w:val="en-US" w:eastAsia="zh-CN"/>
        </w:rPr>
        <w:t>供应商</w:t>
      </w:r>
      <w:r>
        <w:rPr>
          <w:rFonts w:hint="eastAsia" w:ascii="Arial" w:hAnsi="Arial" w:cs="Arial"/>
          <w:b/>
          <w:i w:val="0"/>
          <w:iCs w:val="0"/>
          <w:color w:val="auto"/>
          <w:sz w:val="21"/>
          <w:szCs w:val="21"/>
          <w:highlight w:val="none"/>
        </w:rPr>
        <w:t>应将所投产品中节能、环保产品分别列入上表中，并按本</w:t>
      </w:r>
      <w:r>
        <w:rPr>
          <w:rFonts w:hint="eastAsia" w:ascii="Arial" w:hAnsi="Arial" w:cs="Arial"/>
          <w:b/>
          <w:i w:val="0"/>
          <w:iCs w:val="0"/>
          <w:color w:val="auto"/>
          <w:sz w:val="21"/>
          <w:szCs w:val="21"/>
          <w:highlight w:val="none"/>
          <w:lang w:val="en-US" w:eastAsia="zh-CN"/>
        </w:rPr>
        <w:t>竞争性磋商</w:t>
      </w:r>
      <w:r>
        <w:rPr>
          <w:rFonts w:hint="eastAsia" w:ascii="Arial" w:hAnsi="Arial" w:cs="Arial"/>
          <w:b/>
          <w:i w:val="0"/>
          <w:iCs w:val="0"/>
          <w:color w:val="auto"/>
          <w:sz w:val="21"/>
          <w:szCs w:val="21"/>
          <w:highlight w:val="none"/>
        </w:rPr>
        <w:t>文件</w:t>
      </w:r>
      <w:r>
        <w:rPr>
          <w:rFonts w:hint="eastAsia" w:ascii="Arial" w:hAnsi="Arial" w:eastAsia="宋体" w:cs="Arial"/>
          <w:b/>
          <w:i w:val="0"/>
          <w:iCs w:val="0"/>
          <w:color w:val="auto"/>
          <w:sz w:val="21"/>
          <w:szCs w:val="21"/>
          <w:highlight w:val="none"/>
          <w:lang w:val="en-US" w:eastAsia="zh-CN"/>
        </w:rPr>
        <w:t>“</w:t>
      </w:r>
      <w:r>
        <w:rPr>
          <w:rFonts w:hint="eastAsia" w:ascii="Arial" w:hAnsi="Arial" w:eastAsia="宋体" w:cs="Arial"/>
          <w:b/>
          <w:i w:val="0"/>
          <w:iCs w:val="0"/>
          <w:color w:val="auto"/>
          <w:sz w:val="21"/>
          <w:szCs w:val="21"/>
          <w:highlight w:val="none"/>
        </w:rPr>
        <w:t>第二章</w:t>
      </w:r>
      <w:r>
        <w:rPr>
          <w:rFonts w:hint="eastAsia" w:ascii="Arial" w:hAnsi="Arial" w:eastAsia="宋体" w:cs="Arial"/>
          <w:b/>
          <w:i w:val="0"/>
          <w:iCs w:val="0"/>
          <w:color w:val="auto"/>
          <w:sz w:val="21"/>
          <w:szCs w:val="21"/>
          <w:highlight w:val="none"/>
          <w:lang w:val="en-US" w:eastAsia="zh-CN"/>
        </w:rPr>
        <w:t>供应商须知”</w:t>
      </w:r>
      <w:r>
        <w:rPr>
          <w:rFonts w:hint="eastAsia" w:ascii="Arial" w:hAnsi="Arial" w:eastAsia="宋体" w:cs="Arial"/>
          <w:b/>
          <w:i w:val="0"/>
          <w:iCs w:val="0"/>
          <w:color w:val="auto"/>
          <w:sz w:val="21"/>
          <w:szCs w:val="21"/>
          <w:highlight w:val="none"/>
        </w:rPr>
        <w:t>提</w:t>
      </w:r>
      <w:r>
        <w:rPr>
          <w:rFonts w:hint="eastAsia" w:ascii="Arial" w:hAnsi="Arial" w:cs="Arial"/>
          <w:b/>
          <w:i w:val="0"/>
          <w:iCs w:val="0"/>
          <w:color w:val="auto"/>
          <w:sz w:val="21"/>
          <w:szCs w:val="21"/>
          <w:highlight w:val="none"/>
        </w:rPr>
        <w:t>供相关证明材料，未填写本表或未提供有效认证证书</w:t>
      </w:r>
      <w:r>
        <w:rPr>
          <w:rFonts w:ascii="Arial" w:hAnsi="Arial" w:cs="Arial"/>
          <w:b/>
          <w:i w:val="0"/>
          <w:iCs w:val="0"/>
          <w:color w:val="auto"/>
          <w:sz w:val="21"/>
          <w:szCs w:val="21"/>
          <w:highlight w:val="none"/>
        </w:rPr>
        <w:t>的</w:t>
      </w:r>
      <w:r>
        <w:rPr>
          <w:rFonts w:hint="eastAsia" w:ascii="Arial" w:hAnsi="Arial" w:cs="Arial"/>
          <w:b/>
          <w:i w:val="0"/>
          <w:iCs w:val="0"/>
          <w:color w:val="auto"/>
          <w:sz w:val="21"/>
          <w:szCs w:val="21"/>
          <w:highlight w:val="none"/>
        </w:rPr>
        <w:t>不给予</w:t>
      </w:r>
      <w:r>
        <w:rPr>
          <w:rFonts w:hint="eastAsia" w:ascii="Arial" w:hAnsi="Arial" w:cs="Arial"/>
          <w:b/>
          <w:i w:val="0"/>
          <w:iCs w:val="0"/>
          <w:color w:val="auto"/>
          <w:sz w:val="21"/>
          <w:szCs w:val="21"/>
          <w:highlight w:val="none"/>
          <w:lang w:val="en-US" w:eastAsia="zh-CN"/>
        </w:rPr>
        <w:t>评审优惠</w:t>
      </w:r>
      <w:r>
        <w:rPr>
          <w:rFonts w:hint="eastAsia" w:ascii="Arial" w:hAnsi="Arial" w:cs="Arial"/>
          <w:b/>
          <w:i w:val="0"/>
          <w:iCs w:val="0"/>
          <w:color w:val="auto"/>
          <w:sz w:val="21"/>
          <w:szCs w:val="21"/>
          <w:highlight w:val="none"/>
        </w:rPr>
        <w:t>。</w:t>
      </w:r>
    </w:p>
    <w:p w14:paraId="2A56E1B1">
      <w:pPr>
        <w:spacing w:line="300" w:lineRule="auto"/>
        <w:rPr>
          <w:rFonts w:ascii="Arial" w:hAnsi="Arial" w:cs="Arial"/>
          <w:i w:val="0"/>
          <w:iCs w:val="0"/>
          <w:color w:val="auto"/>
          <w:szCs w:val="21"/>
          <w:highlight w:val="none"/>
        </w:rPr>
      </w:pPr>
    </w:p>
    <w:p w14:paraId="13536D6E">
      <w:pPr>
        <w:ind w:right="1008" w:firstLine="4284" w:firstLineChars="17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37145DFE">
      <w:pPr>
        <w:ind w:right="1008" w:firstLine="4284" w:firstLineChars="17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69A6BF4B">
      <w:pPr>
        <w:rPr>
          <w:rFonts w:ascii="Arial" w:hAnsi="Arial" w:cs="Arial"/>
          <w:i w:val="0"/>
          <w:iCs w:val="0"/>
          <w:color w:val="auto"/>
          <w:szCs w:val="21"/>
          <w:highlight w:val="none"/>
        </w:rPr>
      </w:pPr>
      <w:r>
        <w:rPr>
          <w:rFonts w:ascii="Arial" w:hAnsi="Arial" w:cs="Arial"/>
          <w:i w:val="0"/>
          <w:iCs w:val="0"/>
          <w:color w:val="auto"/>
          <w:szCs w:val="21"/>
          <w:highlight w:val="none"/>
        </w:rPr>
        <w:br w:type="page"/>
      </w:r>
    </w:p>
    <w:p w14:paraId="1B54D7B4">
      <w:pPr>
        <w:pStyle w:val="6"/>
        <w:keepNext/>
        <w:keepLines/>
        <w:pageBreakBefore w:val="0"/>
        <w:widowControl w:val="0"/>
        <w:numPr>
          <w:ilvl w:val="0"/>
          <w:numId w:val="0"/>
        </w:numPr>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i w:val="0"/>
          <w:iCs w:val="0"/>
          <w:color w:val="auto"/>
          <w:kern w:val="2"/>
          <w:sz w:val="24"/>
          <w:szCs w:val="24"/>
          <w:highlight w:val="none"/>
          <w:lang w:val="en-US" w:eastAsia="zh-CN" w:bidi="ar-SA"/>
        </w:rPr>
      </w:pPr>
      <w:bookmarkStart w:id="667" w:name="_Toc163492939"/>
      <w:r>
        <w:rPr>
          <w:rFonts w:hint="eastAsia" w:ascii="宋体" w:hAnsi="宋体" w:eastAsia="宋体" w:cs="宋体"/>
          <w:b/>
          <w:bCs/>
          <w:i w:val="0"/>
          <w:iCs w:val="0"/>
          <w:color w:val="auto"/>
          <w:kern w:val="2"/>
          <w:sz w:val="24"/>
          <w:szCs w:val="24"/>
          <w:highlight w:val="none"/>
          <w:lang w:val="en-US" w:eastAsia="zh-CN" w:bidi="ar-SA"/>
        </w:rPr>
        <w:t>（二）中小企业声明函</w:t>
      </w:r>
      <w:r>
        <w:rPr>
          <w:rFonts w:hint="eastAsia" w:ascii="宋体" w:hAnsi="宋体" w:eastAsia="宋体" w:cs="宋体"/>
          <w:b w:val="0"/>
          <w:bCs w:val="0"/>
          <w:i w:val="0"/>
          <w:iCs w:val="0"/>
          <w:color w:val="auto"/>
          <w:kern w:val="2"/>
          <w:sz w:val="24"/>
          <w:szCs w:val="24"/>
          <w:highlight w:val="none"/>
          <w:lang w:val="en-US" w:eastAsia="zh-CN" w:bidi="ar-SA"/>
        </w:rPr>
        <w:t>【</w:t>
      </w:r>
      <w:r>
        <w:rPr>
          <w:rFonts w:hint="eastAsia" w:cs="宋体"/>
          <w:b w:val="0"/>
          <w:bCs w:val="0"/>
          <w:i w:val="0"/>
          <w:iCs w:val="0"/>
          <w:color w:val="auto"/>
          <w:kern w:val="2"/>
          <w:sz w:val="24"/>
          <w:szCs w:val="24"/>
          <w:highlight w:val="none"/>
          <w:lang w:val="en-US" w:eastAsia="zh-CN" w:bidi="ar-SA"/>
        </w:rPr>
        <w:t>如专门面向中小/小微企业采购的项目，此函可放于此处，否则，应后置于“其他资格证明文件”</w:t>
      </w:r>
      <w:r>
        <w:rPr>
          <w:rFonts w:hint="eastAsia" w:ascii="宋体" w:hAnsi="宋体" w:eastAsia="宋体" w:cs="宋体"/>
          <w:b w:val="0"/>
          <w:bCs w:val="0"/>
          <w:i w:val="0"/>
          <w:iCs w:val="0"/>
          <w:color w:val="auto"/>
          <w:kern w:val="2"/>
          <w:sz w:val="24"/>
          <w:szCs w:val="24"/>
          <w:highlight w:val="none"/>
          <w:lang w:val="en-US" w:eastAsia="zh-CN" w:bidi="ar-SA"/>
        </w:rPr>
        <w:t>】</w:t>
      </w:r>
      <w:bookmarkEnd w:id="667"/>
    </w:p>
    <w:p w14:paraId="626978D7">
      <w:pPr>
        <w:pStyle w:val="42"/>
        <w:keepNext w:val="0"/>
        <w:keepLines w:val="0"/>
        <w:pageBreakBefore w:val="0"/>
        <w:widowControl w:val="0"/>
        <w:numPr>
          <w:ilvl w:val="0"/>
          <w:numId w:val="0"/>
        </w:numPr>
        <w:kinsoku/>
        <w:wordWrap/>
        <w:overflowPunct/>
        <w:topLinePunct w:val="0"/>
        <w:autoSpaceDE/>
        <w:autoSpaceDN/>
        <w:bidi w:val="0"/>
        <w:adjustRightInd/>
        <w:snapToGrid/>
        <w:spacing w:line="300" w:lineRule="exact"/>
        <w:ind w:left="420" w:leftChars="0" w:hanging="420" w:firstLineChars="0"/>
        <w:jc w:val="center"/>
        <w:textAlignment w:val="auto"/>
        <w:rPr>
          <w:rFonts w:hint="eastAsia"/>
          <w:b/>
          <w:bCs/>
          <w:i w:val="0"/>
          <w:iCs w:val="0"/>
          <w:color w:val="auto"/>
          <w:sz w:val="32"/>
          <w:szCs w:val="32"/>
          <w:highlight w:val="none"/>
        </w:rPr>
      </w:pPr>
    </w:p>
    <w:p w14:paraId="0DE381EA">
      <w:pPr>
        <w:pStyle w:val="42"/>
        <w:numPr>
          <w:ilvl w:val="0"/>
          <w:numId w:val="0"/>
        </w:numPr>
        <w:ind w:left="420" w:leftChars="0" w:hanging="420" w:firstLineChars="0"/>
        <w:jc w:val="center"/>
        <w:rPr>
          <w:b/>
          <w:bCs/>
          <w:i w:val="0"/>
          <w:iCs w:val="0"/>
          <w:color w:val="auto"/>
          <w:sz w:val="32"/>
          <w:szCs w:val="32"/>
          <w:highlight w:val="none"/>
        </w:rPr>
      </w:pPr>
      <w:r>
        <w:rPr>
          <w:rFonts w:hint="eastAsia"/>
          <w:b/>
          <w:bCs/>
          <w:i w:val="0"/>
          <w:iCs w:val="0"/>
          <w:color w:val="auto"/>
          <w:sz w:val="32"/>
          <w:szCs w:val="32"/>
          <w:highlight w:val="none"/>
        </w:rPr>
        <w:t>中小企业声明函</w:t>
      </w:r>
    </w:p>
    <w:p w14:paraId="39D23B20">
      <w:pPr>
        <w:spacing w:line="360" w:lineRule="auto"/>
        <w:ind w:firstLine="504" w:firstLineChars="200"/>
        <w:jc w:val="both"/>
        <w:rPr>
          <w:rFonts w:hint="eastAsia" w:cs="宋体"/>
          <w:i w:val="0"/>
          <w:iCs w:val="0"/>
          <w:color w:val="auto"/>
          <w:spacing w:val="6"/>
          <w:szCs w:val="24"/>
          <w:highlight w:val="none"/>
        </w:rPr>
      </w:pPr>
      <w:r>
        <w:rPr>
          <w:rFonts w:hint="eastAsia" w:cs="宋体"/>
          <w:i w:val="0"/>
          <w:iCs w:val="0"/>
          <w:color w:val="auto"/>
          <w:spacing w:val="6"/>
          <w:szCs w:val="24"/>
          <w:highlight w:val="none"/>
        </w:rPr>
        <w:t>本公司（联合体）郑重声明，根据《政府采购促进中小企业发展管理办法》（财库﹝2020﹞46 号）的规定，本公司（联合体）参加</w:t>
      </w:r>
      <w:r>
        <w:rPr>
          <w:rFonts w:hint="eastAsia" w:cs="宋体"/>
          <w:i w:val="0"/>
          <w:iCs w:val="0"/>
          <w:color w:val="auto"/>
          <w:spacing w:val="6"/>
          <w:szCs w:val="24"/>
          <w:highlight w:val="none"/>
          <w:u w:val="single"/>
        </w:rPr>
        <w:t xml:space="preserve"> （单位名称）</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u w:val="single"/>
        </w:rPr>
        <w:t xml:space="preserve"> </w:t>
      </w:r>
      <w:r>
        <w:rPr>
          <w:rFonts w:hint="eastAsia" w:cs="宋体"/>
          <w:i w:val="0"/>
          <w:iCs w:val="0"/>
          <w:color w:val="auto"/>
          <w:spacing w:val="6"/>
          <w:szCs w:val="24"/>
          <w:highlight w:val="none"/>
        </w:rPr>
        <w:t xml:space="preserve">的 </w:t>
      </w:r>
      <w:r>
        <w:rPr>
          <w:rFonts w:hint="eastAsia" w:cs="宋体"/>
          <w:i w:val="0"/>
          <w:iCs w:val="0"/>
          <w:color w:val="auto"/>
          <w:spacing w:val="6"/>
          <w:szCs w:val="24"/>
          <w:highlight w:val="none"/>
          <w:u w:val="single"/>
        </w:rPr>
        <w:t xml:space="preserve">（项目名称） </w:t>
      </w:r>
      <w:r>
        <w:rPr>
          <w:rFonts w:hint="eastAsia" w:cs="宋体"/>
          <w:i w:val="0"/>
          <w:iCs w:val="0"/>
          <w:color w:val="auto"/>
          <w:spacing w:val="6"/>
          <w:szCs w:val="24"/>
          <w:highlight w:val="none"/>
        </w:rPr>
        <w:t>采购活动，服务全部由符合政策要求的中小企业承接。相关企业（含联合体中的中小企业、签订分包意向协议</w:t>
      </w:r>
      <w:r>
        <w:rPr>
          <w:rFonts w:hint="eastAsia" w:cs="宋体"/>
          <w:i w:val="0"/>
          <w:iCs w:val="0"/>
          <w:color w:val="auto"/>
          <w:spacing w:val="6"/>
          <w:szCs w:val="24"/>
          <w:highlight w:val="none"/>
          <w:lang w:val="en-US" w:eastAsia="zh-CN"/>
        </w:rPr>
        <w:t>书</w:t>
      </w:r>
      <w:r>
        <w:rPr>
          <w:rFonts w:hint="eastAsia" w:cs="宋体"/>
          <w:i w:val="0"/>
          <w:iCs w:val="0"/>
          <w:color w:val="auto"/>
          <w:spacing w:val="6"/>
          <w:szCs w:val="24"/>
          <w:highlight w:val="none"/>
        </w:rPr>
        <w:t>的中小企业）的具体情况如下：</w:t>
      </w:r>
    </w:p>
    <w:p w14:paraId="17E29791">
      <w:pPr>
        <w:numPr>
          <w:ilvl w:val="0"/>
          <w:numId w:val="0"/>
        </w:numPr>
        <w:spacing w:line="360" w:lineRule="auto"/>
        <w:ind w:firstLine="504" w:firstLineChars="200"/>
        <w:rPr>
          <w:rFonts w:cs="宋体"/>
          <w:i w:val="0"/>
          <w:iCs w:val="0"/>
          <w:color w:val="auto"/>
          <w:spacing w:val="6"/>
          <w:szCs w:val="24"/>
          <w:highlight w:val="none"/>
        </w:rPr>
      </w:pPr>
      <w:r>
        <w:rPr>
          <w:rFonts w:ascii="宋体" w:hAnsi="宋体" w:eastAsia="宋体" w:cs="宋体"/>
          <w:i w:val="0"/>
          <w:iCs w:val="0"/>
          <w:color w:val="auto"/>
          <w:spacing w:val="6"/>
          <w:kern w:val="2"/>
          <w:sz w:val="24"/>
          <w:szCs w:val="24"/>
          <w:highlight w:val="none"/>
          <w:lang w:val="en-US" w:eastAsia="zh-CN" w:bidi="ar-SA"/>
        </w:rPr>
        <w:t>1.</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，属于</w:t>
      </w:r>
      <w:r>
        <w:rPr>
          <w:rFonts w:hint="eastAsia" w:cs="宋体"/>
          <w:i w:val="0"/>
          <w:iCs w:val="0"/>
          <w:color w:val="auto"/>
          <w:spacing w:val="6"/>
          <w:szCs w:val="24"/>
          <w:highlight w:val="none"/>
          <w:u w:val="single"/>
        </w:rPr>
        <w:t>（采购文件中明确的所属行业）</w:t>
      </w:r>
      <w:r>
        <w:rPr>
          <w:rFonts w:hint="eastAsia" w:cs="宋体"/>
          <w:i w:val="0"/>
          <w:iCs w:val="0"/>
          <w:color w:val="auto"/>
          <w:spacing w:val="6"/>
          <w:szCs w:val="24"/>
          <w:highlight w:val="none"/>
        </w:rPr>
        <w:t>行业 ；承接企业为</w:t>
      </w:r>
      <w:r>
        <w:rPr>
          <w:rFonts w:hint="eastAsia" w:cs="宋体"/>
          <w:i w:val="0"/>
          <w:iCs w:val="0"/>
          <w:color w:val="auto"/>
          <w:spacing w:val="6"/>
          <w:szCs w:val="24"/>
          <w:highlight w:val="none"/>
          <w:u w:val="single"/>
        </w:rPr>
        <w:t xml:space="preserve"> （企业名称） </w:t>
      </w:r>
      <w:r>
        <w:rPr>
          <w:rFonts w:hint="eastAsia" w:cs="宋体"/>
          <w:i w:val="0"/>
          <w:iCs w:val="0"/>
          <w:color w:val="auto"/>
          <w:spacing w:val="6"/>
          <w:szCs w:val="24"/>
          <w:highlight w:val="none"/>
        </w:rPr>
        <w:t>，从业人员</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人，营业收入为</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万元，资产总额为</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万元，属于</w:t>
      </w:r>
      <w:r>
        <w:rPr>
          <w:rFonts w:hint="eastAsia" w:cs="宋体"/>
          <w:i w:val="0"/>
          <w:iCs w:val="0"/>
          <w:color w:val="auto"/>
          <w:spacing w:val="6"/>
          <w:szCs w:val="24"/>
          <w:highlight w:val="none"/>
          <w:u w:val="single"/>
        </w:rPr>
        <w:t xml:space="preserve"> （中型企业、小型企业、微型企业）</w:t>
      </w:r>
      <w:r>
        <w:rPr>
          <w:rFonts w:hint="eastAsia" w:cs="宋体"/>
          <w:i w:val="0"/>
          <w:iCs w:val="0"/>
          <w:color w:val="auto"/>
          <w:spacing w:val="6"/>
          <w:szCs w:val="24"/>
          <w:highlight w:val="none"/>
        </w:rPr>
        <w:t>；</w:t>
      </w:r>
    </w:p>
    <w:p w14:paraId="58A82CDB">
      <w:pPr>
        <w:spacing w:line="360" w:lineRule="auto"/>
        <w:ind w:firstLine="504" w:firstLineChars="2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2</w:t>
      </w:r>
      <w:r>
        <w:rPr>
          <w:rFonts w:hint="eastAsia" w:cs="宋体"/>
          <w:i w:val="0"/>
          <w:iCs w:val="0"/>
          <w:color w:val="auto"/>
          <w:spacing w:val="6"/>
          <w:szCs w:val="24"/>
          <w:highlight w:val="none"/>
        </w:rPr>
        <w:t>.</w:t>
      </w:r>
      <w:r>
        <w:rPr>
          <w:rFonts w:hint="eastAsia" w:cs="宋体"/>
          <w:i w:val="0"/>
          <w:iCs w:val="0"/>
          <w:color w:val="auto"/>
          <w:spacing w:val="6"/>
          <w:szCs w:val="24"/>
          <w:highlight w:val="none"/>
          <w:u w:val="single"/>
        </w:rPr>
        <w:t xml:space="preserve"> </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u w:val="single"/>
        </w:rPr>
        <w:t xml:space="preserve"> </w:t>
      </w:r>
      <w:r>
        <w:rPr>
          <w:rFonts w:hint="eastAsia" w:cs="宋体"/>
          <w:i w:val="0"/>
          <w:iCs w:val="0"/>
          <w:color w:val="auto"/>
          <w:spacing w:val="6"/>
          <w:szCs w:val="24"/>
          <w:highlight w:val="none"/>
        </w:rPr>
        <w:t>，属于</w:t>
      </w:r>
      <w:r>
        <w:rPr>
          <w:rFonts w:hint="eastAsia" w:cs="宋体"/>
          <w:i w:val="0"/>
          <w:iCs w:val="0"/>
          <w:color w:val="auto"/>
          <w:spacing w:val="6"/>
          <w:szCs w:val="24"/>
          <w:highlight w:val="none"/>
          <w:u w:val="single"/>
        </w:rPr>
        <w:t xml:space="preserve"> </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行业 ；承接企业为</w:t>
      </w:r>
      <w:r>
        <w:rPr>
          <w:rFonts w:hint="eastAsia" w:cs="宋体"/>
          <w:i w:val="0"/>
          <w:iCs w:val="0"/>
          <w:color w:val="auto"/>
          <w:spacing w:val="6"/>
          <w:szCs w:val="24"/>
          <w:highlight w:val="none"/>
          <w:u w:val="single"/>
        </w:rPr>
        <w:t xml:space="preserve"> （企业名称） </w:t>
      </w:r>
      <w:r>
        <w:rPr>
          <w:rFonts w:hint="eastAsia" w:cs="宋体"/>
          <w:i w:val="0"/>
          <w:iCs w:val="0"/>
          <w:color w:val="auto"/>
          <w:spacing w:val="6"/>
          <w:szCs w:val="24"/>
          <w:highlight w:val="none"/>
        </w:rPr>
        <w:t>，从业人员</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人，营业收入为</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万元，资产总额为</w:t>
      </w:r>
      <w:r>
        <w:rPr>
          <w:rFonts w:hint="eastAsia" w:cs="宋体"/>
          <w:i w:val="0"/>
          <w:iCs w:val="0"/>
          <w:color w:val="auto"/>
          <w:spacing w:val="6"/>
          <w:szCs w:val="24"/>
          <w:highlight w:val="none"/>
          <w:u w:val="single"/>
          <w:lang w:val="en-US" w:eastAsia="zh-CN"/>
        </w:rPr>
        <w:t xml:space="preserve">     </w:t>
      </w:r>
      <w:r>
        <w:rPr>
          <w:rFonts w:hint="eastAsia" w:cs="宋体"/>
          <w:i w:val="0"/>
          <w:iCs w:val="0"/>
          <w:color w:val="auto"/>
          <w:spacing w:val="6"/>
          <w:szCs w:val="24"/>
          <w:highlight w:val="none"/>
        </w:rPr>
        <w:t>万元，属于</w:t>
      </w:r>
      <w:r>
        <w:rPr>
          <w:rFonts w:hint="eastAsia" w:cs="宋体"/>
          <w:i w:val="0"/>
          <w:iCs w:val="0"/>
          <w:color w:val="auto"/>
          <w:spacing w:val="6"/>
          <w:szCs w:val="24"/>
          <w:highlight w:val="none"/>
          <w:u w:val="single"/>
        </w:rPr>
        <w:t xml:space="preserve"> （中型企业、小型企业、微型企业）</w:t>
      </w:r>
      <w:r>
        <w:rPr>
          <w:rFonts w:hint="eastAsia" w:cs="宋体"/>
          <w:i w:val="0"/>
          <w:iCs w:val="0"/>
          <w:color w:val="auto"/>
          <w:spacing w:val="6"/>
          <w:szCs w:val="24"/>
          <w:highlight w:val="none"/>
        </w:rPr>
        <w:t>；</w:t>
      </w:r>
    </w:p>
    <w:p w14:paraId="56A55128">
      <w:pPr>
        <w:spacing w:line="360" w:lineRule="auto"/>
        <w:ind w:firstLine="504" w:firstLineChars="200"/>
        <w:rPr>
          <w:rFonts w:cs="宋体"/>
          <w:i w:val="0"/>
          <w:iCs w:val="0"/>
          <w:color w:val="auto"/>
          <w:spacing w:val="6"/>
          <w:szCs w:val="24"/>
          <w:highlight w:val="none"/>
        </w:rPr>
      </w:pPr>
      <w:r>
        <w:rPr>
          <w:rFonts w:hint="eastAsia" w:cs="宋体"/>
          <w:i w:val="0"/>
          <w:iCs w:val="0"/>
          <w:color w:val="auto"/>
          <w:spacing w:val="6"/>
          <w:szCs w:val="24"/>
          <w:highlight w:val="none"/>
        </w:rPr>
        <w:t>……</w:t>
      </w:r>
    </w:p>
    <w:p w14:paraId="697F380D">
      <w:pPr>
        <w:spacing w:line="360" w:lineRule="auto"/>
        <w:ind w:firstLine="504" w:firstLineChars="200"/>
        <w:rPr>
          <w:rFonts w:cs="宋体"/>
          <w:i w:val="0"/>
          <w:iCs w:val="0"/>
          <w:color w:val="auto"/>
          <w:spacing w:val="6"/>
          <w:szCs w:val="24"/>
          <w:highlight w:val="none"/>
        </w:rPr>
      </w:pPr>
      <w:r>
        <w:rPr>
          <w:rFonts w:hint="eastAsia" w:cs="宋体"/>
          <w:i w:val="0"/>
          <w:iCs w:val="0"/>
          <w:color w:val="auto"/>
          <w:spacing w:val="6"/>
          <w:szCs w:val="24"/>
          <w:highlight w:val="none"/>
        </w:rPr>
        <w:t>以上企业，不属于大企业的分支机构，不存在控股股东为大企业的情形，也不存在与大企业的负责人为同一人的情形。</w:t>
      </w:r>
    </w:p>
    <w:p w14:paraId="1087CDDD">
      <w:pPr>
        <w:spacing w:line="360" w:lineRule="auto"/>
        <w:ind w:firstLine="504" w:firstLineChars="200"/>
        <w:rPr>
          <w:rFonts w:cs="宋体"/>
          <w:i w:val="0"/>
          <w:iCs w:val="0"/>
          <w:color w:val="auto"/>
          <w:spacing w:val="6"/>
          <w:szCs w:val="24"/>
          <w:highlight w:val="none"/>
        </w:rPr>
      </w:pPr>
      <w:r>
        <w:rPr>
          <w:rFonts w:hint="eastAsia" w:cs="宋体"/>
          <w:i w:val="0"/>
          <w:iCs w:val="0"/>
          <w:color w:val="auto"/>
          <w:spacing w:val="6"/>
          <w:szCs w:val="24"/>
          <w:highlight w:val="none"/>
        </w:rPr>
        <w:t>本企业对上述声明内容的真实性负责。如有虚假，将依法承担相应责任。</w:t>
      </w:r>
    </w:p>
    <w:p w14:paraId="780FFBCC">
      <w:pPr>
        <w:ind w:right="1008" w:firstLine="4788" w:firstLineChars="1900"/>
        <w:rPr>
          <w:rFonts w:cs="宋体"/>
          <w:i w:val="0"/>
          <w:iCs w:val="0"/>
          <w:color w:val="auto"/>
          <w:spacing w:val="6"/>
          <w:szCs w:val="24"/>
          <w:highlight w:val="none"/>
        </w:rPr>
      </w:pPr>
    </w:p>
    <w:p w14:paraId="3ED3C7B1">
      <w:pPr>
        <w:ind w:right="1008" w:firstLine="4284" w:firstLineChars="17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77F7D89A">
      <w:pPr>
        <w:ind w:right="1008" w:firstLine="4284" w:firstLineChars="17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7089578A">
      <w:pPr>
        <w:ind w:firstLine="504" w:firstLineChars="200"/>
        <w:rPr>
          <w:rFonts w:cs="宋体"/>
          <w:i w:val="0"/>
          <w:iCs w:val="0"/>
          <w:color w:val="auto"/>
          <w:spacing w:val="6"/>
          <w:szCs w:val="24"/>
          <w:highlight w:val="none"/>
        </w:rPr>
      </w:pPr>
    </w:p>
    <w:p w14:paraId="09864725">
      <w:pPr>
        <w:spacing w:line="360" w:lineRule="auto"/>
        <w:rPr>
          <w:rFonts w:hint="default" w:cs="宋体"/>
          <w:b/>
          <w:bCs/>
          <w:i w:val="0"/>
          <w:iCs w:val="0"/>
          <w:color w:val="auto"/>
          <w:spacing w:val="6"/>
          <w:sz w:val="21"/>
          <w:szCs w:val="21"/>
          <w:highlight w:val="none"/>
          <w:lang w:val="en-US" w:eastAsia="zh-CN"/>
        </w:rPr>
      </w:pPr>
      <w:r>
        <w:rPr>
          <w:rFonts w:hint="eastAsia" w:cs="宋体"/>
          <w:b/>
          <w:bCs/>
          <w:i w:val="0"/>
          <w:iCs w:val="0"/>
          <w:color w:val="auto"/>
          <w:spacing w:val="6"/>
          <w:sz w:val="21"/>
          <w:szCs w:val="21"/>
          <w:highlight w:val="none"/>
        </w:rPr>
        <w:t>说明：</w:t>
      </w:r>
      <w:r>
        <w:rPr>
          <w:rFonts w:hint="eastAsia" w:cs="宋体"/>
          <w:b/>
          <w:bCs/>
          <w:i w:val="0"/>
          <w:iCs w:val="0"/>
          <w:color w:val="auto"/>
          <w:spacing w:val="6"/>
          <w:sz w:val="21"/>
          <w:szCs w:val="21"/>
          <w:highlight w:val="none"/>
          <w:lang w:val="en-US" w:eastAsia="zh-CN"/>
        </w:rPr>
        <w:t>1.重要提示：供应商应仔细阅读本函附件1关于“中小企业声明函”的填写要求及提交要求，否则，因填写或提交等产生的一切不利后果，须自行承担。</w:t>
      </w:r>
    </w:p>
    <w:p w14:paraId="7E102341">
      <w:pPr>
        <w:numPr>
          <w:ilvl w:val="0"/>
          <w:numId w:val="0"/>
        </w:numPr>
        <w:spacing w:line="360" w:lineRule="auto"/>
        <w:ind w:left="0" w:leftChars="0" w:firstLine="444" w:firstLineChars="200"/>
        <w:rPr>
          <w:rFonts w:hint="eastAsia" w:cs="宋体"/>
          <w:i w:val="0"/>
          <w:iCs w:val="0"/>
          <w:color w:val="auto"/>
          <w:spacing w:val="6"/>
          <w:sz w:val="21"/>
          <w:szCs w:val="21"/>
          <w:highlight w:val="none"/>
        </w:rPr>
      </w:pPr>
      <w:r>
        <w:rPr>
          <w:rFonts w:hint="eastAsia" w:ascii="宋体" w:hAnsi="宋体" w:eastAsia="宋体" w:cs="宋体"/>
          <w:i w:val="0"/>
          <w:iCs w:val="0"/>
          <w:color w:val="auto"/>
          <w:spacing w:val="6"/>
          <w:kern w:val="2"/>
          <w:sz w:val="21"/>
          <w:szCs w:val="21"/>
          <w:highlight w:val="none"/>
          <w:lang w:val="en-US" w:eastAsia="zh-CN" w:bidi="ar-SA"/>
        </w:rPr>
        <w:t>2.</w:t>
      </w:r>
      <w:r>
        <w:rPr>
          <w:rFonts w:hint="eastAsia" w:cs="宋体"/>
          <w:i w:val="0"/>
          <w:iCs w:val="0"/>
          <w:color w:val="auto"/>
          <w:spacing w:val="6"/>
          <w:sz w:val="21"/>
          <w:szCs w:val="21"/>
          <w:highlight w:val="none"/>
        </w:rPr>
        <w:t>从业人员、营业收入、资产总额填报上一年度数据，无上一年度数据的新成立企业可不填报。</w:t>
      </w:r>
    </w:p>
    <w:p w14:paraId="11015A97">
      <w:pPr>
        <w:pStyle w:val="2"/>
        <w:numPr>
          <w:ilvl w:val="0"/>
          <w:numId w:val="0"/>
        </w:numPr>
        <w:ind w:leftChars="200"/>
        <w:rPr>
          <w:rFonts w:hint="default" w:ascii="宋体" w:hAnsi="宋体" w:eastAsia="宋体" w:cs="宋体"/>
          <w:b/>
          <w:bCs/>
          <w:i w:val="0"/>
          <w:iCs w:val="0"/>
          <w:color w:val="auto"/>
          <w:spacing w:val="6"/>
          <w:kern w:val="2"/>
          <w:sz w:val="21"/>
          <w:szCs w:val="21"/>
          <w:highlight w:val="none"/>
          <w:lang w:val="en-US" w:eastAsia="zh-CN" w:bidi="ar-SA"/>
        </w:rPr>
      </w:pPr>
      <w:r>
        <w:rPr>
          <w:rFonts w:hint="eastAsia" w:ascii="宋体" w:hAnsi="宋体" w:eastAsia="宋体" w:cs="宋体"/>
          <w:b/>
          <w:bCs/>
          <w:i w:val="0"/>
          <w:iCs w:val="0"/>
          <w:color w:val="auto"/>
          <w:spacing w:val="6"/>
          <w:kern w:val="2"/>
          <w:sz w:val="21"/>
          <w:szCs w:val="21"/>
          <w:highlight w:val="none"/>
          <w:lang w:val="en-US" w:eastAsia="zh-CN" w:bidi="ar-SA"/>
        </w:rPr>
        <w:t>3.本项目为服务类项目，</w:t>
      </w:r>
      <w:r>
        <w:rPr>
          <w:rFonts w:hint="eastAsia" w:cs="宋体"/>
          <w:b/>
          <w:bCs/>
          <w:i w:val="0"/>
          <w:iCs w:val="0"/>
          <w:color w:val="auto"/>
          <w:spacing w:val="6"/>
          <w:kern w:val="2"/>
          <w:sz w:val="21"/>
          <w:szCs w:val="21"/>
          <w:highlight w:val="none"/>
          <w:lang w:val="en-US" w:eastAsia="zh-CN" w:bidi="ar-SA"/>
        </w:rPr>
        <w:t>中小企业声明函只提供服务类中小企业声明函。</w:t>
      </w:r>
    </w:p>
    <w:p w14:paraId="120DF0A1">
      <w:pPr>
        <w:rPr>
          <w:rFonts w:cs="宋体"/>
          <w:i w:val="0"/>
          <w:iCs w:val="0"/>
          <w:color w:val="auto"/>
          <w:spacing w:val="6"/>
          <w:sz w:val="21"/>
          <w:szCs w:val="21"/>
          <w:highlight w:val="none"/>
        </w:rPr>
      </w:pPr>
    </w:p>
    <w:p w14:paraId="3A1D41F8">
      <w:pPr>
        <w:rPr>
          <w:rFonts w:cs="宋体"/>
          <w:i w:val="0"/>
          <w:iCs w:val="0"/>
          <w:color w:val="auto"/>
          <w:spacing w:val="6"/>
          <w:sz w:val="21"/>
          <w:szCs w:val="21"/>
          <w:highlight w:val="none"/>
        </w:rPr>
      </w:pPr>
    </w:p>
    <w:p w14:paraId="10ABC4DA">
      <w:pPr>
        <w:rPr>
          <w:rFonts w:cs="宋体"/>
          <w:i w:val="0"/>
          <w:iCs w:val="0"/>
          <w:color w:val="auto"/>
          <w:spacing w:val="6"/>
          <w:sz w:val="21"/>
          <w:szCs w:val="21"/>
          <w:highlight w:val="none"/>
        </w:rPr>
      </w:pPr>
    </w:p>
    <w:p w14:paraId="0D2E7B0D">
      <w:pPr>
        <w:rPr>
          <w:rFonts w:hint="eastAsia"/>
          <w:b/>
          <w:bCs/>
          <w:i w:val="0"/>
          <w:iCs w:val="0"/>
          <w:color w:val="auto"/>
          <w:highlight w:val="none"/>
          <w:lang w:val="en-US" w:eastAsia="zh-CN"/>
        </w:rPr>
      </w:pPr>
    </w:p>
    <w:p w14:paraId="4329C61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b/>
          <w:bCs/>
          <w:i w:val="0"/>
          <w:iCs w:val="0"/>
          <w:color w:val="auto"/>
          <w:highlight w:val="none"/>
          <w:lang w:val="en-US" w:eastAsia="zh-CN"/>
        </w:rPr>
      </w:pPr>
      <w:r>
        <w:rPr>
          <w:rFonts w:hint="eastAsia"/>
          <w:b/>
          <w:bCs/>
          <w:i w:val="0"/>
          <w:iCs w:val="0"/>
          <w:color w:val="auto"/>
          <w:highlight w:val="none"/>
          <w:lang w:val="en-US" w:eastAsia="zh-CN"/>
        </w:rPr>
        <w:t xml:space="preserve">附件1 </w:t>
      </w:r>
    </w:p>
    <w:p w14:paraId="57B68E0F">
      <w:pPr>
        <w:keepNext w:val="0"/>
        <w:keepLines w:val="0"/>
        <w:widowControl/>
        <w:suppressLineNumbers w:val="0"/>
        <w:ind w:firstLine="562" w:firstLineChars="200"/>
        <w:jc w:val="left"/>
        <w:rPr>
          <w:rStyle w:val="34"/>
          <w:rFonts w:hint="eastAsia" w:ascii="宋体" w:hAnsi="宋体" w:eastAsia="宋体" w:cs="宋体"/>
          <w:i w:val="0"/>
          <w:iCs w:val="0"/>
          <w:color w:val="auto"/>
          <w:kern w:val="0"/>
          <w:sz w:val="28"/>
          <w:szCs w:val="28"/>
          <w:highlight w:val="none"/>
          <w:lang w:val="en-US" w:eastAsia="zh-CN"/>
        </w:rPr>
      </w:pPr>
    </w:p>
    <w:p w14:paraId="3D433CB4">
      <w:pPr>
        <w:keepNext w:val="0"/>
        <w:keepLines w:val="0"/>
        <w:widowControl/>
        <w:suppressLineNumbers w:val="0"/>
        <w:ind w:firstLine="482" w:firstLineChars="200"/>
        <w:jc w:val="left"/>
        <w:rPr>
          <w:rStyle w:val="34"/>
          <w:rFonts w:hint="eastAsia" w:ascii="宋体" w:hAnsi="宋体" w:eastAsia="宋体" w:cs="宋体"/>
          <w:i w:val="0"/>
          <w:iCs w:val="0"/>
          <w:color w:val="auto"/>
          <w:kern w:val="0"/>
          <w:sz w:val="28"/>
          <w:szCs w:val="28"/>
          <w:highlight w:val="none"/>
          <w:lang w:val="en-US" w:eastAsia="zh-CN"/>
        </w:rPr>
      </w:pPr>
      <w:r>
        <w:rPr>
          <w:rStyle w:val="34"/>
          <w:rFonts w:hint="eastAsia" w:ascii="宋体" w:hAnsi="宋体" w:eastAsia="宋体" w:cs="宋体"/>
          <w:i w:val="0"/>
          <w:iCs w:val="0"/>
          <w:color w:val="auto"/>
          <w:kern w:val="0"/>
          <w:sz w:val="24"/>
          <w:szCs w:val="24"/>
          <w:highlight w:val="none"/>
          <w:lang w:val="en-US" w:eastAsia="zh-CN"/>
        </w:rPr>
        <w:t>（一）关于</w:t>
      </w:r>
      <w:r>
        <w:rPr>
          <w:rStyle w:val="34"/>
          <w:rFonts w:hint="eastAsia" w:cs="宋体"/>
          <w:i w:val="0"/>
          <w:iCs w:val="0"/>
          <w:color w:val="auto"/>
          <w:kern w:val="0"/>
          <w:sz w:val="24"/>
          <w:szCs w:val="24"/>
          <w:highlight w:val="none"/>
          <w:lang w:val="en-US" w:eastAsia="zh-CN"/>
        </w:rPr>
        <w:t>“</w:t>
      </w:r>
      <w:r>
        <w:rPr>
          <w:rStyle w:val="34"/>
          <w:rFonts w:hint="eastAsia" w:ascii="宋体" w:hAnsi="宋体" w:eastAsia="宋体" w:cs="宋体"/>
          <w:i w:val="0"/>
          <w:iCs w:val="0"/>
          <w:color w:val="auto"/>
          <w:kern w:val="0"/>
          <w:sz w:val="24"/>
          <w:szCs w:val="24"/>
          <w:highlight w:val="none"/>
          <w:lang w:val="en-US" w:eastAsia="zh-CN"/>
        </w:rPr>
        <w:t>中小企业声明函</w:t>
      </w:r>
      <w:r>
        <w:rPr>
          <w:rStyle w:val="34"/>
          <w:rFonts w:hint="eastAsia" w:cs="宋体"/>
          <w:i w:val="0"/>
          <w:iCs w:val="0"/>
          <w:color w:val="auto"/>
          <w:kern w:val="0"/>
          <w:sz w:val="24"/>
          <w:szCs w:val="24"/>
          <w:highlight w:val="none"/>
          <w:lang w:val="en-US" w:eastAsia="zh-CN"/>
        </w:rPr>
        <w:t>”</w:t>
      </w:r>
      <w:r>
        <w:rPr>
          <w:rStyle w:val="34"/>
          <w:rFonts w:hint="eastAsia" w:ascii="宋体" w:hAnsi="宋体" w:eastAsia="宋体" w:cs="宋体"/>
          <w:i w:val="0"/>
          <w:iCs w:val="0"/>
          <w:color w:val="auto"/>
          <w:kern w:val="0"/>
          <w:sz w:val="24"/>
          <w:szCs w:val="24"/>
          <w:highlight w:val="none"/>
          <w:lang w:val="en-US" w:eastAsia="zh-CN"/>
        </w:rPr>
        <w:t>的填写要求</w:t>
      </w:r>
    </w:p>
    <w:p w14:paraId="2528F1C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中小企业声明函</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具体填写要求如下：</w:t>
      </w:r>
    </w:p>
    <w:p w14:paraId="7E3208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1.“单位名称”应填写采购人名称。</w:t>
      </w:r>
    </w:p>
    <w:p w14:paraId="1386EBE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2.“项目名称”应按照采购文件中确定的项目名称填写。对于分包方式面向中小企业采购的项目，应标明中小企业的具体分包内容；对于以联合体方式面向中小企业采购的项目，应标明联合体中中小企业所承担的具体内容。</w:t>
      </w:r>
    </w:p>
    <w:p w14:paraId="4F1E59C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3.“标的名称”应填写采购文件中细化载明的采购标的名称。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14:paraId="508A432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4.“采购文件中明确的所属行业”应填写采购文件中明确的采购标的所属行业，并应确保与采购标的涉及的货物制造商/服务承接商/工程承建商（根据项目属性确定）本身的所属行业保持一致。</w:t>
      </w:r>
    </w:p>
    <w:p w14:paraId="466F1C1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对于分包方式面向中小企业采购的项目，“采购文件中明确的所属行业”应按照采购文件中注明的分包给中小企业的采购标的所属行业填写，并应确保与该分包部分采购标的涉及的货物制造商/服务承接商/工程承建商（根据项目属性确定）本身的所属行业保持一致。</w:t>
      </w:r>
    </w:p>
    <w:p w14:paraId="0B2C2A3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对于以联合体方式面向中小企业采购的项目，“采购文件中明确的所属行业”应按照采购文件中注明的联合体中中小企业承担的采购标的所属行业填写，并应确保与该承担部分采购标的涉及的货物制造商/服务承接商/工程承建商（根据项目属性确定）本身的所属行业保持一致。</w:t>
      </w:r>
    </w:p>
    <w:p w14:paraId="0462820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5.“企业名称”应填写投标（响应）的货物制造商/服务承接商/工程承建商（根据项目属性确定）。</w:t>
      </w:r>
    </w:p>
    <w:p w14:paraId="02A8B3B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对于分包方式面向中小企业采购的项目，“企业名称”应填写分包部分采购标的对应的货物制造商/服务承接商/工程承建商（根据项目属性确定）。</w:t>
      </w:r>
    </w:p>
    <w:p w14:paraId="7D5F2A9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对于以联合体方式面向中小企业采购的项目，“企业名称”应填写联合体中中小企业承担采购标的对应的货物制造商/服务承接商/工程承建商（根据项目属性确定）。</w:t>
      </w:r>
    </w:p>
    <w:p w14:paraId="63C1BA8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6.从业人员、资产总额指标以上年度末数据为依据，营业收入指标以上年度累计数据为依据。无上年度数据的新成立企业可不填报。</w:t>
      </w:r>
    </w:p>
    <w:p w14:paraId="639C734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7.“中型企业/小型企业/微型企业”部分，供应商应依据企业上年度从业人员、营业收入、资产总额等指标，按照《中小企业划型标准规定》（工信部联企业〔2011〕300号）、《金融业企业划型标准规定》（银发〔2015〕309号），判断</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中小企业声明函</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载明的货物制造商/服务承接商/工程承建商（根据项目属性确定）是否属于采购文件所属行业的中型企业/小型企业/微型企业。</w:t>
      </w:r>
    </w:p>
    <w:p w14:paraId="652F0F6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8.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104826A7">
      <w:pPr>
        <w:keepNext w:val="0"/>
        <w:keepLines w:val="0"/>
        <w:widowControl/>
        <w:suppressLineNumbers w:val="0"/>
        <w:ind w:firstLine="482" w:firstLineChars="200"/>
        <w:jc w:val="left"/>
        <w:rPr>
          <w:rStyle w:val="34"/>
          <w:rFonts w:hint="eastAsia" w:ascii="宋体" w:hAnsi="宋体" w:eastAsia="宋体" w:cs="宋体"/>
          <w:i w:val="0"/>
          <w:iCs w:val="0"/>
          <w:color w:val="auto"/>
          <w:kern w:val="0"/>
          <w:sz w:val="24"/>
          <w:szCs w:val="24"/>
          <w:highlight w:val="none"/>
          <w:lang w:val="en-US" w:eastAsia="zh-CN"/>
        </w:rPr>
      </w:pPr>
      <w:r>
        <w:rPr>
          <w:rStyle w:val="34"/>
          <w:rFonts w:hint="eastAsia" w:ascii="宋体" w:hAnsi="宋体" w:eastAsia="宋体" w:cs="宋体"/>
          <w:i w:val="0"/>
          <w:iCs w:val="0"/>
          <w:color w:val="auto"/>
          <w:kern w:val="0"/>
          <w:sz w:val="24"/>
          <w:szCs w:val="24"/>
          <w:highlight w:val="none"/>
          <w:lang w:val="en-US" w:eastAsia="zh-CN"/>
        </w:rPr>
        <w:t>（二）关于“中小企业声明函”的提交要求</w:t>
      </w:r>
    </w:p>
    <w:p w14:paraId="1983C11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1.投标（响应）供应商对</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中小企业声明函</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的真实性负责。投标（响应）供应商应当核实投标（响应）的货物制造商/服务承接商/工程承建商（根据项目属性确定）的相关信息，如对相关信息了解不充分，或者不能确定相关信息真实、准确的，不建议出具</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中小企业声明函</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w:t>
      </w:r>
    </w:p>
    <w:p w14:paraId="7DD36B3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8"/>
          <w:highlight w:val="none"/>
          <w:lang w:val="en-US" w:eastAsia="zh-CN"/>
        </w:rPr>
      </w:pPr>
      <w:r>
        <w:rPr>
          <w:rFonts w:hint="eastAsia" w:ascii="宋体" w:hAnsi="宋体" w:eastAsia="宋体" w:cs="宋体"/>
          <w:i w:val="0"/>
          <w:iCs w:val="0"/>
          <w:color w:val="auto"/>
          <w:kern w:val="0"/>
          <w:sz w:val="24"/>
          <w:szCs w:val="28"/>
          <w:highlight w:val="none"/>
          <w:lang w:val="en-US" w:eastAsia="zh-CN"/>
        </w:rPr>
        <w:t>2.鼓励供应商在投标（响应）时一并提供对货物制造商、服务承接商、工程承建商相关信息的核实核验情况以及其他佐证材料。</w:t>
      </w:r>
    </w:p>
    <w:p w14:paraId="416968CE">
      <w:pPr>
        <w:ind w:firstLine="480" w:firstLineChars="200"/>
        <w:rPr>
          <w:rFonts w:hint="eastAsia"/>
          <w:b/>
          <w:bCs/>
          <w:i w:val="0"/>
          <w:iCs w:val="0"/>
          <w:color w:val="auto"/>
          <w:highlight w:val="none"/>
          <w:lang w:val="en-US" w:eastAsia="zh-CN"/>
        </w:rPr>
      </w:pPr>
      <w:r>
        <w:rPr>
          <w:rFonts w:hint="eastAsia" w:ascii="宋体" w:hAnsi="宋体" w:eastAsia="宋体" w:cs="宋体"/>
          <w:i w:val="0"/>
          <w:iCs w:val="0"/>
          <w:color w:val="auto"/>
          <w:kern w:val="0"/>
          <w:sz w:val="24"/>
          <w:szCs w:val="28"/>
          <w:highlight w:val="none"/>
          <w:lang w:val="en-US" w:eastAsia="zh-CN"/>
        </w:rPr>
        <w:t>3.如供应商提供的</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中小企业声明函</w:t>
      </w:r>
      <w:r>
        <w:rPr>
          <w:rFonts w:hint="eastAsia" w:cs="宋体"/>
          <w:i w:val="0"/>
          <w:iCs w:val="0"/>
          <w:color w:val="auto"/>
          <w:kern w:val="0"/>
          <w:sz w:val="24"/>
          <w:szCs w:val="28"/>
          <w:highlight w:val="none"/>
          <w:lang w:val="en-US" w:eastAsia="zh-CN"/>
        </w:rPr>
        <w:t>”</w:t>
      </w:r>
      <w:r>
        <w:rPr>
          <w:rFonts w:hint="eastAsia" w:ascii="宋体" w:hAnsi="宋体" w:eastAsia="宋体" w:cs="宋体"/>
          <w:i w:val="0"/>
          <w:iCs w:val="0"/>
          <w:color w:val="auto"/>
          <w:kern w:val="0"/>
          <w:sz w:val="24"/>
          <w:szCs w:val="28"/>
          <w:highlight w:val="none"/>
          <w:lang w:val="en-US" w:eastAsia="zh-CN"/>
        </w:rPr>
        <w:t>存在按采购文件所属行业划型不实的，属于提供虚假材料谋取中标、成交，依照《中华人民共和国政府采购法》第七十七条的规定，将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r>
        <w:rPr>
          <w:rFonts w:hint="eastAsia"/>
          <w:b/>
          <w:bCs/>
          <w:i w:val="0"/>
          <w:iCs w:val="0"/>
          <w:color w:val="auto"/>
          <w:highlight w:val="none"/>
          <w:lang w:val="en-US" w:eastAsia="zh-CN"/>
        </w:rPr>
        <w:br w:type="page"/>
      </w:r>
    </w:p>
    <w:p w14:paraId="6D670DF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eastAsia="宋体"/>
          <w:b/>
          <w:bCs/>
          <w:i w:val="0"/>
          <w:iCs w:val="0"/>
          <w:color w:val="auto"/>
          <w:highlight w:val="none"/>
          <w:lang w:val="en-US" w:eastAsia="zh-CN"/>
        </w:rPr>
      </w:pPr>
      <w:r>
        <w:rPr>
          <w:rFonts w:hint="eastAsia"/>
          <w:b/>
          <w:bCs/>
          <w:i w:val="0"/>
          <w:iCs w:val="0"/>
          <w:color w:val="auto"/>
          <w:highlight w:val="none"/>
          <w:lang w:val="en-US" w:eastAsia="zh-CN"/>
        </w:rPr>
        <w:t>附件2：</w:t>
      </w:r>
    </w:p>
    <w:p w14:paraId="5E388935">
      <w:pPr>
        <w:pStyle w:val="18"/>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val="0"/>
          <w:i w:val="0"/>
          <w:iCs w:val="0"/>
          <w:color w:val="auto"/>
          <w:sz w:val="32"/>
          <w:szCs w:val="32"/>
          <w:highlight w:val="none"/>
        </w:rPr>
      </w:pPr>
      <w:r>
        <w:rPr>
          <w:rFonts w:hint="eastAsia" w:ascii="宋体" w:hAnsi="宋体" w:eastAsia="宋体" w:cs="宋体"/>
          <w:b/>
          <w:bCs w:val="0"/>
          <w:i w:val="0"/>
          <w:iCs w:val="0"/>
          <w:color w:val="auto"/>
          <w:sz w:val="32"/>
          <w:szCs w:val="32"/>
          <w:highlight w:val="none"/>
        </w:rPr>
        <w:t>关于印发中小企业划型标准规定的通知</w:t>
      </w:r>
    </w:p>
    <w:p w14:paraId="4CE829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34"/>
          <w:rFonts w:hint="eastAsia" w:ascii="宋体" w:hAnsi="宋体" w:eastAsia="宋体" w:cs="宋体"/>
          <w:b w:val="0"/>
          <w:i w:val="0"/>
          <w:iCs w:val="0"/>
          <w:color w:val="auto"/>
          <w:sz w:val="24"/>
          <w:szCs w:val="24"/>
          <w:highlight w:val="none"/>
        </w:rPr>
      </w:pPr>
      <w:r>
        <w:rPr>
          <w:rStyle w:val="34"/>
          <w:rFonts w:hint="eastAsia" w:ascii="宋体" w:hAnsi="宋体" w:eastAsia="宋体" w:cs="宋体"/>
          <w:b w:val="0"/>
          <w:i w:val="0"/>
          <w:iCs w:val="0"/>
          <w:color w:val="auto"/>
          <w:sz w:val="24"/>
          <w:szCs w:val="24"/>
          <w:highlight w:val="none"/>
        </w:rPr>
        <w:t>工信部联企业〔2011〕300号</w:t>
      </w:r>
    </w:p>
    <w:p w14:paraId="035B36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34"/>
          <w:rFonts w:hint="eastAsia" w:ascii="宋体" w:hAnsi="宋体" w:eastAsia="宋体" w:cs="宋体"/>
          <w:b w:val="0"/>
          <w:i w:val="0"/>
          <w:iCs w:val="0"/>
          <w:color w:val="auto"/>
          <w:sz w:val="24"/>
          <w:szCs w:val="24"/>
          <w:highlight w:val="none"/>
        </w:rPr>
      </w:pPr>
    </w:p>
    <w:p w14:paraId="18D9E544">
      <w:pPr>
        <w:keepNext w:val="0"/>
        <w:keepLines w:val="0"/>
        <w:pageBreakBefore w:val="0"/>
        <w:widowControl w:val="0"/>
        <w:kinsoku/>
        <w:wordWrap/>
        <w:overflowPunct/>
        <w:topLinePunct w:val="0"/>
        <w:autoSpaceDE/>
        <w:autoSpaceDN/>
        <w:bidi w:val="0"/>
        <w:adjustRightInd/>
        <w:snapToGrid/>
        <w:spacing w:line="360" w:lineRule="exact"/>
        <w:textAlignment w:val="auto"/>
        <w:rPr>
          <w:rStyle w:val="34"/>
          <w:rFonts w:hint="eastAsia" w:ascii="宋体" w:hAnsi="宋体" w:eastAsia="宋体" w:cs="宋体"/>
          <w:b w:val="0"/>
          <w:i w:val="0"/>
          <w:iCs w:val="0"/>
          <w:color w:val="auto"/>
          <w:sz w:val="24"/>
          <w:szCs w:val="24"/>
          <w:highlight w:val="none"/>
        </w:rPr>
      </w:pPr>
      <w:r>
        <w:rPr>
          <w:rStyle w:val="34"/>
          <w:rFonts w:hint="eastAsia" w:ascii="宋体" w:hAnsi="宋体" w:eastAsia="宋体" w:cs="宋体"/>
          <w:b w:val="0"/>
          <w:i w:val="0"/>
          <w:iCs w:val="0"/>
          <w:color w:val="auto"/>
          <w:sz w:val="24"/>
          <w:szCs w:val="24"/>
          <w:highlight w:val="none"/>
        </w:rPr>
        <w:t>各省、自治区、直辖市人民政府，国务院各部委、各直属机构及有关单位：</w:t>
      </w:r>
    </w:p>
    <w:p w14:paraId="4DEDA48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E7F1B0C">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工业和信息化部</w:t>
      </w:r>
      <w:r>
        <w:rPr>
          <w:rStyle w:val="34"/>
          <w:rFonts w:hint="eastAsia" w:cs="宋体"/>
          <w:b w:val="0"/>
          <w:bCs w:val="0"/>
          <w:i w:val="0"/>
          <w:iCs w:val="0"/>
          <w:color w:val="auto"/>
          <w:sz w:val="24"/>
          <w:szCs w:val="24"/>
          <w:highlight w:val="none"/>
          <w:lang w:val="en-US" w:eastAsia="zh-CN"/>
        </w:rPr>
        <w:t xml:space="preserve"> </w:t>
      </w:r>
      <w:r>
        <w:rPr>
          <w:rStyle w:val="34"/>
          <w:rFonts w:hint="eastAsia" w:ascii="宋体" w:hAnsi="宋体" w:eastAsia="宋体" w:cs="宋体"/>
          <w:b w:val="0"/>
          <w:bCs w:val="0"/>
          <w:i w:val="0"/>
          <w:iCs w:val="0"/>
          <w:color w:val="auto"/>
          <w:sz w:val="24"/>
          <w:szCs w:val="24"/>
          <w:highlight w:val="none"/>
        </w:rPr>
        <w:t>国家统计局</w:t>
      </w:r>
    </w:p>
    <w:p w14:paraId="7459305C">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国家发展和改革委员会</w:t>
      </w:r>
      <w:r>
        <w:rPr>
          <w:rStyle w:val="34"/>
          <w:rFonts w:hint="eastAsia" w:cs="宋体"/>
          <w:b w:val="0"/>
          <w:bCs w:val="0"/>
          <w:i w:val="0"/>
          <w:iCs w:val="0"/>
          <w:color w:val="auto"/>
          <w:sz w:val="24"/>
          <w:szCs w:val="24"/>
          <w:highlight w:val="none"/>
          <w:lang w:val="en-US" w:eastAsia="zh-CN"/>
        </w:rPr>
        <w:t xml:space="preserve"> </w:t>
      </w:r>
      <w:r>
        <w:rPr>
          <w:rStyle w:val="34"/>
          <w:rFonts w:hint="eastAsia" w:ascii="宋体" w:hAnsi="宋体" w:eastAsia="宋体" w:cs="宋体"/>
          <w:b w:val="0"/>
          <w:bCs w:val="0"/>
          <w:i w:val="0"/>
          <w:iCs w:val="0"/>
          <w:color w:val="auto"/>
          <w:sz w:val="24"/>
          <w:szCs w:val="24"/>
          <w:highlight w:val="none"/>
        </w:rPr>
        <w:t>财政部</w:t>
      </w:r>
    </w:p>
    <w:p w14:paraId="7ED55480">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二○一一年六月十八日</w:t>
      </w:r>
    </w:p>
    <w:p w14:paraId="0C984C35">
      <w:pPr>
        <w:keepNext w:val="0"/>
        <w:keepLines w:val="0"/>
        <w:pageBreakBefore w:val="0"/>
        <w:widowControl w:val="0"/>
        <w:kinsoku/>
        <w:wordWrap/>
        <w:overflowPunct/>
        <w:topLinePunct w:val="0"/>
        <w:autoSpaceDE/>
        <w:autoSpaceDN/>
        <w:bidi w:val="0"/>
        <w:adjustRightInd/>
        <w:snapToGrid/>
        <w:spacing w:line="360" w:lineRule="exact"/>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 xml:space="preserve"> </w:t>
      </w:r>
    </w:p>
    <w:p w14:paraId="275CFE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34"/>
          <w:rFonts w:hint="eastAsia" w:ascii="宋体" w:hAnsi="宋体" w:eastAsia="宋体" w:cs="宋体"/>
          <w:b/>
          <w:bCs w:val="0"/>
          <w:i w:val="0"/>
          <w:iCs w:val="0"/>
          <w:color w:val="auto"/>
          <w:sz w:val="28"/>
          <w:szCs w:val="28"/>
          <w:highlight w:val="none"/>
        </w:rPr>
      </w:pPr>
      <w:r>
        <w:rPr>
          <w:rStyle w:val="34"/>
          <w:rFonts w:hint="eastAsia" w:ascii="宋体" w:hAnsi="宋体" w:eastAsia="宋体" w:cs="宋体"/>
          <w:b/>
          <w:bCs w:val="0"/>
          <w:i w:val="0"/>
          <w:iCs w:val="0"/>
          <w:color w:val="auto"/>
          <w:sz w:val="28"/>
          <w:szCs w:val="28"/>
          <w:highlight w:val="none"/>
        </w:rPr>
        <w:t>中小企业划型标准规定</w:t>
      </w:r>
    </w:p>
    <w:p w14:paraId="4E858CFE">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根据《中华人民共和国中小企业促进法》和《国务院关于进一步促进中小企业发展的若干意见》(国发〔2009〕36号)，制定本规定。</w:t>
      </w:r>
    </w:p>
    <w:p w14:paraId="5A48E705">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中小企业划分为中型、小型、微型三种类型，具体标准根据企业从业人员、营业收入、资产总额等指标，结合行业特点制定。</w:t>
      </w:r>
    </w:p>
    <w:p w14:paraId="2184D23B">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B3E9C6D">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各行业划型标准为：</w:t>
      </w:r>
    </w:p>
    <w:p w14:paraId="06589B41">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农、林、牧、渔业。营业收入20000万元以下的为中小微型企业。其中，营业收入500万元及以上的为中型企业，营业收入50万元及以上的为小型企业，营业收入50万元以下的为微型企业。</w:t>
      </w:r>
    </w:p>
    <w:p w14:paraId="100B92B6">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E9A414F">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EB56F05">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0099FD5">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D733D78">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011206E">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DE2C47C">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0618D01">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0319EAC">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20F798C">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A40AF82">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30A1BDD">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33A05E3">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AF3CE60">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firstLine="480" w:firstLineChars="2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A2CDD16">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（十六）其他未列明行业。从业人员300人以下的为中小微型企业。其中，从业人员100人及以上的为中型企业；从业人员10人及以上的为小型企业；从业人员10人以下的为微型企业。</w:t>
      </w:r>
    </w:p>
    <w:p w14:paraId="3B56B4F4">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五、企业类型的划分以统计部门的统计数据为依据。</w:t>
      </w:r>
    </w:p>
    <w:p w14:paraId="54DFDD5A">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六、本规定适用于在中华人民共和国境内依法设立的各类所有制和各种组织形式的企业。个体工商户和本规定以外的行业，参照本规定进行划型。</w:t>
      </w:r>
    </w:p>
    <w:p w14:paraId="1522D95A">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0C139026">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八、本规定由工业和信息化部、国家统计局会同有关部门根据《国民经济行业分类》修订情况和企业发展变化情况适时修订。</w:t>
      </w:r>
    </w:p>
    <w:p w14:paraId="02F2B5C2">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九、本规定由工业和信息化部、国家统计局会同有关部门负责解释。</w:t>
      </w:r>
    </w:p>
    <w:p w14:paraId="3CA83EDB">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Fonts w:cs="宋体"/>
          <w:i w:val="0"/>
          <w:iCs w:val="0"/>
          <w:color w:val="auto"/>
          <w:spacing w:val="6"/>
          <w:sz w:val="21"/>
          <w:szCs w:val="21"/>
          <w:highlight w:val="none"/>
        </w:rPr>
      </w:pPr>
      <w:r>
        <w:rPr>
          <w:rStyle w:val="34"/>
          <w:rFonts w:hint="eastAsia" w:ascii="宋体" w:hAnsi="宋体" w:eastAsia="宋体" w:cs="宋体"/>
          <w:b w:val="0"/>
          <w:bCs w:val="0"/>
          <w:i w:val="0"/>
          <w:iCs w:val="0"/>
          <w:color w:val="auto"/>
          <w:sz w:val="24"/>
          <w:szCs w:val="24"/>
          <w:highlight w:val="none"/>
        </w:rPr>
        <w:t>十、本规定自发布之日起执行，原国家经贸委、原国家计委、财政部和国家统计局2003年颁布的《中小企业标准暂行规定》同时废止。</w:t>
      </w:r>
    </w:p>
    <w:p w14:paraId="186BE8C2">
      <w:pPr>
        <w:rPr>
          <w:rFonts w:cs="宋体"/>
          <w:i w:val="0"/>
          <w:iCs w:val="0"/>
          <w:color w:val="auto"/>
          <w:spacing w:val="6"/>
          <w:sz w:val="21"/>
          <w:szCs w:val="21"/>
          <w:highlight w:val="none"/>
        </w:rPr>
      </w:pPr>
      <w:r>
        <w:rPr>
          <w:rFonts w:cs="宋体"/>
          <w:i w:val="0"/>
          <w:iCs w:val="0"/>
          <w:color w:val="auto"/>
          <w:spacing w:val="6"/>
          <w:sz w:val="21"/>
          <w:szCs w:val="21"/>
          <w:highlight w:val="none"/>
        </w:rPr>
        <w:br w:type="page"/>
      </w:r>
    </w:p>
    <w:p w14:paraId="79B2DD60">
      <w:pPr>
        <w:rPr>
          <w:rFonts w:cs="宋体"/>
          <w:i w:val="0"/>
          <w:iCs w:val="0"/>
          <w:color w:val="auto"/>
          <w:spacing w:val="6"/>
          <w:sz w:val="21"/>
          <w:szCs w:val="21"/>
          <w:highlight w:val="none"/>
        </w:rPr>
      </w:pPr>
      <w:bookmarkStart w:id="668" w:name="_Toc163492940"/>
    </w:p>
    <w:p w14:paraId="253C8CB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eastAsia="宋体"/>
          <w:b/>
          <w:bCs/>
          <w:i w:val="0"/>
          <w:iCs w:val="0"/>
          <w:color w:val="auto"/>
          <w:highlight w:val="none"/>
          <w:lang w:val="en-US" w:eastAsia="zh-CN"/>
        </w:rPr>
      </w:pPr>
      <w:r>
        <w:rPr>
          <w:rFonts w:hint="eastAsia"/>
          <w:b/>
          <w:bCs/>
          <w:i w:val="0"/>
          <w:iCs w:val="0"/>
          <w:color w:val="auto"/>
          <w:highlight w:val="none"/>
          <w:lang w:val="en-US" w:eastAsia="zh-CN"/>
        </w:rPr>
        <w:t>附件3：</w:t>
      </w:r>
    </w:p>
    <w:p w14:paraId="552DA3D0">
      <w:pPr>
        <w:rPr>
          <w:rFonts w:hint="eastAsia" w:cs="宋体"/>
          <w:i w:val="0"/>
          <w:iCs w:val="0"/>
          <w:color w:val="auto"/>
          <w:spacing w:val="6"/>
          <w:sz w:val="21"/>
          <w:szCs w:val="21"/>
          <w:highlight w:val="none"/>
        </w:rPr>
      </w:pPr>
    </w:p>
    <w:p w14:paraId="2B2772B9">
      <w:pPr>
        <w:pStyle w:val="18"/>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val="0"/>
          <w:i w:val="0"/>
          <w:iCs w:val="0"/>
          <w:color w:val="auto"/>
          <w:sz w:val="32"/>
          <w:szCs w:val="32"/>
          <w:highlight w:val="none"/>
        </w:rPr>
      </w:pPr>
      <w:r>
        <w:rPr>
          <w:rFonts w:hint="eastAsia" w:ascii="宋体" w:hAnsi="宋体" w:eastAsia="宋体" w:cs="宋体"/>
          <w:b/>
          <w:bCs w:val="0"/>
          <w:i w:val="0"/>
          <w:iCs w:val="0"/>
          <w:color w:val="auto"/>
          <w:sz w:val="32"/>
          <w:szCs w:val="32"/>
          <w:highlight w:val="none"/>
        </w:rPr>
        <w:t>关于印发《金融业企业划型标准规定》的通知</w:t>
      </w:r>
    </w:p>
    <w:p w14:paraId="10934D63">
      <w:pPr>
        <w:keepNext w:val="0"/>
        <w:keepLines w:val="0"/>
        <w:pageBreakBefore w:val="0"/>
        <w:widowControl w:val="0"/>
        <w:kinsoku/>
        <w:wordWrap/>
        <w:overflowPunct/>
        <w:topLinePunct w:val="0"/>
        <w:autoSpaceDE/>
        <w:autoSpaceDN/>
        <w:bidi w:val="0"/>
        <w:adjustRightInd/>
        <w:snapToGrid/>
        <w:spacing w:before="0" w:beforeLines="50"/>
        <w:jc w:val="center"/>
        <w:textAlignment w:val="auto"/>
        <w:rPr>
          <w:rStyle w:val="34"/>
          <w:rFonts w:hint="eastAsia" w:ascii="宋体" w:hAnsi="宋体" w:eastAsia="宋体" w:cs="宋体"/>
          <w:b w:val="0"/>
          <w:i w:val="0"/>
          <w:iCs w:val="0"/>
          <w:color w:val="auto"/>
          <w:sz w:val="24"/>
          <w:szCs w:val="24"/>
          <w:highlight w:val="none"/>
        </w:rPr>
      </w:pPr>
      <w:r>
        <w:rPr>
          <w:rStyle w:val="34"/>
          <w:rFonts w:hint="eastAsia" w:ascii="宋体" w:hAnsi="宋体" w:eastAsia="宋体" w:cs="宋体"/>
          <w:b w:val="0"/>
          <w:i w:val="0"/>
          <w:iCs w:val="0"/>
          <w:color w:val="auto"/>
          <w:sz w:val="24"/>
          <w:szCs w:val="24"/>
          <w:highlight w:val="none"/>
        </w:rPr>
        <w:t>银发〔2015〕309号</w:t>
      </w:r>
    </w:p>
    <w:p w14:paraId="131520C3">
      <w:pPr>
        <w:keepNext w:val="0"/>
        <w:keepLines w:val="0"/>
        <w:pageBreakBefore w:val="0"/>
        <w:widowControl w:val="0"/>
        <w:kinsoku/>
        <w:wordWrap/>
        <w:overflowPunct/>
        <w:topLinePunct w:val="0"/>
        <w:autoSpaceDE/>
        <w:autoSpaceDN/>
        <w:bidi w:val="0"/>
        <w:adjustRightInd/>
        <w:snapToGrid/>
        <w:spacing w:line="46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经国务院同意，现印发给你们，请遵照执行。</w:t>
      </w:r>
    </w:p>
    <w:p w14:paraId="001254D3">
      <w:pPr>
        <w:keepNext w:val="0"/>
        <w:keepLines w:val="0"/>
        <w:pageBreakBefore w:val="0"/>
        <w:widowControl w:val="0"/>
        <w:kinsoku/>
        <w:wordWrap/>
        <w:overflowPunct/>
        <w:topLinePunct w:val="0"/>
        <w:autoSpaceDE/>
        <w:autoSpaceDN/>
        <w:bidi w:val="0"/>
        <w:adjustRightInd/>
        <w:snapToGrid/>
        <w:spacing w:line="46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请人民银行上海总部，各分行、营业管理部、省会（首府）城市中心支行、副省级城市中心支行会同所在省（区、市）银监局、证监局、保监局、统计局将本通知联合转发至辖内相关机构。</w:t>
      </w:r>
    </w:p>
    <w:p w14:paraId="2CB613DA">
      <w:pPr>
        <w:keepNext w:val="0"/>
        <w:keepLines w:val="0"/>
        <w:pageBreakBefore w:val="0"/>
        <w:widowControl w:val="0"/>
        <w:kinsoku/>
        <w:wordWrap/>
        <w:overflowPunct/>
        <w:topLinePunct w:val="0"/>
        <w:autoSpaceDE/>
        <w:autoSpaceDN/>
        <w:bidi w:val="0"/>
        <w:adjustRightInd/>
        <w:snapToGrid/>
        <w:spacing w:line="460" w:lineRule="exact"/>
        <w:ind w:firstLine="483"/>
        <w:textAlignment w:val="auto"/>
        <w:rPr>
          <w:rStyle w:val="34"/>
          <w:rFonts w:hint="eastAsia" w:ascii="宋体" w:hAnsi="宋体" w:eastAsia="宋体" w:cs="宋体"/>
          <w:b w:val="0"/>
          <w:bCs w:val="0"/>
          <w:i w:val="0"/>
          <w:iCs w:val="0"/>
          <w:color w:val="auto"/>
          <w:sz w:val="24"/>
          <w:szCs w:val="24"/>
          <w:highlight w:val="none"/>
        </w:rPr>
      </w:pPr>
    </w:p>
    <w:p w14:paraId="6A073310">
      <w:pPr>
        <w:keepNext w:val="0"/>
        <w:keepLines w:val="0"/>
        <w:pageBreakBefore w:val="0"/>
        <w:widowControl w:val="0"/>
        <w:kinsoku/>
        <w:wordWrap/>
        <w:overflowPunct/>
        <w:topLinePunct w:val="0"/>
        <w:autoSpaceDE/>
        <w:autoSpaceDN/>
        <w:bidi w:val="0"/>
        <w:adjustRightInd/>
        <w:snapToGrid/>
        <w:spacing w:line="46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附件：金融业企业划型标准规定</w:t>
      </w:r>
    </w:p>
    <w:p w14:paraId="42FB2CC6">
      <w:pPr>
        <w:keepNext w:val="0"/>
        <w:keepLines w:val="0"/>
        <w:pageBreakBefore w:val="0"/>
        <w:widowControl w:val="0"/>
        <w:kinsoku/>
        <w:wordWrap/>
        <w:overflowPunct/>
        <w:topLinePunct w:val="0"/>
        <w:autoSpaceDE/>
        <w:autoSpaceDN/>
        <w:bidi w:val="0"/>
        <w:adjustRightInd/>
        <w:snapToGrid/>
        <w:spacing w:line="460" w:lineRule="exact"/>
        <w:textAlignment w:val="auto"/>
        <w:rPr>
          <w:rStyle w:val="34"/>
          <w:rFonts w:hint="eastAsia" w:ascii="宋体" w:hAnsi="宋体" w:eastAsia="宋体" w:cs="宋体"/>
          <w:b w:val="0"/>
          <w:bCs w:val="0"/>
          <w:i w:val="0"/>
          <w:iCs w:val="0"/>
          <w:color w:val="auto"/>
          <w:sz w:val="24"/>
          <w:szCs w:val="24"/>
          <w:highlight w:val="none"/>
        </w:rPr>
      </w:pPr>
      <w:r>
        <w:rPr>
          <w:rFonts w:hint="eastAsia" w:cs="宋体"/>
          <w:i w:val="0"/>
          <w:iCs w:val="0"/>
          <w:color w:val="auto"/>
          <w:spacing w:val="6"/>
          <w:sz w:val="24"/>
          <w:szCs w:val="24"/>
          <w:highlight w:val="none"/>
        </w:rPr>
        <w:t>                                      </w:t>
      </w:r>
      <w:r>
        <w:rPr>
          <w:rStyle w:val="34"/>
          <w:rFonts w:hint="eastAsia" w:ascii="宋体" w:hAnsi="宋体" w:eastAsia="宋体" w:cs="宋体"/>
          <w:b w:val="0"/>
          <w:bCs w:val="0"/>
          <w:i w:val="0"/>
          <w:iCs w:val="0"/>
          <w:color w:val="auto"/>
          <w:sz w:val="24"/>
          <w:szCs w:val="24"/>
          <w:highlight w:val="none"/>
        </w:rPr>
        <w:t>       </w:t>
      </w:r>
      <w:r>
        <w:rPr>
          <w:rStyle w:val="34"/>
          <w:rFonts w:hint="eastAsia" w:cs="宋体"/>
          <w:b w:val="0"/>
          <w:bCs w:val="0"/>
          <w:i w:val="0"/>
          <w:iCs w:val="0"/>
          <w:color w:val="auto"/>
          <w:sz w:val="24"/>
          <w:szCs w:val="24"/>
          <w:highlight w:val="none"/>
          <w:lang w:val="en-US" w:eastAsia="zh-CN"/>
        </w:rPr>
        <w:t xml:space="preserve">                            </w:t>
      </w:r>
      <w:r>
        <w:rPr>
          <w:rStyle w:val="34"/>
          <w:rFonts w:hint="eastAsia" w:ascii="宋体" w:hAnsi="宋体" w:eastAsia="宋体" w:cs="宋体"/>
          <w:b w:val="0"/>
          <w:bCs w:val="0"/>
          <w:i w:val="0"/>
          <w:iCs w:val="0"/>
          <w:color w:val="auto"/>
          <w:sz w:val="24"/>
          <w:szCs w:val="24"/>
          <w:highlight w:val="none"/>
        </w:rPr>
        <w:t>中国人民银行</w:t>
      </w:r>
    </w:p>
    <w:p w14:paraId="24860AE8">
      <w:pPr>
        <w:keepNext w:val="0"/>
        <w:keepLines w:val="0"/>
        <w:pageBreakBefore w:val="0"/>
        <w:widowControl w:val="0"/>
        <w:kinsoku/>
        <w:wordWrap/>
        <w:overflowPunct/>
        <w:topLinePunct w:val="0"/>
        <w:autoSpaceDE/>
        <w:autoSpaceDN/>
        <w:bidi w:val="0"/>
        <w:adjustRightInd/>
        <w:snapToGrid/>
        <w:spacing w:line="460" w:lineRule="exact"/>
        <w:ind w:firstLine="2400" w:firstLineChars="10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          中国银行业监督管理委员会</w:t>
      </w:r>
    </w:p>
    <w:p w14:paraId="6E5FD505">
      <w:pPr>
        <w:keepNext w:val="0"/>
        <w:keepLines w:val="0"/>
        <w:pageBreakBefore w:val="0"/>
        <w:widowControl w:val="0"/>
        <w:kinsoku/>
        <w:wordWrap/>
        <w:overflowPunct/>
        <w:topLinePunct w:val="0"/>
        <w:autoSpaceDE/>
        <w:autoSpaceDN/>
        <w:bidi w:val="0"/>
        <w:adjustRightInd/>
        <w:snapToGrid/>
        <w:spacing w:line="460" w:lineRule="exact"/>
        <w:ind w:firstLine="2400" w:firstLineChars="10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           中国证券监督管理委员会</w:t>
      </w:r>
    </w:p>
    <w:p w14:paraId="0D2FD576">
      <w:pPr>
        <w:keepNext w:val="0"/>
        <w:keepLines w:val="0"/>
        <w:pageBreakBefore w:val="0"/>
        <w:widowControl w:val="0"/>
        <w:kinsoku/>
        <w:wordWrap/>
        <w:overflowPunct/>
        <w:topLinePunct w:val="0"/>
        <w:autoSpaceDE/>
        <w:autoSpaceDN/>
        <w:bidi w:val="0"/>
        <w:adjustRightInd/>
        <w:snapToGrid/>
        <w:spacing w:line="460" w:lineRule="exact"/>
        <w:ind w:firstLine="2400" w:firstLineChars="10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           中国保险监督管理委员会</w:t>
      </w:r>
    </w:p>
    <w:p w14:paraId="48DE0FEF">
      <w:pPr>
        <w:keepNext w:val="0"/>
        <w:keepLines w:val="0"/>
        <w:pageBreakBefore w:val="0"/>
        <w:widowControl w:val="0"/>
        <w:kinsoku/>
        <w:wordWrap/>
        <w:overflowPunct/>
        <w:topLinePunct w:val="0"/>
        <w:autoSpaceDE/>
        <w:autoSpaceDN/>
        <w:bidi w:val="0"/>
        <w:adjustRightInd/>
        <w:snapToGrid/>
        <w:spacing w:line="460" w:lineRule="exact"/>
        <w:ind w:firstLine="2160" w:firstLineChars="900"/>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           中华人民共和国国家统计局</w:t>
      </w:r>
    </w:p>
    <w:p w14:paraId="1AF6E0E5">
      <w:pPr>
        <w:keepNext w:val="0"/>
        <w:keepLines w:val="0"/>
        <w:pageBreakBefore w:val="0"/>
        <w:widowControl w:val="0"/>
        <w:kinsoku/>
        <w:wordWrap/>
        <w:overflowPunct/>
        <w:topLinePunct w:val="0"/>
        <w:autoSpaceDE/>
        <w:autoSpaceDN/>
        <w:bidi w:val="0"/>
        <w:adjustRightInd/>
        <w:snapToGrid/>
        <w:spacing w:line="460" w:lineRule="exact"/>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                                                     </w:t>
      </w:r>
      <w:r>
        <w:rPr>
          <w:rStyle w:val="34"/>
          <w:rFonts w:hint="eastAsia" w:cs="宋体"/>
          <w:b w:val="0"/>
          <w:bCs w:val="0"/>
          <w:i w:val="0"/>
          <w:iCs w:val="0"/>
          <w:color w:val="auto"/>
          <w:sz w:val="24"/>
          <w:szCs w:val="24"/>
          <w:highlight w:val="none"/>
          <w:lang w:val="en-US" w:eastAsia="zh-CN"/>
        </w:rPr>
        <w:t xml:space="preserve">     </w:t>
      </w:r>
      <w:r>
        <w:rPr>
          <w:rStyle w:val="34"/>
          <w:rFonts w:hint="eastAsia" w:ascii="宋体" w:hAnsi="宋体" w:eastAsia="宋体" w:cs="宋体"/>
          <w:b w:val="0"/>
          <w:bCs w:val="0"/>
          <w:i w:val="0"/>
          <w:iCs w:val="0"/>
          <w:color w:val="auto"/>
          <w:sz w:val="24"/>
          <w:szCs w:val="24"/>
          <w:highlight w:val="none"/>
        </w:rPr>
        <w:t> 2015年9月28日</w:t>
      </w:r>
    </w:p>
    <w:p w14:paraId="1C095693">
      <w:pPr>
        <w:rPr>
          <w:rFonts w:hint="eastAsia" w:cs="宋体"/>
          <w:i w:val="0"/>
          <w:iCs w:val="0"/>
          <w:color w:val="auto"/>
          <w:spacing w:val="6"/>
          <w:sz w:val="21"/>
          <w:szCs w:val="21"/>
          <w:highlight w:val="none"/>
        </w:rPr>
      </w:pPr>
    </w:p>
    <w:p w14:paraId="226547DF">
      <w:pPr>
        <w:rPr>
          <w:rFonts w:hint="eastAsia" w:cs="宋体"/>
          <w:i w:val="0"/>
          <w:iCs w:val="0"/>
          <w:color w:val="auto"/>
          <w:spacing w:val="6"/>
          <w:sz w:val="21"/>
          <w:szCs w:val="21"/>
          <w:highlight w:val="none"/>
          <w:lang w:val="en-US" w:eastAsia="zh-CN"/>
        </w:rPr>
      </w:pPr>
    </w:p>
    <w:p w14:paraId="758140B3">
      <w:pPr>
        <w:rPr>
          <w:rFonts w:hint="eastAsia" w:cs="宋体"/>
          <w:i w:val="0"/>
          <w:iCs w:val="0"/>
          <w:color w:val="auto"/>
          <w:spacing w:val="6"/>
          <w:sz w:val="21"/>
          <w:szCs w:val="21"/>
          <w:highlight w:val="none"/>
          <w:lang w:val="en-US" w:eastAsia="zh-CN"/>
        </w:rPr>
      </w:pPr>
      <w:r>
        <w:rPr>
          <w:rFonts w:hint="eastAsia" w:cs="宋体"/>
          <w:i w:val="0"/>
          <w:iCs w:val="0"/>
          <w:color w:val="auto"/>
          <w:spacing w:val="6"/>
          <w:sz w:val="21"/>
          <w:szCs w:val="21"/>
          <w:highlight w:val="none"/>
          <w:lang w:val="en-US" w:eastAsia="zh-CN"/>
        </w:rPr>
        <w:br w:type="page"/>
      </w:r>
    </w:p>
    <w:p w14:paraId="4DBF3DC9">
      <w:pPr>
        <w:rPr>
          <w:rFonts w:hint="eastAsia" w:cs="宋体"/>
          <w:i w:val="0"/>
          <w:iCs w:val="0"/>
          <w:color w:val="auto"/>
          <w:spacing w:val="6"/>
          <w:sz w:val="21"/>
          <w:szCs w:val="21"/>
          <w:highlight w:val="none"/>
        </w:rPr>
      </w:pPr>
      <w:r>
        <w:rPr>
          <w:rFonts w:hint="eastAsia" w:cs="宋体"/>
          <w:i w:val="0"/>
          <w:iCs w:val="0"/>
          <w:color w:val="auto"/>
          <w:spacing w:val="6"/>
          <w:sz w:val="21"/>
          <w:szCs w:val="21"/>
          <w:highlight w:val="none"/>
          <w:lang w:val="en-US" w:eastAsia="zh-CN"/>
        </w:rPr>
        <w:t>附件</w:t>
      </w:r>
    </w:p>
    <w:p w14:paraId="144A2F48">
      <w:pPr>
        <w:pStyle w:val="18"/>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方正小标宋_GBK" w:hAnsi="方正小标宋_GBK" w:eastAsia="方正小标宋_GBK" w:cs="方正小标宋_GBK"/>
          <w:bCs/>
          <w:i w:val="0"/>
          <w:iCs w:val="0"/>
          <w:color w:val="auto"/>
          <w:sz w:val="32"/>
          <w:szCs w:val="32"/>
          <w:highlight w:val="none"/>
        </w:rPr>
      </w:pPr>
      <w:r>
        <w:rPr>
          <w:rFonts w:hint="eastAsia" w:ascii="宋体" w:hAnsi="宋体" w:eastAsia="宋体" w:cs="宋体"/>
          <w:b/>
          <w:bCs w:val="0"/>
          <w:i w:val="0"/>
          <w:iCs w:val="0"/>
          <w:color w:val="auto"/>
          <w:sz w:val="28"/>
          <w:szCs w:val="28"/>
          <w:highlight w:val="none"/>
        </w:rPr>
        <w:t>金融业企业划型标准规定</w:t>
      </w:r>
    </w:p>
    <w:p w14:paraId="420753EE">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一、根据《中华人民共和国中小企业促进法》、《国务院关于进一步促进中小企业发展的若干意见》（国发〔2009〕36号）和《国务院办公厅关于金融支持小微企业发展的实施意见》（国办发〔2013〕87号），制定本规定。</w:t>
      </w:r>
    </w:p>
    <w:p w14:paraId="17B3E504">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二、适用范围。本规定适用于从事《国民经济行业分类》（GB/T4754-2011）中J门类（金融业）活动的企业。</w:t>
      </w:r>
    </w:p>
    <w:p w14:paraId="0BFB9438">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13A99DF0">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四、划型标准指标。采用一个完整会计年度中四个季度末法人并表口径的资产总额（信托公司为信托资产）平均值作为划型指标，该指标以监管部门数据为准。</w:t>
      </w:r>
    </w:p>
    <w:p w14:paraId="085737F5">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五、指标标准值。依据指标标准值，将各类金融业企业划分为大、中、小、微四个规模类型，中型企业标准上限及以上的为大型企业。</w:t>
      </w:r>
    </w:p>
    <w:p w14:paraId="1F939235">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（一）银行业存款类金融机构。资产总额40000亿元以下的为中小微型企业。其中，资产总额5000亿元及以上的为中型企业，资产总额50亿元及以上的为小型企业，资产总额50亿元以下的为微型企业。</w:t>
      </w:r>
    </w:p>
    <w:p w14:paraId="66F83E9A">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（二）银行业非存款类金融机构。资产总额1000亿元以下的为中小微企业。其中，资产总额200亿元及以上的为中型企业，资产总额50亿元及以上的为小型企业，资产总额50亿元以下的为微型企业。</w:t>
      </w:r>
    </w:p>
    <w:p w14:paraId="6AE3E855">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（三）贷款公司、小额贷款公司及典当行。资产总额1000亿元以下的为中小微型企业。其中，资产总额200亿元及以上的为中型企业，资产总额50亿元及以上的为小型企业，资产总额50亿元以下的为微型企业。</w:t>
      </w:r>
    </w:p>
    <w:p w14:paraId="06BEDE2E">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（四）证券业金融机构。资产总额1000亿元以下的为中小微型企业。其中，资产总额100亿元及以上的为中型企业，资产总额10亿元及以上的为小型企业，资产总额10亿元以下的为微型企业。</w:t>
      </w:r>
    </w:p>
    <w:p w14:paraId="1E56EE1E">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（五）保险业金融机构。资产总额5000亿元以下的为中小微型企业。其中，资产总额400亿元及以上的为中型企业，资产总额20亿元及以上的为小型企业，资产总额20亿元以下的为微型企业。</w:t>
      </w:r>
    </w:p>
    <w:p w14:paraId="178EEB7F">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（六）信托公司。信托资产1000亿元以下的为中小微型企业。其中，信托资产400亿元及以上的为中型企业，信托资产20亿元及以上的为小型企业，信托资产20亿元以下的为微型企业。</w:t>
      </w:r>
    </w:p>
    <w:p w14:paraId="569FD606">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（七）金融控股公司。资产总额40000亿元以下的为中小微企业。其中，资产总额5000亿元及以上的为中型企业，资产总额50亿元及以上的为小型企业，资产总额50亿元以下的为微型企业。、</w:t>
      </w:r>
    </w:p>
    <w:p w14:paraId="532C9053">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lang w:eastAsia="zh-CN"/>
        </w:rPr>
      </w:pPr>
      <w:r>
        <w:rPr>
          <w:rStyle w:val="34"/>
          <w:rFonts w:hint="eastAsia" w:ascii="宋体" w:hAnsi="宋体" w:eastAsia="宋体" w:cs="宋体"/>
          <w:b w:val="0"/>
          <w:bCs w:val="0"/>
          <w:i w:val="0"/>
          <w:iCs w:val="0"/>
          <w:color w:val="auto"/>
          <w:sz w:val="24"/>
          <w:szCs w:val="24"/>
          <w:highlight w:val="none"/>
        </w:rPr>
        <w:t>(八)除贷款公司、小额贷款公司、典当行以外的其他金融机构。资产总额1000亿元以下的为中小微型企业。其中，资产总额200亿元及以上的为中型企业，资产总额50亿元及以上的为小型企业，资产总额50亿元以下的为微型企业</w:t>
      </w:r>
      <w:r>
        <w:rPr>
          <w:rStyle w:val="34"/>
          <w:rFonts w:hint="eastAsia" w:cs="宋体"/>
          <w:b w:val="0"/>
          <w:bCs w:val="0"/>
          <w:i w:val="0"/>
          <w:iCs w:val="0"/>
          <w:color w:val="auto"/>
          <w:sz w:val="24"/>
          <w:szCs w:val="24"/>
          <w:highlight w:val="none"/>
          <w:lang w:eastAsia="zh-CN"/>
        </w:rPr>
        <w:t>。</w:t>
      </w:r>
    </w:p>
    <w:p w14:paraId="4A8E690F">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加相应的字段模块。经过认定的金融业企业在系统中进行规模登记</w:t>
      </w:r>
      <w:r>
        <w:rPr>
          <w:rStyle w:val="34"/>
          <w:rFonts w:hint="eastAsia" w:cs="宋体"/>
          <w:b w:val="0"/>
          <w:bCs w:val="0"/>
          <w:i w:val="0"/>
          <w:iCs w:val="0"/>
          <w:color w:val="auto"/>
          <w:sz w:val="24"/>
          <w:szCs w:val="24"/>
          <w:highlight w:val="none"/>
          <w:lang w:eastAsia="zh-CN"/>
        </w:rPr>
        <w:t>，</w:t>
      </w:r>
      <w:r>
        <w:rPr>
          <w:rStyle w:val="34"/>
          <w:rFonts w:hint="eastAsia" w:ascii="宋体" w:hAnsi="宋体" w:eastAsia="宋体" w:cs="宋体"/>
          <w:b w:val="0"/>
          <w:bCs w:val="0"/>
          <w:i w:val="0"/>
          <w:iCs w:val="0"/>
          <w:color w:val="auto"/>
          <w:sz w:val="24"/>
          <w:szCs w:val="24"/>
          <w:highlight w:val="none"/>
        </w:rPr>
        <w:t>方便政府部门和社会各界查询使用。</w:t>
      </w:r>
    </w:p>
    <w:p w14:paraId="2B89D0CF">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七、标准值的评估和调整。金融业企业划型标准工作组每五年对划型标准值受经济发展与通货膨胀等因素的影响程度进行评估和调整。</w:t>
      </w:r>
    </w:p>
    <w:p w14:paraId="69089089">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lang w:eastAsia="zh-CN"/>
        </w:rPr>
      </w:pPr>
      <w:r>
        <w:rPr>
          <w:rStyle w:val="34"/>
          <w:rFonts w:hint="eastAsia" w:ascii="宋体" w:hAnsi="宋体" w:eastAsia="宋体" w:cs="宋体"/>
          <w:b w:val="0"/>
          <w:bCs w:val="0"/>
          <w:i w:val="0"/>
          <w:iCs w:val="0"/>
          <w:color w:val="auto"/>
          <w:sz w:val="24"/>
          <w:szCs w:val="24"/>
          <w:highlight w:val="none"/>
        </w:rPr>
        <w:t>八、本规定的中型金融业企业标准上限即为大型金融业企业下限。国务院有关部门据此进行相关数据的统计分析，不得制定与本规定不一致的金融业企业划型标准</w:t>
      </w:r>
      <w:r>
        <w:rPr>
          <w:rStyle w:val="34"/>
          <w:rFonts w:hint="eastAsia" w:cs="宋体"/>
          <w:b w:val="0"/>
          <w:bCs w:val="0"/>
          <w:i w:val="0"/>
          <w:iCs w:val="0"/>
          <w:color w:val="auto"/>
          <w:sz w:val="24"/>
          <w:szCs w:val="24"/>
          <w:highlight w:val="none"/>
          <w:lang w:eastAsia="zh-CN"/>
        </w:rPr>
        <w:t>。</w:t>
      </w:r>
    </w:p>
    <w:p w14:paraId="3673C40B">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lang w:eastAsia="zh-CN"/>
        </w:rPr>
      </w:pPr>
      <w:r>
        <w:rPr>
          <w:rStyle w:val="34"/>
          <w:rFonts w:hint="eastAsia" w:ascii="宋体" w:hAnsi="宋体" w:eastAsia="宋体" w:cs="宋体"/>
          <w:b w:val="0"/>
          <w:bCs w:val="0"/>
          <w:i w:val="0"/>
          <w:iCs w:val="0"/>
          <w:color w:val="auto"/>
          <w:sz w:val="24"/>
          <w:szCs w:val="24"/>
          <w:highlight w:val="none"/>
        </w:rPr>
        <w:t>九、融资担保公司参照本规定中“除贷款公司、小额贷款公司、典当行以外的其他金融机构”标准划型</w:t>
      </w:r>
      <w:r>
        <w:rPr>
          <w:rStyle w:val="34"/>
          <w:rFonts w:hint="eastAsia" w:cs="宋体"/>
          <w:b w:val="0"/>
          <w:bCs w:val="0"/>
          <w:i w:val="0"/>
          <w:iCs w:val="0"/>
          <w:color w:val="auto"/>
          <w:sz w:val="24"/>
          <w:szCs w:val="24"/>
          <w:highlight w:val="none"/>
          <w:lang w:eastAsia="zh-CN"/>
        </w:rPr>
        <w:t>。</w:t>
      </w:r>
    </w:p>
    <w:p w14:paraId="2CCF989E">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十、本规定由人民银行会同银监会、证监会、保监会和统计局负责解释。</w:t>
      </w:r>
    </w:p>
    <w:p w14:paraId="5AE20935">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十一、本规定自发布之日起实施,</w:t>
      </w:r>
    </w:p>
    <w:p w14:paraId="4BC00C36">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p>
    <w:p w14:paraId="454D7703">
      <w:pPr>
        <w:keepNext w:val="0"/>
        <w:keepLines w:val="0"/>
        <w:pageBreakBefore w:val="0"/>
        <w:widowControl w:val="0"/>
        <w:kinsoku/>
        <w:wordWrap/>
        <w:overflowPunct/>
        <w:topLinePunct w:val="0"/>
        <w:autoSpaceDE/>
        <w:autoSpaceDN/>
        <w:bidi w:val="0"/>
        <w:adjustRightInd/>
        <w:snapToGrid/>
        <w:spacing w:line="400" w:lineRule="exact"/>
        <w:ind w:firstLine="483"/>
        <w:textAlignment w:val="auto"/>
        <w:rPr>
          <w:rStyle w:val="34"/>
          <w:rFonts w:hint="eastAsia" w:ascii="宋体" w:hAnsi="宋体" w:eastAsia="宋体" w:cs="宋体"/>
          <w:b w:val="0"/>
          <w:bCs w:val="0"/>
          <w:i w:val="0"/>
          <w:iCs w:val="0"/>
          <w:color w:val="auto"/>
          <w:sz w:val="24"/>
          <w:szCs w:val="24"/>
          <w:highlight w:val="none"/>
        </w:rPr>
      </w:pPr>
      <w:r>
        <w:rPr>
          <w:rStyle w:val="34"/>
          <w:rFonts w:hint="eastAsia" w:ascii="宋体" w:hAnsi="宋体" w:eastAsia="宋体" w:cs="宋体"/>
          <w:b w:val="0"/>
          <w:bCs w:val="0"/>
          <w:i w:val="0"/>
          <w:iCs w:val="0"/>
          <w:color w:val="auto"/>
          <w:sz w:val="24"/>
          <w:szCs w:val="24"/>
          <w:highlight w:val="none"/>
        </w:rPr>
        <w:t>附:金融业企业划型标准</w:t>
      </w:r>
    </w:p>
    <w:p w14:paraId="19D2058A">
      <w:pPr>
        <w:rPr>
          <w:rFonts w:cs="宋体"/>
          <w:i w:val="0"/>
          <w:iCs w:val="0"/>
          <w:color w:val="auto"/>
          <w:spacing w:val="6"/>
          <w:sz w:val="21"/>
          <w:szCs w:val="21"/>
          <w:highlight w:val="none"/>
        </w:rPr>
      </w:pPr>
    </w:p>
    <w:p w14:paraId="2EED8D56">
      <w:pPr>
        <w:rPr>
          <w:rFonts w:hint="eastAsia" w:cs="宋体"/>
          <w:i w:val="0"/>
          <w:iCs w:val="0"/>
          <w:color w:val="auto"/>
          <w:spacing w:val="6"/>
          <w:sz w:val="24"/>
          <w:szCs w:val="24"/>
          <w:highlight w:val="none"/>
          <w:lang w:val="en-US" w:eastAsia="zh-CN"/>
        </w:rPr>
      </w:pPr>
      <w:r>
        <w:rPr>
          <w:rFonts w:hint="eastAsia" w:cs="宋体"/>
          <w:i w:val="0"/>
          <w:iCs w:val="0"/>
          <w:color w:val="auto"/>
          <w:spacing w:val="6"/>
          <w:sz w:val="24"/>
          <w:szCs w:val="24"/>
          <w:highlight w:val="none"/>
          <w:lang w:val="en-US" w:eastAsia="zh-CN"/>
        </w:rPr>
        <w:br w:type="page"/>
      </w:r>
    </w:p>
    <w:p w14:paraId="3073B06A">
      <w:pPr>
        <w:rPr>
          <w:rFonts w:hint="eastAsia" w:cs="宋体"/>
          <w:i w:val="0"/>
          <w:iCs w:val="0"/>
          <w:color w:val="auto"/>
          <w:spacing w:val="6"/>
          <w:sz w:val="24"/>
          <w:szCs w:val="24"/>
          <w:highlight w:val="none"/>
          <w:lang w:val="en-US" w:eastAsia="zh-CN"/>
        </w:rPr>
      </w:pPr>
      <w:r>
        <w:rPr>
          <w:rFonts w:hint="eastAsia" w:cs="宋体"/>
          <w:i w:val="0"/>
          <w:iCs w:val="0"/>
          <w:color w:val="auto"/>
          <w:spacing w:val="6"/>
          <w:sz w:val="24"/>
          <w:szCs w:val="24"/>
          <w:highlight w:val="none"/>
          <w:lang w:val="en-US" w:eastAsia="zh-CN"/>
        </w:rPr>
        <w:t>附</w:t>
      </w:r>
    </w:p>
    <w:p w14:paraId="3E67E2D9">
      <w:pPr>
        <w:pStyle w:val="18"/>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方正小标宋_GBK" w:hAnsi="方正小标宋_GBK" w:eastAsia="方正小标宋_GBK" w:cs="方正小标宋_GBK"/>
          <w:bCs/>
          <w:i w:val="0"/>
          <w:iCs w:val="0"/>
          <w:color w:val="auto"/>
          <w:sz w:val="32"/>
          <w:szCs w:val="32"/>
          <w:highlight w:val="none"/>
        </w:rPr>
      </w:pPr>
      <w:r>
        <w:rPr>
          <w:rFonts w:hint="eastAsia" w:ascii="宋体" w:hAnsi="宋体" w:eastAsia="宋体" w:cs="宋体"/>
          <w:b/>
          <w:bCs w:val="0"/>
          <w:i w:val="0"/>
          <w:iCs w:val="0"/>
          <w:color w:val="auto"/>
          <w:sz w:val="28"/>
          <w:szCs w:val="28"/>
          <w:highlight w:val="none"/>
        </w:rPr>
        <w:t>金融业企业划型标准</w:t>
      </w:r>
    </w:p>
    <w:tbl>
      <w:tblPr>
        <w:tblStyle w:val="32"/>
        <w:tblW w:w="8498" w:type="dxa"/>
        <w:tblInd w:w="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168"/>
        <w:gridCol w:w="1817"/>
        <w:gridCol w:w="1143"/>
        <w:gridCol w:w="3251"/>
      </w:tblGrid>
      <w:tr w14:paraId="2902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287" w:type="dxa"/>
            <w:gridSpan w:val="2"/>
            <w:vAlign w:val="center"/>
          </w:tcPr>
          <w:p w14:paraId="683F12FD">
            <w:pPr>
              <w:spacing w:line="240" w:lineRule="auto"/>
              <w:jc w:val="center"/>
              <w:rPr>
                <w:rFonts w:hint="eastAsia" w:ascii="宋体" w:hAnsi="宋体" w:eastAsia="宋体" w:cs="宋体"/>
                <w:b/>
                <w:i w:val="0"/>
                <w:iCs w:val="0"/>
                <w:color w:val="auto"/>
                <w:spacing w:val="6"/>
                <w:sz w:val="21"/>
                <w:szCs w:val="21"/>
                <w:highlight w:val="none"/>
                <w:vertAlign w:val="baseline"/>
                <w:lang w:val="en-US" w:eastAsia="zh-CN"/>
              </w:rPr>
            </w:pPr>
            <w:r>
              <w:rPr>
                <w:rFonts w:hint="eastAsia" w:ascii="宋体" w:hAnsi="宋体" w:eastAsia="宋体" w:cs="宋体"/>
                <w:b/>
                <w:i w:val="0"/>
                <w:iCs w:val="0"/>
                <w:color w:val="auto"/>
                <w:spacing w:val="6"/>
                <w:sz w:val="21"/>
                <w:szCs w:val="21"/>
                <w:highlight w:val="none"/>
                <w:vertAlign w:val="baseline"/>
                <w:lang w:val="en-US" w:eastAsia="zh-CN"/>
              </w:rPr>
              <w:t>行业</w:t>
            </w:r>
          </w:p>
        </w:tc>
        <w:tc>
          <w:tcPr>
            <w:tcW w:w="1817" w:type="dxa"/>
            <w:vAlign w:val="center"/>
          </w:tcPr>
          <w:p w14:paraId="3CBCA995">
            <w:pPr>
              <w:spacing w:line="240" w:lineRule="auto"/>
              <w:jc w:val="center"/>
              <w:rPr>
                <w:rFonts w:hint="eastAsia" w:ascii="宋体" w:hAnsi="宋体" w:eastAsia="宋体" w:cs="宋体"/>
                <w:b/>
                <w:i w:val="0"/>
                <w:iCs w:val="0"/>
                <w:color w:val="auto"/>
                <w:spacing w:val="6"/>
                <w:sz w:val="21"/>
                <w:szCs w:val="21"/>
                <w:highlight w:val="none"/>
                <w:vertAlign w:val="baseline"/>
                <w:lang w:val="en-US" w:eastAsia="zh-CN"/>
              </w:rPr>
            </w:pPr>
            <w:r>
              <w:rPr>
                <w:rFonts w:hint="eastAsia" w:ascii="宋体" w:hAnsi="宋体" w:eastAsia="宋体" w:cs="宋体"/>
                <w:b/>
                <w:i w:val="0"/>
                <w:iCs w:val="0"/>
                <w:color w:val="auto"/>
                <w:spacing w:val="6"/>
                <w:sz w:val="21"/>
                <w:szCs w:val="21"/>
                <w:highlight w:val="none"/>
                <w:vertAlign w:val="baseline"/>
                <w:lang w:val="en-US" w:eastAsia="zh-CN"/>
              </w:rPr>
              <w:t>类别</w:t>
            </w:r>
          </w:p>
        </w:tc>
        <w:tc>
          <w:tcPr>
            <w:tcW w:w="1143" w:type="dxa"/>
            <w:vAlign w:val="center"/>
          </w:tcPr>
          <w:p w14:paraId="23EB5978">
            <w:pPr>
              <w:spacing w:line="240" w:lineRule="auto"/>
              <w:jc w:val="center"/>
              <w:rPr>
                <w:rFonts w:hint="eastAsia" w:ascii="宋体" w:hAnsi="宋体" w:eastAsia="宋体" w:cs="宋体"/>
                <w:b/>
                <w:i w:val="0"/>
                <w:iCs w:val="0"/>
                <w:color w:val="auto"/>
                <w:spacing w:val="6"/>
                <w:sz w:val="21"/>
                <w:szCs w:val="21"/>
                <w:highlight w:val="none"/>
                <w:vertAlign w:val="baseline"/>
                <w:lang w:val="en-US" w:eastAsia="zh-CN"/>
              </w:rPr>
            </w:pPr>
            <w:r>
              <w:rPr>
                <w:rFonts w:hint="eastAsia" w:ascii="宋体" w:hAnsi="宋体" w:eastAsia="宋体" w:cs="宋体"/>
                <w:b/>
                <w:i w:val="0"/>
                <w:iCs w:val="0"/>
                <w:color w:val="auto"/>
                <w:spacing w:val="6"/>
                <w:sz w:val="21"/>
                <w:szCs w:val="21"/>
                <w:highlight w:val="none"/>
                <w:vertAlign w:val="baseline"/>
                <w:lang w:val="en-US" w:eastAsia="zh-CN"/>
              </w:rPr>
              <w:t>类型</w:t>
            </w:r>
          </w:p>
        </w:tc>
        <w:tc>
          <w:tcPr>
            <w:tcW w:w="3251" w:type="dxa"/>
            <w:vAlign w:val="center"/>
          </w:tcPr>
          <w:p w14:paraId="2A9B6A03">
            <w:pPr>
              <w:spacing w:line="240" w:lineRule="auto"/>
              <w:jc w:val="center"/>
              <w:rPr>
                <w:rFonts w:hint="eastAsia" w:ascii="宋体" w:hAnsi="宋体" w:eastAsia="宋体" w:cs="宋体"/>
                <w:b/>
                <w:i w:val="0"/>
                <w:iCs w:val="0"/>
                <w:color w:val="auto"/>
                <w:spacing w:val="6"/>
                <w:sz w:val="21"/>
                <w:szCs w:val="21"/>
                <w:highlight w:val="none"/>
                <w:vertAlign w:val="baseline"/>
                <w:lang w:val="en-US" w:eastAsia="zh-CN"/>
              </w:rPr>
            </w:pPr>
            <w:r>
              <w:rPr>
                <w:rFonts w:hint="eastAsia" w:ascii="宋体" w:hAnsi="宋体" w:eastAsia="宋体" w:cs="宋体"/>
                <w:b/>
                <w:i w:val="0"/>
                <w:iCs w:val="0"/>
                <w:color w:val="auto"/>
                <w:spacing w:val="6"/>
                <w:sz w:val="21"/>
                <w:szCs w:val="21"/>
                <w:highlight w:val="none"/>
                <w:vertAlign w:val="baseline"/>
                <w:lang w:val="en-US" w:eastAsia="zh-CN"/>
              </w:rPr>
              <w:t>资产总额</w:t>
            </w:r>
          </w:p>
        </w:tc>
      </w:tr>
      <w:tr w14:paraId="0A35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restart"/>
            <w:vAlign w:val="center"/>
          </w:tcPr>
          <w:p w14:paraId="47174BF8">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货币金融服务</w:t>
            </w:r>
          </w:p>
        </w:tc>
        <w:tc>
          <w:tcPr>
            <w:tcW w:w="1168" w:type="dxa"/>
            <w:vMerge w:val="restart"/>
            <w:vAlign w:val="center"/>
          </w:tcPr>
          <w:p w14:paraId="5AC5A7A4">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货币银行服务</w:t>
            </w:r>
          </w:p>
        </w:tc>
        <w:tc>
          <w:tcPr>
            <w:tcW w:w="1817" w:type="dxa"/>
            <w:vMerge w:val="restart"/>
            <w:vAlign w:val="center"/>
          </w:tcPr>
          <w:p w14:paraId="70EC8AD8">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银行业存款类金融机构</w:t>
            </w:r>
          </w:p>
        </w:tc>
        <w:tc>
          <w:tcPr>
            <w:tcW w:w="1143" w:type="dxa"/>
            <w:vAlign w:val="center"/>
          </w:tcPr>
          <w:p w14:paraId="77EBD975">
            <w:pPr>
              <w:spacing w:line="240" w:lineRule="auto"/>
              <w:jc w:val="center"/>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vAlign w:val="center"/>
          </w:tcPr>
          <w:p w14:paraId="01512D56">
            <w:pPr>
              <w:spacing w:line="240" w:lineRule="auto"/>
              <w:jc w:val="center"/>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5000亿元（含）至40000亿元</w:t>
            </w:r>
          </w:p>
        </w:tc>
      </w:tr>
      <w:tr w14:paraId="093F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41BE3081">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6BAD85DC">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4937EE03">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vAlign w:val="center"/>
          </w:tcPr>
          <w:p w14:paraId="39AA74F9">
            <w:pPr>
              <w:spacing w:line="240" w:lineRule="auto"/>
              <w:jc w:val="center"/>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7EF687D9">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50亿元（含）至5000亿元</w:t>
            </w:r>
          </w:p>
        </w:tc>
      </w:tr>
      <w:tr w14:paraId="2D36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0AB7B28A">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54607C1B">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37EF50ED">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vAlign w:val="center"/>
          </w:tcPr>
          <w:p w14:paraId="2A7F9747">
            <w:pPr>
              <w:spacing w:line="240" w:lineRule="auto"/>
              <w:jc w:val="center"/>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vAlign w:val="center"/>
          </w:tcPr>
          <w:p w14:paraId="0CF733D6">
            <w:pPr>
              <w:spacing w:line="240" w:lineRule="auto"/>
              <w:jc w:val="center"/>
              <w:rPr>
                <w:rFonts w:hint="eastAsia" w:ascii="宋体" w:hAnsi="宋体" w:eastAsia="宋体" w:cs="宋体"/>
                <w:i w:val="0"/>
                <w:iCs w:val="0"/>
                <w:color w:val="auto"/>
                <w:spacing w:val="6"/>
                <w:sz w:val="21"/>
                <w:szCs w:val="21"/>
                <w:highlight w:val="none"/>
                <w:vertAlign w:val="baseline"/>
                <w:lang w:val="en-US"/>
              </w:rPr>
            </w:pPr>
            <w:r>
              <w:rPr>
                <w:rFonts w:hint="eastAsia" w:ascii="宋体" w:hAnsi="宋体" w:eastAsia="宋体" w:cs="宋体"/>
                <w:i w:val="0"/>
                <w:iCs w:val="0"/>
                <w:color w:val="auto"/>
                <w:spacing w:val="6"/>
                <w:sz w:val="21"/>
                <w:szCs w:val="21"/>
                <w:highlight w:val="none"/>
                <w:vertAlign w:val="baseline"/>
                <w:lang w:val="en-US" w:eastAsia="zh-CN"/>
              </w:rPr>
              <w:t>50亿元以下</w:t>
            </w:r>
          </w:p>
        </w:tc>
      </w:tr>
      <w:tr w14:paraId="3FFA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3E8A4061">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restart"/>
            <w:vAlign w:val="center"/>
          </w:tcPr>
          <w:p w14:paraId="1C573ABF">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非货币银行服务</w:t>
            </w:r>
          </w:p>
        </w:tc>
        <w:tc>
          <w:tcPr>
            <w:tcW w:w="1817" w:type="dxa"/>
            <w:vMerge w:val="restart"/>
            <w:vAlign w:val="center"/>
          </w:tcPr>
          <w:p w14:paraId="35D140A8">
            <w:pPr>
              <w:spacing w:line="240" w:lineRule="auto"/>
              <w:jc w:val="both"/>
              <w:rPr>
                <w:rFonts w:hint="eastAsia" w:ascii="宋体" w:hAnsi="宋体" w:eastAsia="宋体" w:cs="宋体"/>
                <w:i w:val="0"/>
                <w:iCs w:val="0"/>
                <w:color w:val="auto"/>
                <w:spacing w:val="6"/>
                <w:sz w:val="21"/>
                <w:szCs w:val="21"/>
                <w:highlight w:val="none"/>
                <w:vertAlign w:val="baseline"/>
              </w:rPr>
            </w:pPr>
            <w:r>
              <w:rPr>
                <w:rFonts w:hint="eastAsia" w:ascii="宋体" w:hAnsi="宋体" w:eastAsia="宋体" w:cs="宋体"/>
                <w:i w:val="0"/>
                <w:iCs w:val="0"/>
                <w:color w:val="auto"/>
                <w:spacing w:val="6"/>
                <w:sz w:val="21"/>
                <w:szCs w:val="21"/>
                <w:highlight w:val="none"/>
                <w:vertAlign w:val="baseline"/>
                <w:lang w:val="en-US" w:eastAsia="zh-CN"/>
              </w:rPr>
              <w:t>银行业非存款类金融机构</w:t>
            </w:r>
          </w:p>
        </w:tc>
        <w:tc>
          <w:tcPr>
            <w:tcW w:w="1143" w:type="dxa"/>
            <w:shd w:val="clear" w:color="auto" w:fill="auto"/>
            <w:vAlign w:val="center"/>
          </w:tcPr>
          <w:p w14:paraId="65F070B3">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shd w:val="clear" w:color="auto" w:fill="auto"/>
            <w:vAlign w:val="center"/>
          </w:tcPr>
          <w:p w14:paraId="45ADB538">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200亿元（含）至1000亿元</w:t>
            </w:r>
          </w:p>
        </w:tc>
      </w:tr>
      <w:tr w14:paraId="17A5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16149497">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0884007B">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4803708E">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7795BEDC">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5870E2BD">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50亿元（含）至200亿元</w:t>
            </w:r>
          </w:p>
        </w:tc>
      </w:tr>
      <w:tr w14:paraId="6DAD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68CDD04D">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649FCFE4">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67BABCCA">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4A6B628C">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vAlign w:val="center"/>
          </w:tcPr>
          <w:p w14:paraId="7AB83692">
            <w:pPr>
              <w:spacing w:line="240" w:lineRule="auto"/>
              <w:jc w:val="center"/>
              <w:rPr>
                <w:rFonts w:hint="eastAsia" w:ascii="宋体" w:hAnsi="宋体" w:eastAsia="宋体" w:cs="宋体"/>
                <w:i w:val="0"/>
                <w:iCs w:val="0"/>
                <w:color w:val="auto"/>
                <w:spacing w:val="6"/>
                <w:sz w:val="21"/>
                <w:szCs w:val="21"/>
                <w:highlight w:val="none"/>
                <w:vertAlign w:val="baseline"/>
              </w:rPr>
            </w:pPr>
            <w:r>
              <w:rPr>
                <w:rFonts w:hint="eastAsia" w:ascii="宋体" w:hAnsi="宋体" w:eastAsia="宋体" w:cs="宋体"/>
                <w:i w:val="0"/>
                <w:iCs w:val="0"/>
                <w:color w:val="auto"/>
                <w:spacing w:val="6"/>
                <w:sz w:val="21"/>
                <w:szCs w:val="21"/>
                <w:highlight w:val="none"/>
                <w:vertAlign w:val="baseline"/>
                <w:lang w:val="en-US" w:eastAsia="zh-CN"/>
              </w:rPr>
              <w:t>50亿元以下</w:t>
            </w:r>
          </w:p>
        </w:tc>
      </w:tr>
      <w:tr w14:paraId="6E8C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37F4BD28">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7001E1C0">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restart"/>
            <w:vAlign w:val="center"/>
          </w:tcPr>
          <w:p w14:paraId="482EC1E1">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贷款公司、小额贷款公司及典当行</w:t>
            </w:r>
          </w:p>
        </w:tc>
        <w:tc>
          <w:tcPr>
            <w:tcW w:w="1143" w:type="dxa"/>
            <w:shd w:val="clear" w:color="auto" w:fill="auto"/>
            <w:vAlign w:val="center"/>
          </w:tcPr>
          <w:p w14:paraId="6A9ED7B7">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shd w:val="clear" w:color="auto" w:fill="auto"/>
            <w:vAlign w:val="center"/>
          </w:tcPr>
          <w:p w14:paraId="4D7691A3">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200亿元（含）至1000亿元</w:t>
            </w:r>
          </w:p>
        </w:tc>
      </w:tr>
      <w:tr w14:paraId="6B24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7FE6F55C">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576A9D53">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3F1179AB">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46396DEA">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3A7E1BFA">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50亿元（含）至200亿元</w:t>
            </w:r>
          </w:p>
        </w:tc>
      </w:tr>
      <w:tr w14:paraId="2995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30A4640D">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0074E496">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3C35ADF0">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59BE150A">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shd w:val="clear" w:color="auto" w:fill="auto"/>
            <w:vAlign w:val="center"/>
          </w:tcPr>
          <w:p w14:paraId="12D3A7D1">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50亿元以下</w:t>
            </w:r>
          </w:p>
        </w:tc>
      </w:tr>
      <w:tr w14:paraId="11E1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287" w:type="dxa"/>
            <w:gridSpan w:val="2"/>
            <w:vMerge w:val="restart"/>
            <w:vAlign w:val="center"/>
          </w:tcPr>
          <w:p w14:paraId="7F8EE12E">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资本市场服务</w:t>
            </w:r>
          </w:p>
        </w:tc>
        <w:tc>
          <w:tcPr>
            <w:tcW w:w="1817" w:type="dxa"/>
            <w:vMerge w:val="restart"/>
            <w:vAlign w:val="center"/>
          </w:tcPr>
          <w:p w14:paraId="781CE2AB">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证券业金融机构</w:t>
            </w:r>
          </w:p>
        </w:tc>
        <w:tc>
          <w:tcPr>
            <w:tcW w:w="1143" w:type="dxa"/>
            <w:shd w:val="clear" w:color="auto" w:fill="auto"/>
            <w:vAlign w:val="center"/>
          </w:tcPr>
          <w:p w14:paraId="5E754EF5">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shd w:val="clear" w:color="auto" w:fill="auto"/>
            <w:vAlign w:val="center"/>
          </w:tcPr>
          <w:p w14:paraId="58A097BB">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100亿元（含）至1000亿元</w:t>
            </w:r>
          </w:p>
        </w:tc>
      </w:tr>
      <w:tr w14:paraId="0EB2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287" w:type="dxa"/>
            <w:gridSpan w:val="2"/>
            <w:vMerge w:val="continue"/>
            <w:vAlign w:val="center"/>
          </w:tcPr>
          <w:p w14:paraId="66FE8D7E">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1029EED5">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00D042DD">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044FA07B">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10亿元（含）至100亿元</w:t>
            </w:r>
          </w:p>
        </w:tc>
      </w:tr>
      <w:tr w14:paraId="4CBF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287" w:type="dxa"/>
            <w:gridSpan w:val="2"/>
            <w:vMerge w:val="continue"/>
            <w:vAlign w:val="center"/>
          </w:tcPr>
          <w:p w14:paraId="7A4BF195">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4412BC84">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7DA689AE">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shd w:val="clear" w:color="auto" w:fill="auto"/>
            <w:vAlign w:val="center"/>
          </w:tcPr>
          <w:p w14:paraId="4B857240">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10亿元以下</w:t>
            </w:r>
          </w:p>
        </w:tc>
      </w:tr>
      <w:tr w14:paraId="15F8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287" w:type="dxa"/>
            <w:gridSpan w:val="2"/>
            <w:vMerge w:val="restart"/>
            <w:vAlign w:val="center"/>
          </w:tcPr>
          <w:p w14:paraId="580181ED">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保险业</w:t>
            </w:r>
          </w:p>
        </w:tc>
        <w:tc>
          <w:tcPr>
            <w:tcW w:w="1817" w:type="dxa"/>
            <w:vMerge w:val="restart"/>
            <w:vAlign w:val="center"/>
          </w:tcPr>
          <w:p w14:paraId="0FDFD51A">
            <w:pPr>
              <w:spacing w:line="240" w:lineRule="auto"/>
              <w:jc w:val="both"/>
              <w:rPr>
                <w:rFonts w:hint="eastAsia" w:ascii="宋体" w:hAnsi="宋体" w:eastAsia="宋体" w:cs="宋体"/>
                <w:i w:val="0"/>
                <w:iCs w:val="0"/>
                <w:color w:val="auto"/>
                <w:spacing w:val="6"/>
                <w:sz w:val="21"/>
                <w:szCs w:val="21"/>
                <w:highlight w:val="none"/>
                <w:vertAlign w:val="baseline"/>
              </w:rPr>
            </w:pPr>
            <w:r>
              <w:rPr>
                <w:rFonts w:hint="eastAsia" w:ascii="宋体" w:hAnsi="宋体" w:eastAsia="宋体" w:cs="宋体"/>
                <w:i w:val="0"/>
                <w:iCs w:val="0"/>
                <w:color w:val="auto"/>
                <w:spacing w:val="6"/>
                <w:sz w:val="21"/>
                <w:szCs w:val="21"/>
                <w:highlight w:val="none"/>
                <w:vertAlign w:val="baseline"/>
                <w:lang w:val="en-US" w:eastAsia="zh-CN"/>
              </w:rPr>
              <w:t>保险业金融机构</w:t>
            </w:r>
          </w:p>
        </w:tc>
        <w:tc>
          <w:tcPr>
            <w:tcW w:w="1143" w:type="dxa"/>
            <w:shd w:val="clear" w:color="auto" w:fill="auto"/>
            <w:vAlign w:val="center"/>
          </w:tcPr>
          <w:p w14:paraId="6C4793F6">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shd w:val="clear" w:color="auto" w:fill="auto"/>
            <w:vAlign w:val="center"/>
          </w:tcPr>
          <w:p w14:paraId="4656BE4F">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400亿元（含）至5000亿元</w:t>
            </w:r>
          </w:p>
        </w:tc>
      </w:tr>
      <w:tr w14:paraId="5575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287" w:type="dxa"/>
            <w:gridSpan w:val="2"/>
            <w:vMerge w:val="continue"/>
            <w:vAlign w:val="center"/>
          </w:tcPr>
          <w:p w14:paraId="133F8DC2">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65495D9F">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1FC5C73F">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2151BD68">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20亿元（含）至400亿元</w:t>
            </w:r>
          </w:p>
        </w:tc>
      </w:tr>
      <w:tr w14:paraId="7DB6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287" w:type="dxa"/>
            <w:gridSpan w:val="2"/>
            <w:vMerge w:val="continue"/>
            <w:vAlign w:val="center"/>
          </w:tcPr>
          <w:p w14:paraId="0BFFE393">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09799154">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49FF8C54">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shd w:val="clear" w:color="auto" w:fill="auto"/>
            <w:vAlign w:val="center"/>
          </w:tcPr>
          <w:p w14:paraId="30D747EB">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20亿元以下</w:t>
            </w:r>
          </w:p>
        </w:tc>
      </w:tr>
      <w:tr w14:paraId="09F0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restart"/>
            <w:vAlign w:val="center"/>
          </w:tcPr>
          <w:p w14:paraId="0C922EF9">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其他金融业</w:t>
            </w:r>
          </w:p>
        </w:tc>
        <w:tc>
          <w:tcPr>
            <w:tcW w:w="1168" w:type="dxa"/>
            <w:vMerge w:val="restart"/>
            <w:vAlign w:val="center"/>
          </w:tcPr>
          <w:p w14:paraId="582429F6">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金融信托与管理服务</w:t>
            </w:r>
          </w:p>
        </w:tc>
        <w:tc>
          <w:tcPr>
            <w:tcW w:w="1817" w:type="dxa"/>
            <w:vMerge w:val="restart"/>
            <w:vAlign w:val="center"/>
          </w:tcPr>
          <w:p w14:paraId="29154F69">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信托公司</w:t>
            </w:r>
          </w:p>
        </w:tc>
        <w:tc>
          <w:tcPr>
            <w:tcW w:w="1143" w:type="dxa"/>
            <w:shd w:val="clear" w:color="auto" w:fill="auto"/>
            <w:vAlign w:val="center"/>
          </w:tcPr>
          <w:p w14:paraId="6F2907FD">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shd w:val="clear" w:color="auto" w:fill="auto"/>
            <w:vAlign w:val="center"/>
          </w:tcPr>
          <w:p w14:paraId="6BC13189">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400亿元（含）至1000亿元</w:t>
            </w:r>
          </w:p>
        </w:tc>
      </w:tr>
      <w:tr w14:paraId="0748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6C85CF90">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3F753FF0">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5688669E">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71BDDA43">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345C19BE">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20亿元（含）至400亿元</w:t>
            </w:r>
          </w:p>
        </w:tc>
      </w:tr>
      <w:tr w14:paraId="1C0F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41583942">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1F895634">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41D681A7">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55BCE0E7">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shd w:val="clear" w:color="auto" w:fill="auto"/>
            <w:vAlign w:val="center"/>
          </w:tcPr>
          <w:p w14:paraId="6E9E5C8F">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20亿元以下</w:t>
            </w:r>
          </w:p>
        </w:tc>
      </w:tr>
      <w:tr w14:paraId="37FE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73FD6474">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restart"/>
            <w:vAlign w:val="center"/>
          </w:tcPr>
          <w:p w14:paraId="790CDF3D">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控股公司服务</w:t>
            </w:r>
          </w:p>
        </w:tc>
        <w:tc>
          <w:tcPr>
            <w:tcW w:w="1817" w:type="dxa"/>
            <w:vMerge w:val="restart"/>
            <w:vAlign w:val="center"/>
          </w:tcPr>
          <w:p w14:paraId="6B0420B2">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金融控股公司</w:t>
            </w:r>
          </w:p>
        </w:tc>
        <w:tc>
          <w:tcPr>
            <w:tcW w:w="1143" w:type="dxa"/>
            <w:shd w:val="clear" w:color="auto" w:fill="auto"/>
            <w:vAlign w:val="center"/>
          </w:tcPr>
          <w:p w14:paraId="2F75CC86">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shd w:val="clear" w:color="auto" w:fill="auto"/>
            <w:vAlign w:val="center"/>
          </w:tcPr>
          <w:p w14:paraId="5E76ADA0">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5000亿元（含）至40000亿元</w:t>
            </w:r>
          </w:p>
        </w:tc>
      </w:tr>
      <w:tr w14:paraId="021D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190C1872">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5CDFB65F">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1CE6AFD8">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231E3E96">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7939843E">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50亿元（含）至5000亿元</w:t>
            </w:r>
          </w:p>
        </w:tc>
      </w:tr>
      <w:tr w14:paraId="335A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119" w:type="dxa"/>
            <w:vMerge w:val="continue"/>
            <w:vAlign w:val="center"/>
          </w:tcPr>
          <w:p w14:paraId="6FE2FA0D">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continue"/>
            <w:vAlign w:val="center"/>
          </w:tcPr>
          <w:p w14:paraId="5B0F8F3B">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817" w:type="dxa"/>
            <w:vMerge w:val="continue"/>
            <w:vAlign w:val="center"/>
          </w:tcPr>
          <w:p w14:paraId="349B2662">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77CA556B">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shd w:val="clear" w:color="auto" w:fill="auto"/>
            <w:vAlign w:val="center"/>
          </w:tcPr>
          <w:p w14:paraId="449DD355">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50亿元以下</w:t>
            </w:r>
          </w:p>
        </w:tc>
      </w:tr>
      <w:tr w14:paraId="54B2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119" w:type="dxa"/>
            <w:vMerge w:val="continue"/>
            <w:vAlign w:val="center"/>
          </w:tcPr>
          <w:p w14:paraId="6ABC4A10">
            <w:pPr>
              <w:spacing w:line="240" w:lineRule="auto"/>
              <w:jc w:val="both"/>
              <w:rPr>
                <w:rFonts w:hint="eastAsia" w:ascii="宋体" w:hAnsi="宋体" w:eastAsia="宋体" w:cs="宋体"/>
                <w:i w:val="0"/>
                <w:iCs w:val="0"/>
                <w:color w:val="auto"/>
                <w:spacing w:val="6"/>
                <w:sz w:val="21"/>
                <w:szCs w:val="21"/>
                <w:highlight w:val="none"/>
                <w:vertAlign w:val="baseline"/>
              </w:rPr>
            </w:pPr>
          </w:p>
        </w:tc>
        <w:tc>
          <w:tcPr>
            <w:tcW w:w="1168" w:type="dxa"/>
            <w:vMerge w:val="restart"/>
            <w:vAlign w:val="center"/>
          </w:tcPr>
          <w:p w14:paraId="47596491">
            <w:pPr>
              <w:spacing w:line="240" w:lineRule="auto"/>
              <w:jc w:val="both"/>
              <w:rPr>
                <w:rFonts w:hint="eastAsia" w:ascii="宋体" w:hAnsi="宋体" w:eastAsia="宋体" w:cs="宋体"/>
                <w:i w:val="0"/>
                <w:iCs w:val="0"/>
                <w:color w:val="auto"/>
                <w:spacing w:val="6"/>
                <w:sz w:val="21"/>
                <w:szCs w:val="21"/>
                <w:highlight w:val="none"/>
                <w:vertAlign w:val="baseline"/>
                <w:lang w:val="en-US" w:eastAsia="zh-CN"/>
              </w:rPr>
            </w:pPr>
            <w:r>
              <w:rPr>
                <w:rFonts w:hint="eastAsia" w:ascii="宋体" w:hAnsi="宋体" w:eastAsia="宋体" w:cs="宋体"/>
                <w:i w:val="0"/>
                <w:iCs w:val="0"/>
                <w:color w:val="auto"/>
                <w:spacing w:val="6"/>
                <w:sz w:val="21"/>
                <w:szCs w:val="21"/>
                <w:highlight w:val="none"/>
                <w:vertAlign w:val="baseline"/>
                <w:lang w:val="en-US" w:eastAsia="zh-CN"/>
              </w:rPr>
              <w:t>其他未包括的金融业</w:t>
            </w:r>
          </w:p>
        </w:tc>
        <w:tc>
          <w:tcPr>
            <w:tcW w:w="1817" w:type="dxa"/>
            <w:vMerge w:val="restart"/>
            <w:vAlign w:val="center"/>
          </w:tcPr>
          <w:p w14:paraId="42A35A39">
            <w:pPr>
              <w:spacing w:line="240" w:lineRule="auto"/>
              <w:jc w:val="both"/>
              <w:rPr>
                <w:rFonts w:hint="eastAsia" w:ascii="宋体" w:hAnsi="宋体" w:eastAsia="宋体" w:cs="宋体"/>
                <w:i w:val="0"/>
                <w:iCs w:val="0"/>
                <w:color w:val="auto"/>
                <w:spacing w:val="6"/>
                <w:sz w:val="21"/>
                <w:szCs w:val="21"/>
                <w:highlight w:val="none"/>
                <w:vertAlign w:val="baseline"/>
              </w:rPr>
            </w:pPr>
            <w:r>
              <w:rPr>
                <w:rFonts w:hint="eastAsia" w:ascii="宋体" w:hAnsi="宋体" w:eastAsia="宋体" w:cs="宋体"/>
                <w:i w:val="0"/>
                <w:iCs w:val="0"/>
                <w:color w:val="auto"/>
                <w:spacing w:val="6"/>
                <w:sz w:val="21"/>
                <w:szCs w:val="21"/>
                <w:highlight w:val="none"/>
                <w:vertAlign w:val="baseline"/>
              </w:rPr>
              <w:t>除贷款公司、小额贷款公司、典当行以外的其他金融机构</w:t>
            </w:r>
          </w:p>
        </w:tc>
        <w:tc>
          <w:tcPr>
            <w:tcW w:w="1143" w:type="dxa"/>
            <w:shd w:val="clear" w:color="auto" w:fill="auto"/>
            <w:vAlign w:val="center"/>
          </w:tcPr>
          <w:p w14:paraId="6EF044C1">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中型</w:t>
            </w:r>
          </w:p>
        </w:tc>
        <w:tc>
          <w:tcPr>
            <w:tcW w:w="3251" w:type="dxa"/>
            <w:shd w:val="clear" w:color="auto" w:fill="auto"/>
            <w:vAlign w:val="center"/>
          </w:tcPr>
          <w:p w14:paraId="1BA5573A">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200亿元（含）至1000亿元</w:t>
            </w:r>
          </w:p>
        </w:tc>
      </w:tr>
      <w:tr w14:paraId="68DD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119" w:type="dxa"/>
            <w:vMerge w:val="continue"/>
          </w:tcPr>
          <w:p w14:paraId="3BCCCAAE">
            <w:pPr>
              <w:spacing w:line="240" w:lineRule="auto"/>
              <w:rPr>
                <w:rFonts w:hint="eastAsia" w:ascii="宋体" w:hAnsi="宋体" w:eastAsia="宋体" w:cs="宋体"/>
                <w:i w:val="0"/>
                <w:iCs w:val="0"/>
                <w:color w:val="auto"/>
                <w:spacing w:val="6"/>
                <w:sz w:val="21"/>
                <w:szCs w:val="21"/>
                <w:highlight w:val="none"/>
                <w:vertAlign w:val="baseline"/>
              </w:rPr>
            </w:pPr>
          </w:p>
        </w:tc>
        <w:tc>
          <w:tcPr>
            <w:tcW w:w="1168" w:type="dxa"/>
            <w:vMerge w:val="continue"/>
          </w:tcPr>
          <w:p w14:paraId="6366CF9E">
            <w:pPr>
              <w:spacing w:line="240" w:lineRule="auto"/>
              <w:rPr>
                <w:rFonts w:hint="eastAsia" w:ascii="宋体" w:hAnsi="宋体" w:eastAsia="宋体" w:cs="宋体"/>
                <w:i w:val="0"/>
                <w:iCs w:val="0"/>
                <w:color w:val="auto"/>
                <w:spacing w:val="6"/>
                <w:sz w:val="21"/>
                <w:szCs w:val="21"/>
                <w:highlight w:val="none"/>
                <w:vertAlign w:val="baseline"/>
              </w:rPr>
            </w:pPr>
          </w:p>
        </w:tc>
        <w:tc>
          <w:tcPr>
            <w:tcW w:w="1817" w:type="dxa"/>
            <w:vMerge w:val="continue"/>
          </w:tcPr>
          <w:p w14:paraId="0F376114">
            <w:pPr>
              <w:spacing w:line="240" w:lineRule="auto"/>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6431439D">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小型</w:t>
            </w:r>
          </w:p>
        </w:tc>
        <w:tc>
          <w:tcPr>
            <w:tcW w:w="3251" w:type="dxa"/>
            <w:shd w:val="clear" w:color="auto" w:fill="auto"/>
            <w:vAlign w:val="center"/>
          </w:tcPr>
          <w:p w14:paraId="13B763BB">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50亿元（含）至200亿元</w:t>
            </w:r>
          </w:p>
        </w:tc>
      </w:tr>
      <w:tr w14:paraId="0280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119" w:type="dxa"/>
            <w:vMerge w:val="continue"/>
          </w:tcPr>
          <w:p w14:paraId="2AB9DB60">
            <w:pPr>
              <w:spacing w:line="240" w:lineRule="auto"/>
              <w:rPr>
                <w:rFonts w:hint="eastAsia" w:ascii="宋体" w:hAnsi="宋体" w:eastAsia="宋体" w:cs="宋体"/>
                <w:i w:val="0"/>
                <w:iCs w:val="0"/>
                <w:color w:val="auto"/>
                <w:spacing w:val="6"/>
                <w:sz w:val="21"/>
                <w:szCs w:val="21"/>
                <w:highlight w:val="none"/>
                <w:vertAlign w:val="baseline"/>
              </w:rPr>
            </w:pPr>
          </w:p>
        </w:tc>
        <w:tc>
          <w:tcPr>
            <w:tcW w:w="1168" w:type="dxa"/>
            <w:vMerge w:val="continue"/>
          </w:tcPr>
          <w:p w14:paraId="0435D2A6">
            <w:pPr>
              <w:spacing w:line="240" w:lineRule="auto"/>
              <w:rPr>
                <w:rFonts w:hint="eastAsia" w:ascii="宋体" w:hAnsi="宋体" w:eastAsia="宋体" w:cs="宋体"/>
                <w:i w:val="0"/>
                <w:iCs w:val="0"/>
                <w:color w:val="auto"/>
                <w:spacing w:val="6"/>
                <w:sz w:val="21"/>
                <w:szCs w:val="21"/>
                <w:highlight w:val="none"/>
                <w:vertAlign w:val="baseline"/>
              </w:rPr>
            </w:pPr>
          </w:p>
        </w:tc>
        <w:tc>
          <w:tcPr>
            <w:tcW w:w="1817" w:type="dxa"/>
            <w:vMerge w:val="continue"/>
          </w:tcPr>
          <w:p w14:paraId="34D6D3B4">
            <w:pPr>
              <w:spacing w:line="240" w:lineRule="auto"/>
              <w:rPr>
                <w:rFonts w:hint="eastAsia" w:ascii="宋体" w:hAnsi="宋体" w:eastAsia="宋体" w:cs="宋体"/>
                <w:i w:val="0"/>
                <w:iCs w:val="0"/>
                <w:color w:val="auto"/>
                <w:spacing w:val="6"/>
                <w:sz w:val="21"/>
                <w:szCs w:val="21"/>
                <w:highlight w:val="none"/>
                <w:vertAlign w:val="baseline"/>
              </w:rPr>
            </w:pPr>
          </w:p>
        </w:tc>
        <w:tc>
          <w:tcPr>
            <w:tcW w:w="1143" w:type="dxa"/>
            <w:shd w:val="clear" w:color="auto" w:fill="auto"/>
            <w:vAlign w:val="center"/>
          </w:tcPr>
          <w:p w14:paraId="6CC0EB8D">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微型</w:t>
            </w:r>
          </w:p>
        </w:tc>
        <w:tc>
          <w:tcPr>
            <w:tcW w:w="3251" w:type="dxa"/>
            <w:shd w:val="clear" w:color="auto" w:fill="auto"/>
            <w:vAlign w:val="center"/>
          </w:tcPr>
          <w:p w14:paraId="25412247">
            <w:pPr>
              <w:spacing w:line="240" w:lineRule="auto"/>
              <w:jc w:val="center"/>
              <w:rPr>
                <w:rFonts w:hint="eastAsia" w:ascii="宋体" w:hAnsi="宋体" w:eastAsia="宋体" w:cs="宋体"/>
                <w:i w:val="0"/>
                <w:iCs w:val="0"/>
                <w:color w:val="auto"/>
                <w:spacing w:val="6"/>
                <w:kern w:val="2"/>
                <w:sz w:val="21"/>
                <w:szCs w:val="21"/>
                <w:highlight w:val="none"/>
                <w:vertAlign w:val="baseline"/>
                <w:lang w:val="en-US" w:eastAsia="zh-CN" w:bidi="ar-SA"/>
              </w:rPr>
            </w:pPr>
            <w:r>
              <w:rPr>
                <w:rFonts w:hint="eastAsia" w:ascii="宋体" w:hAnsi="宋体" w:eastAsia="宋体" w:cs="宋体"/>
                <w:i w:val="0"/>
                <w:iCs w:val="0"/>
                <w:color w:val="auto"/>
                <w:spacing w:val="6"/>
                <w:sz w:val="21"/>
                <w:szCs w:val="21"/>
                <w:highlight w:val="none"/>
                <w:vertAlign w:val="baseline"/>
                <w:lang w:val="en-US" w:eastAsia="zh-CN"/>
              </w:rPr>
              <w:t>50亿元以下</w:t>
            </w:r>
          </w:p>
        </w:tc>
      </w:tr>
    </w:tbl>
    <w:p w14:paraId="0559C71E">
      <w:pPr>
        <w:rPr>
          <w:rFonts w:cs="宋体"/>
          <w:i w:val="0"/>
          <w:iCs w:val="0"/>
          <w:color w:val="auto"/>
          <w:spacing w:val="6"/>
          <w:sz w:val="21"/>
          <w:szCs w:val="21"/>
          <w:highlight w:val="none"/>
        </w:rPr>
      </w:pPr>
      <w:r>
        <w:rPr>
          <w:rFonts w:cs="宋体"/>
          <w:i w:val="0"/>
          <w:iCs w:val="0"/>
          <w:color w:val="auto"/>
          <w:spacing w:val="6"/>
          <w:sz w:val="21"/>
          <w:szCs w:val="21"/>
          <w:highlight w:val="none"/>
        </w:rPr>
        <w:br w:type="page"/>
      </w:r>
    </w:p>
    <w:bookmarkEnd w:id="668"/>
    <w:p w14:paraId="200F9C16">
      <w:pPr>
        <w:pStyle w:val="18"/>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小标宋_GBK" w:hAnsi="方正小标宋_GBK" w:eastAsia="方正小标宋_GBK" w:cs="方正小标宋_GBK"/>
          <w:bCs/>
          <w:i w:val="0"/>
          <w:iCs w:val="0"/>
          <w:color w:val="auto"/>
          <w:sz w:val="36"/>
          <w:szCs w:val="36"/>
          <w:highlight w:val="none"/>
          <w:lang w:val="en-US" w:eastAsia="zh-CN"/>
        </w:rPr>
      </w:pPr>
    </w:p>
    <w:p w14:paraId="06FDD350">
      <w:pPr>
        <w:pStyle w:val="6"/>
        <w:keepNext/>
        <w:keepLines/>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（三）监狱企业证明文件</w:t>
      </w:r>
      <w:r>
        <w:rPr>
          <w:rFonts w:hint="eastAsia" w:ascii="宋体" w:hAnsi="宋体" w:eastAsia="宋体" w:cs="宋体"/>
          <w:b w:val="0"/>
          <w:bCs w:val="0"/>
          <w:i w:val="0"/>
          <w:iCs w:val="0"/>
          <w:color w:val="auto"/>
          <w:kern w:val="2"/>
          <w:sz w:val="24"/>
          <w:szCs w:val="24"/>
          <w:highlight w:val="none"/>
          <w:lang w:val="en-US" w:eastAsia="zh-CN" w:bidi="ar-SA"/>
        </w:rPr>
        <w:t>【如适用】</w:t>
      </w:r>
    </w:p>
    <w:p w14:paraId="594CED2C">
      <w:pPr>
        <w:rPr>
          <w:rFonts w:cs="仿宋_GB2312"/>
          <w:b/>
          <w:i w:val="0"/>
          <w:iCs w:val="0"/>
          <w:color w:val="auto"/>
          <w:sz w:val="28"/>
          <w:szCs w:val="28"/>
          <w:highlight w:val="none"/>
        </w:rPr>
      </w:pPr>
    </w:p>
    <w:p w14:paraId="13894F91">
      <w:pPr>
        <w:adjustRightInd w:val="0"/>
        <w:snapToGrid w:val="0"/>
        <w:ind w:firstLine="480" w:firstLineChars="2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【监狱企业应当提供由省级及以上监狱管理局、戒毒管理局（含新疆生产建设兵团）出具的监狱企业的证明文件，格式</w:t>
      </w:r>
      <w:r>
        <w:rPr>
          <w:rFonts w:hint="eastAsia" w:ascii="宋体" w:hAnsi="宋体" w:eastAsia="宋体" w:cs="宋体"/>
          <w:i w:val="0"/>
          <w:iCs w:val="0"/>
          <w:color w:val="auto"/>
          <w:sz w:val="24"/>
          <w:szCs w:val="24"/>
          <w:highlight w:val="none"/>
          <w:lang w:val="en-US" w:eastAsia="zh-CN"/>
        </w:rPr>
        <w:t>如下</w:t>
      </w:r>
      <w:r>
        <w:rPr>
          <w:rFonts w:hint="eastAsia" w:ascii="宋体" w:hAnsi="宋体" w:eastAsia="宋体" w:cs="宋体"/>
          <w:i w:val="0"/>
          <w:iCs w:val="0"/>
          <w:color w:val="auto"/>
          <w:sz w:val="24"/>
          <w:szCs w:val="24"/>
          <w:highlight w:val="none"/>
        </w:rPr>
        <w:t>】。</w:t>
      </w:r>
    </w:p>
    <w:p w14:paraId="392C5E98">
      <w:pPr>
        <w:pStyle w:val="18"/>
        <w:spacing w:line="360" w:lineRule="auto"/>
        <w:jc w:val="center"/>
        <w:rPr>
          <w:rFonts w:hint="eastAsia" w:ascii="宋体" w:hAnsi="宋体" w:eastAsia="宋体" w:cs="宋体"/>
          <w:b/>
          <w:bCs w:val="0"/>
          <w:i w:val="0"/>
          <w:iCs w:val="0"/>
          <w:color w:val="auto"/>
          <w:sz w:val="32"/>
          <w:szCs w:val="32"/>
          <w:highlight w:val="none"/>
        </w:rPr>
      </w:pPr>
    </w:p>
    <w:p w14:paraId="331A2443">
      <w:pPr>
        <w:pStyle w:val="18"/>
        <w:spacing w:line="360" w:lineRule="auto"/>
        <w:jc w:val="center"/>
        <w:rPr>
          <w:rFonts w:hint="eastAsia" w:ascii="宋体" w:hAnsi="宋体" w:eastAsia="宋体" w:cs="宋体"/>
          <w:b/>
          <w:bCs w:val="0"/>
          <w:i w:val="0"/>
          <w:iCs w:val="0"/>
          <w:color w:val="auto"/>
          <w:sz w:val="32"/>
          <w:szCs w:val="32"/>
          <w:highlight w:val="none"/>
        </w:rPr>
      </w:pPr>
      <w:r>
        <w:rPr>
          <w:rFonts w:hint="eastAsia" w:ascii="宋体" w:hAnsi="宋体" w:eastAsia="宋体" w:cs="宋体"/>
          <w:b/>
          <w:bCs w:val="0"/>
          <w:i w:val="0"/>
          <w:iCs w:val="0"/>
          <w:color w:val="auto"/>
          <w:sz w:val="32"/>
          <w:szCs w:val="32"/>
          <w:highlight w:val="none"/>
        </w:rPr>
        <w:t>监狱企业证明函</w:t>
      </w:r>
    </w:p>
    <w:p w14:paraId="6A426978">
      <w:pPr>
        <w:spacing w:line="360" w:lineRule="auto"/>
        <w:rPr>
          <w:rFonts w:hint="eastAsia" w:ascii="仿宋_GB2312" w:hAnsi="仿宋_GB2312" w:eastAsia="仿宋_GB2312" w:cs="仿宋_GB2312"/>
          <w:i w:val="0"/>
          <w:iCs w:val="0"/>
          <w:color w:val="auto"/>
          <w:sz w:val="32"/>
          <w:szCs w:val="32"/>
          <w:highlight w:val="none"/>
        </w:rPr>
      </w:pPr>
    </w:p>
    <w:p w14:paraId="09E6472A">
      <w:pPr>
        <w:ind w:firstLine="504" w:firstLineChars="200"/>
        <w:rPr>
          <w:rFonts w:hint="eastAsia" w:cs="宋体"/>
          <w:i w:val="0"/>
          <w:iCs w:val="0"/>
          <w:color w:val="auto"/>
          <w:spacing w:val="6"/>
          <w:szCs w:val="24"/>
          <w:highlight w:val="none"/>
        </w:rPr>
      </w:pPr>
      <w:r>
        <w:rPr>
          <w:rFonts w:hint="eastAsia" w:cs="宋体"/>
          <w:i w:val="0"/>
          <w:iCs w:val="0"/>
          <w:color w:val="auto"/>
          <w:spacing w:val="6"/>
          <w:szCs w:val="24"/>
          <w:highlight w:val="none"/>
        </w:rPr>
        <w:t>本公司郑重声明，根据财政部、司法部《关于政府采购支持监狱企业发展有关问题的通知》（财库【2014】68号）的规定，本公司为监狱企业。</w:t>
      </w:r>
    </w:p>
    <w:p w14:paraId="6B15A338">
      <w:pPr>
        <w:spacing w:line="360" w:lineRule="auto"/>
        <w:rPr>
          <w:rFonts w:hint="eastAsia" w:ascii="宋体" w:hAnsi="宋体" w:eastAsia="宋体" w:cs="宋体"/>
          <w:i w:val="0"/>
          <w:iCs w:val="0"/>
          <w:color w:val="auto"/>
          <w:sz w:val="24"/>
          <w:szCs w:val="24"/>
          <w:highlight w:val="none"/>
        </w:rPr>
      </w:pPr>
    </w:p>
    <w:p w14:paraId="27C1D509">
      <w:pPr>
        <w:ind w:firstLine="4440" w:firstLineChars="1850"/>
        <w:rPr>
          <w:rFonts w:hint="eastAsia" w:ascii="宋体" w:hAnsi="宋体" w:eastAsia="宋体" w:cs="宋体"/>
          <w:i w:val="0"/>
          <w:iCs w:val="0"/>
          <w:color w:val="auto"/>
          <w:sz w:val="24"/>
          <w:szCs w:val="24"/>
          <w:highlight w:val="none"/>
        </w:rPr>
      </w:pPr>
    </w:p>
    <w:p w14:paraId="06258AAE">
      <w:pPr>
        <w:ind w:firstLine="4440" w:firstLineChars="1850"/>
        <w:rPr>
          <w:rFonts w:hint="eastAsia" w:ascii="宋体" w:hAnsi="宋体" w:eastAsia="宋体" w:cs="宋体"/>
          <w:i w:val="0"/>
          <w:iCs w:val="0"/>
          <w:color w:val="auto"/>
          <w:sz w:val="24"/>
          <w:szCs w:val="24"/>
          <w:highlight w:val="none"/>
        </w:rPr>
      </w:pPr>
    </w:p>
    <w:p w14:paraId="50B80428">
      <w:pPr>
        <w:ind w:right="1008" w:firstLine="4284" w:firstLineChars="17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5428DEA9">
      <w:pPr>
        <w:ind w:right="1008" w:firstLine="4284" w:firstLineChars="17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1D8E5C4C">
      <w:pPr>
        <w:spacing w:line="360" w:lineRule="auto"/>
        <w:ind w:firstLine="240" w:firstLineChars="100"/>
        <w:rPr>
          <w:rFonts w:hint="eastAsia" w:ascii="宋体" w:hAnsi="宋体" w:eastAsia="宋体" w:cs="宋体"/>
          <w:i w:val="0"/>
          <w:iCs w:val="0"/>
          <w:color w:val="auto"/>
          <w:sz w:val="24"/>
          <w:szCs w:val="24"/>
          <w:highlight w:val="none"/>
        </w:rPr>
      </w:pPr>
    </w:p>
    <w:p w14:paraId="41CAEA31">
      <w:pPr>
        <w:spacing w:line="360" w:lineRule="auto"/>
        <w:ind w:firstLine="240" w:firstLineChars="100"/>
        <w:rPr>
          <w:rFonts w:hint="eastAsia" w:ascii="宋体" w:hAnsi="宋体" w:eastAsia="宋体" w:cs="宋体"/>
          <w:i w:val="0"/>
          <w:iCs w:val="0"/>
          <w:color w:val="auto"/>
          <w:sz w:val="24"/>
          <w:szCs w:val="24"/>
          <w:highlight w:val="none"/>
        </w:rPr>
      </w:pPr>
    </w:p>
    <w:p w14:paraId="021207FF">
      <w:pPr>
        <w:spacing w:line="360" w:lineRule="auto"/>
        <w:ind w:firstLine="3360" w:firstLineChars="14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省级以上监狱管理局、戒毒管理局</w:t>
      </w:r>
    </w:p>
    <w:p w14:paraId="545CC752">
      <w:pPr>
        <w:ind w:firstLine="3360" w:firstLineChars="14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（含新疆生产建设兵团）（盖章）：  </w:t>
      </w:r>
    </w:p>
    <w:p w14:paraId="65B25F18">
      <w:pPr>
        <w:ind w:firstLine="4320" w:firstLineChars="18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日期：</w:t>
      </w:r>
      <w:r>
        <w:rPr>
          <w:rFonts w:hint="eastAsia" w:ascii="宋体" w:hAnsi="宋体" w:eastAsia="宋体" w:cs="宋体"/>
          <w:i w:val="0"/>
          <w:iCs w:val="0"/>
          <w:color w:val="auto"/>
          <w:spacing w:val="6"/>
          <w:sz w:val="24"/>
          <w:szCs w:val="24"/>
          <w:highlight w:val="none"/>
          <w:lang w:val="en-US" w:eastAsia="zh-CN"/>
        </w:rPr>
        <w:t xml:space="preserve">   年  月  日</w:t>
      </w:r>
    </w:p>
    <w:p w14:paraId="05FFE768">
      <w:pPr>
        <w:spacing w:line="360" w:lineRule="auto"/>
        <w:ind w:firstLine="240" w:firstLineChars="100"/>
        <w:rPr>
          <w:rFonts w:hint="eastAsia" w:ascii="宋体" w:hAnsi="宋体" w:eastAsia="宋体" w:cs="宋体"/>
          <w:i w:val="0"/>
          <w:iCs w:val="0"/>
          <w:color w:val="auto"/>
          <w:sz w:val="24"/>
          <w:szCs w:val="24"/>
          <w:highlight w:val="none"/>
        </w:rPr>
      </w:pPr>
    </w:p>
    <w:p w14:paraId="4BEC48C6">
      <w:pPr>
        <w:spacing w:line="360" w:lineRule="auto"/>
        <w:ind w:firstLine="4000" w:firstLineChars="1250"/>
        <w:rPr>
          <w:rFonts w:hint="eastAsia" w:ascii="仿宋_GB2312" w:hAnsi="仿宋_GB2312" w:eastAsia="仿宋_GB2312" w:cs="仿宋_GB2312"/>
          <w:i w:val="0"/>
          <w:iCs w:val="0"/>
          <w:color w:val="auto"/>
          <w:sz w:val="32"/>
          <w:szCs w:val="32"/>
          <w:highlight w:val="none"/>
        </w:rPr>
      </w:pPr>
    </w:p>
    <w:p w14:paraId="2991D22E">
      <w:pPr>
        <w:spacing w:line="360" w:lineRule="auto"/>
        <w:rPr>
          <w:rFonts w:hint="eastAsia" w:ascii="仿宋_GB2312" w:hAnsi="仿宋_GB2312" w:eastAsia="仿宋_GB2312" w:cs="仿宋_GB2312"/>
          <w:i w:val="0"/>
          <w:iCs w:val="0"/>
          <w:color w:val="auto"/>
          <w:sz w:val="32"/>
          <w:szCs w:val="32"/>
          <w:highlight w:val="none"/>
        </w:rPr>
      </w:pPr>
    </w:p>
    <w:p w14:paraId="1296BAB4">
      <w:pPr>
        <w:widowControl/>
        <w:spacing w:before="100" w:beforeAutospacing="1" w:after="100" w:afterAutospacing="1"/>
        <w:rPr>
          <w:rFonts w:ascii="Arial" w:hAnsi="Arial" w:cs="Arial"/>
          <w:i w:val="0"/>
          <w:iCs w:val="0"/>
          <w:color w:val="auto"/>
          <w:sz w:val="21"/>
          <w:szCs w:val="21"/>
          <w:highlight w:val="none"/>
        </w:rPr>
      </w:pPr>
    </w:p>
    <w:p w14:paraId="0B9E7086">
      <w:pPr>
        <w:widowControl/>
        <w:spacing w:before="100" w:beforeAutospacing="1" w:after="100" w:afterAutospacing="1"/>
        <w:rPr>
          <w:rFonts w:ascii="Arial" w:hAnsi="Arial" w:cs="Arial"/>
          <w:i w:val="0"/>
          <w:iCs w:val="0"/>
          <w:color w:val="auto"/>
          <w:sz w:val="21"/>
          <w:szCs w:val="21"/>
          <w:highlight w:val="none"/>
        </w:rPr>
      </w:pPr>
    </w:p>
    <w:p w14:paraId="0246DE56">
      <w:pPr>
        <w:widowControl/>
        <w:spacing w:before="100" w:beforeAutospacing="1" w:after="100" w:afterAutospacing="1"/>
        <w:rPr>
          <w:rFonts w:ascii="Arial" w:hAnsi="Arial" w:cs="Arial"/>
          <w:i w:val="0"/>
          <w:iCs w:val="0"/>
          <w:color w:val="auto"/>
          <w:sz w:val="21"/>
          <w:szCs w:val="21"/>
          <w:highlight w:val="none"/>
        </w:rPr>
      </w:pPr>
    </w:p>
    <w:p w14:paraId="0756D6E3">
      <w:pPr>
        <w:pStyle w:val="6"/>
        <w:keepNext/>
        <w:keepLines/>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en-US" w:eastAsia="zh-CN" w:bidi="ar-SA"/>
        </w:rPr>
      </w:pPr>
      <w:bookmarkStart w:id="669" w:name="_Toc163492941"/>
    </w:p>
    <w:p w14:paraId="3AF5C010">
      <w:pPr>
        <w:pStyle w:val="6"/>
        <w:keepNext/>
        <w:keepLines/>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（四）残疾人福利性单位声明函</w:t>
      </w:r>
      <w:r>
        <w:rPr>
          <w:rFonts w:hint="eastAsia" w:ascii="宋体" w:hAnsi="宋体" w:eastAsia="宋体" w:cs="宋体"/>
          <w:b w:val="0"/>
          <w:bCs w:val="0"/>
          <w:i w:val="0"/>
          <w:iCs w:val="0"/>
          <w:color w:val="auto"/>
          <w:kern w:val="2"/>
          <w:sz w:val="24"/>
          <w:szCs w:val="24"/>
          <w:highlight w:val="none"/>
          <w:lang w:val="en-US" w:eastAsia="zh-CN" w:bidi="ar-SA"/>
        </w:rPr>
        <w:t>【如适用】</w:t>
      </w:r>
      <w:bookmarkEnd w:id="669"/>
    </w:p>
    <w:p w14:paraId="4CE35243">
      <w:pPr>
        <w:pStyle w:val="42"/>
        <w:numPr>
          <w:ilvl w:val="0"/>
          <w:numId w:val="0"/>
        </w:numPr>
        <w:ind w:left="420" w:leftChars="0" w:hanging="420" w:firstLineChars="0"/>
        <w:jc w:val="center"/>
        <w:rPr>
          <w:rFonts w:hint="eastAsia"/>
          <w:b/>
          <w:bCs/>
          <w:i w:val="0"/>
          <w:iCs w:val="0"/>
          <w:color w:val="auto"/>
          <w:sz w:val="32"/>
          <w:szCs w:val="32"/>
          <w:highlight w:val="none"/>
        </w:rPr>
      </w:pPr>
    </w:p>
    <w:p w14:paraId="245A91A2">
      <w:pPr>
        <w:pStyle w:val="42"/>
        <w:numPr>
          <w:ilvl w:val="0"/>
          <w:numId w:val="0"/>
        </w:numPr>
        <w:ind w:left="420" w:leftChars="0" w:hanging="420" w:firstLineChars="0"/>
        <w:jc w:val="center"/>
        <w:rPr>
          <w:b/>
          <w:bCs/>
          <w:i w:val="0"/>
          <w:iCs w:val="0"/>
          <w:color w:val="auto"/>
          <w:sz w:val="32"/>
          <w:szCs w:val="32"/>
          <w:highlight w:val="none"/>
        </w:rPr>
      </w:pPr>
      <w:r>
        <w:rPr>
          <w:rFonts w:hint="eastAsia"/>
          <w:b/>
          <w:bCs/>
          <w:i w:val="0"/>
          <w:iCs w:val="0"/>
          <w:color w:val="auto"/>
          <w:sz w:val="32"/>
          <w:szCs w:val="32"/>
          <w:highlight w:val="none"/>
        </w:rPr>
        <w:t>残疾人福利性单位声明函</w:t>
      </w:r>
    </w:p>
    <w:p w14:paraId="0A6F9CEB">
      <w:pPr>
        <w:wordWrap w:val="0"/>
        <w:ind w:firstLine="480" w:firstLineChars="200"/>
        <w:rPr>
          <w:rFonts w:hint="eastAsia"/>
          <w:i w:val="0"/>
          <w:iCs w:val="0"/>
          <w:color w:val="auto"/>
          <w:szCs w:val="24"/>
          <w:highlight w:val="none"/>
        </w:rPr>
      </w:pPr>
    </w:p>
    <w:p w14:paraId="6759E12F">
      <w:pPr>
        <w:wordWrap w:val="0"/>
        <w:ind w:firstLine="480" w:firstLineChars="200"/>
        <w:rPr>
          <w:i w:val="0"/>
          <w:iCs w:val="0"/>
          <w:color w:val="auto"/>
          <w:szCs w:val="24"/>
          <w:highlight w:val="none"/>
        </w:rPr>
      </w:pPr>
      <w:r>
        <w:rPr>
          <w:rFonts w:hint="eastAsia"/>
          <w:i w:val="0"/>
          <w:iCs w:val="0"/>
          <w:color w:val="auto"/>
          <w:szCs w:val="24"/>
          <w:highlight w:val="none"/>
        </w:rPr>
        <w:t>本公司（联合体）郑重声明，根据《财政部 民政部 中国残疾人联合会关于促进残疾人就业政府采购政策的通知》（财库〔2017〕141号）的规定，本公司（联合体）参加</w:t>
      </w:r>
      <w:r>
        <w:rPr>
          <w:rFonts w:hint="eastAsia"/>
          <w:i w:val="0"/>
          <w:iCs w:val="0"/>
          <w:color w:val="auto"/>
          <w:szCs w:val="24"/>
          <w:highlight w:val="none"/>
          <w:u w:val="single"/>
        </w:rPr>
        <w:t xml:space="preserve"> （单位名称） </w:t>
      </w:r>
      <w:r>
        <w:rPr>
          <w:rFonts w:hint="eastAsia"/>
          <w:i w:val="0"/>
          <w:iCs w:val="0"/>
          <w:color w:val="auto"/>
          <w:szCs w:val="24"/>
          <w:highlight w:val="none"/>
        </w:rPr>
        <w:t>的</w:t>
      </w:r>
      <w:r>
        <w:rPr>
          <w:rFonts w:hint="eastAsia"/>
          <w:i w:val="0"/>
          <w:iCs w:val="0"/>
          <w:color w:val="auto"/>
          <w:szCs w:val="24"/>
          <w:highlight w:val="none"/>
          <w:u w:val="single"/>
        </w:rPr>
        <w:t xml:space="preserve"> （项目名称） </w:t>
      </w:r>
      <w:r>
        <w:rPr>
          <w:rFonts w:hint="eastAsia"/>
          <w:i w:val="0"/>
          <w:iCs w:val="0"/>
          <w:color w:val="auto"/>
          <w:szCs w:val="24"/>
          <w:highlight w:val="none"/>
        </w:rPr>
        <w:t>采购活动，提供的</w:t>
      </w:r>
      <w:r>
        <w:rPr>
          <w:rFonts w:hint="eastAsia"/>
          <w:i w:val="0"/>
          <w:iCs w:val="0"/>
          <w:color w:val="auto"/>
          <w:szCs w:val="24"/>
          <w:highlight w:val="none"/>
          <w:lang w:val="en-US" w:eastAsia="zh-CN"/>
        </w:rPr>
        <w:t>服务</w:t>
      </w:r>
      <w:r>
        <w:rPr>
          <w:rFonts w:hint="eastAsia"/>
          <w:b/>
          <w:i w:val="0"/>
          <w:iCs w:val="0"/>
          <w:color w:val="auto"/>
          <w:szCs w:val="24"/>
          <w:highlight w:val="none"/>
        </w:rPr>
        <w:t>全部由</w:t>
      </w:r>
      <w:r>
        <w:rPr>
          <w:rFonts w:hint="eastAsia"/>
          <w:i w:val="0"/>
          <w:iCs w:val="0"/>
          <w:color w:val="auto"/>
          <w:szCs w:val="24"/>
          <w:highlight w:val="none"/>
        </w:rPr>
        <w:t>符合政策要求的</w:t>
      </w:r>
      <w:r>
        <w:rPr>
          <w:rFonts w:hint="eastAsia"/>
          <w:b/>
          <w:i w:val="0"/>
          <w:iCs w:val="0"/>
          <w:color w:val="auto"/>
          <w:szCs w:val="24"/>
          <w:highlight w:val="none"/>
        </w:rPr>
        <w:t>残疾人福利性单位</w:t>
      </w:r>
      <w:r>
        <w:rPr>
          <w:rFonts w:hint="eastAsia"/>
          <w:b/>
          <w:i w:val="0"/>
          <w:iCs w:val="0"/>
          <w:color w:val="auto"/>
          <w:szCs w:val="24"/>
          <w:highlight w:val="none"/>
          <w:lang w:val="en-US" w:eastAsia="zh-CN"/>
        </w:rPr>
        <w:t>承接</w:t>
      </w:r>
      <w:r>
        <w:rPr>
          <w:rFonts w:hint="eastAsia"/>
          <w:i w:val="0"/>
          <w:iCs w:val="0"/>
          <w:color w:val="auto"/>
          <w:szCs w:val="24"/>
          <w:highlight w:val="none"/>
        </w:rPr>
        <w:t>。相关企业（含联合体中的残疾人福利性单位、签订分包意向协议</w:t>
      </w:r>
      <w:r>
        <w:rPr>
          <w:rFonts w:hint="eastAsia"/>
          <w:i w:val="0"/>
          <w:iCs w:val="0"/>
          <w:color w:val="auto"/>
          <w:szCs w:val="24"/>
          <w:highlight w:val="none"/>
          <w:lang w:val="en-US" w:eastAsia="zh-CN"/>
        </w:rPr>
        <w:t>书</w:t>
      </w:r>
      <w:r>
        <w:rPr>
          <w:rFonts w:hint="eastAsia"/>
          <w:i w:val="0"/>
          <w:iCs w:val="0"/>
          <w:color w:val="auto"/>
          <w:szCs w:val="24"/>
          <w:highlight w:val="none"/>
        </w:rPr>
        <w:t>的残疾人福利性单位）的具体情况如下：</w:t>
      </w:r>
    </w:p>
    <w:p w14:paraId="6C43D66C">
      <w:pPr>
        <w:wordWrap w:val="0"/>
        <w:ind w:firstLine="480" w:firstLineChars="200"/>
        <w:rPr>
          <w:i w:val="0"/>
          <w:iCs w:val="0"/>
          <w:color w:val="auto"/>
          <w:szCs w:val="24"/>
          <w:highlight w:val="none"/>
        </w:rPr>
      </w:pPr>
      <w:r>
        <w:rPr>
          <w:rFonts w:hint="eastAsia"/>
          <w:i w:val="0"/>
          <w:iCs w:val="0"/>
          <w:color w:val="auto"/>
          <w:szCs w:val="24"/>
          <w:highlight w:val="none"/>
        </w:rPr>
        <w:t>1.</w:t>
      </w:r>
      <w:r>
        <w:rPr>
          <w:rFonts w:hint="eastAsia"/>
          <w:i w:val="0"/>
          <w:iCs w:val="0"/>
          <w:color w:val="auto"/>
          <w:szCs w:val="24"/>
          <w:highlight w:val="none"/>
          <w:u w:val="single"/>
        </w:rPr>
        <w:t xml:space="preserve"> （标的名称） </w:t>
      </w:r>
      <w:r>
        <w:rPr>
          <w:rFonts w:hint="eastAsia"/>
          <w:i w:val="0"/>
          <w:iCs w:val="0"/>
          <w:color w:val="auto"/>
          <w:szCs w:val="24"/>
          <w:highlight w:val="none"/>
        </w:rPr>
        <w:t>，</w:t>
      </w:r>
      <w:r>
        <w:rPr>
          <w:rFonts w:hint="eastAsia"/>
          <w:i w:val="0"/>
          <w:iCs w:val="0"/>
          <w:color w:val="auto"/>
          <w:szCs w:val="24"/>
          <w:highlight w:val="none"/>
          <w:lang w:val="en-US" w:eastAsia="zh-CN"/>
        </w:rPr>
        <w:t>承接单位</w:t>
      </w:r>
      <w:r>
        <w:rPr>
          <w:rFonts w:hint="eastAsia"/>
          <w:i w:val="0"/>
          <w:iCs w:val="0"/>
          <w:color w:val="auto"/>
          <w:szCs w:val="24"/>
          <w:highlight w:val="none"/>
        </w:rPr>
        <w:t xml:space="preserve">为 </w:t>
      </w:r>
      <w:r>
        <w:rPr>
          <w:i w:val="0"/>
          <w:iCs w:val="0"/>
          <w:color w:val="auto"/>
          <w:szCs w:val="24"/>
          <w:highlight w:val="none"/>
          <w:u w:val="single"/>
        </w:rPr>
        <w:t xml:space="preserve">  </w:t>
      </w:r>
      <w:r>
        <w:rPr>
          <w:rFonts w:hint="eastAsia"/>
          <w:i w:val="0"/>
          <w:iCs w:val="0"/>
          <w:color w:val="auto"/>
          <w:szCs w:val="24"/>
          <w:highlight w:val="none"/>
          <w:u w:val="single"/>
        </w:rPr>
        <w:t xml:space="preserve">（企业名称） </w:t>
      </w:r>
      <w:r>
        <w:rPr>
          <w:rFonts w:hint="eastAsia"/>
          <w:i w:val="0"/>
          <w:iCs w:val="0"/>
          <w:color w:val="auto"/>
          <w:szCs w:val="24"/>
          <w:highlight w:val="none"/>
        </w:rPr>
        <w:t>，属于残疾人福利性单位；</w:t>
      </w:r>
    </w:p>
    <w:p w14:paraId="2ECF255A">
      <w:pPr>
        <w:wordWrap w:val="0"/>
        <w:ind w:firstLine="480" w:firstLineChars="200"/>
        <w:rPr>
          <w:i w:val="0"/>
          <w:iCs w:val="0"/>
          <w:color w:val="auto"/>
          <w:szCs w:val="24"/>
          <w:highlight w:val="none"/>
        </w:rPr>
      </w:pPr>
      <w:r>
        <w:rPr>
          <w:rFonts w:hint="eastAsia"/>
          <w:i w:val="0"/>
          <w:iCs w:val="0"/>
          <w:color w:val="auto"/>
          <w:szCs w:val="24"/>
          <w:highlight w:val="none"/>
        </w:rPr>
        <w:t xml:space="preserve">2. </w:t>
      </w:r>
      <w:r>
        <w:rPr>
          <w:rFonts w:hint="eastAsia"/>
          <w:i w:val="0"/>
          <w:iCs w:val="0"/>
          <w:color w:val="auto"/>
          <w:szCs w:val="24"/>
          <w:highlight w:val="none"/>
          <w:u w:val="single"/>
        </w:rPr>
        <w:t xml:space="preserve">（标的名称） </w:t>
      </w:r>
      <w:r>
        <w:rPr>
          <w:rFonts w:hint="eastAsia"/>
          <w:i w:val="0"/>
          <w:iCs w:val="0"/>
          <w:color w:val="auto"/>
          <w:szCs w:val="24"/>
          <w:highlight w:val="none"/>
        </w:rPr>
        <w:t>，</w:t>
      </w:r>
      <w:r>
        <w:rPr>
          <w:rFonts w:hint="eastAsia"/>
          <w:i w:val="0"/>
          <w:iCs w:val="0"/>
          <w:color w:val="auto"/>
          <w:szCs w:val="24"/>
          <w:highlight w:val="none"/>
          <w:lang w:val="en-US" w:eastAsia="zh-CN"/>
        </w:rPr>
        <w:t>承接单位</w:t>
      </w:r>
      <w:r>
        <w:rPr>
          <w:rFonts w:hint="eastAsia"/>
          <w:i w:val="0"/>
          <w:iCs w:val="0"/>
          <w:color w:val="auto"/>
          <w:szCs w:val="24"/>
          <w:highlight w:val="none"/>
        </w:rPr>
        <w:t xml:space="preserve">为 </w:t>
      </w:r>
      <w:r>
        <w:rPr>
          <w:i w:val="0"/>
          <w:iCs w:val="0"/>
          <w:color w:val="auto"/>
          <w:szCs w:val="24"/>
          <w:highlight w:val="none"/>
          <w:u w:val="single"/>
        </w:rPr>
        <w:t xml:space="preserve">  </w:t>
      </w:r>
      <w:r>
        <w:rPr>
          <w:rFonts w:hint="eastAsia"/>
          <w:i w:val="0"/>
          <w:iCs w:val="0"/>
          <w:color w:val="auto"/>
          <w:szCs w:val="24"/>
          <w:highlight w:val="none"/>
          <w:u w:val="single"/>
        </w:rPr>
        <w:t xml:space="preserve">（企业名称） </w:t>
      </w:r>
      <w:r>
        <w:rPr>
          <w:rFonts w:hint="eastAsia"/>
          <w:i w:val="0"/>
          <w:iCs w:val="0"/>
          <w:color w:val="auto"/>
          <w:szCs w:val="24"/>
          <w:highlight w:val="none"/>
        </w:rPr>
        <w:t>，属于残疾人福利性单位；</w:t>
      </w:r>
    </w:p>
    <w:p w14:paraId="34646BFF">
      <w:pPr>
        <w:wordWrap w:val="0"/>
        <w:ind w:firstLine="480" w:firstLineChars="200"/>
        <w:rPr>
          <w:i w:val="0"/>
          <w:iCs w:val="0"/>
          <w:color w:val="auto"/>
          <w:szCs w:val="24"/>
          <w:highlight w:val="none"/>
        </w:rPr>
      </w:pPr>
      <w:r>
        <w:rPr>
          <w:rFonts w:hint="eastAsia"/>
          <w:i w:val="0"/>
          <w:iCs w:val="0"/>
          <w:color w:val="auto"/>
          <w:szCs w:val="24"/>
          <w:highlight w:val="none"/>
        </w:rPr>
        <w:t>……</w:t>
      </w:r>
    </w:p>
    <w:p w14:paraId="5B4E8460">
      <w:pPr>
        <w:wordWrap w:val="0"/>
        <w:ind w:firstLine="480" w:firstLineChars="200"/>
        <w:rPr>
          <w:i w:val="0"/>
          <w:iCs w:val="0"/>
          <w:color w:val="auto"/>
          <w:szCs w:val="24"/>
          <w:highlight w:val="none"/>
        </w:rPr>
      </w:pPr>
      <w:r>
        <w:rPr>
          <w:rFonts w:hint="eastAsia"/>
          <w:i w:val="0"/>
          <w:iCs w:val="0"/>
          <w:color w:val="auto"/>
          <w:szCs w:val="24"/>
          <w:highlight w:val="none"/>
        </w:rPr>
        <w:t>以上企业，不属于大企业的分支机构，不存在控股股东为大企业的情形，也不存在与大企业的负责人为同一人的情形。</w:t>
      </w:r>
    </w:p>
    <w:p w14:paraId="20058A78">
      <w:pPr>
        <w:wordWrap w:val="0"/>
        <w:ind w:left="1087" w:leftChars="200" w:hanging="607" w:hangingChars="253"/>
        <w:rPr>
          <w:i w:val="0"/>
          <w:iCs w:val="0"/>
          <w:color w:val="auto"/>
          <w:szCs w:val="24"/>
          <w:highlight w:val="none"/>
        </w:rPr>
      </w:pPr>
      <w:r>
        <w:rPr>
          <w:rFonts w:hint="eastAsia"/>
          <w:i w:val="0"/>
          <w:iCs w:val="0"/>
          <w:color w:val="auto"/>
          <w:szCs w:val="24"/>
          <w:highlight w:val="none"/>
        </w:rPr>
        <w:t>本企业对上述声明内容的真实性负责。如有虚假，将依法承担相应责任。</w:t>
      </w:r>
    </w:p>
    <w:p w14:paraId="7B8163C3">
      <w:pPr>
        <w:wordWrap w:val="0"/>
        <w:ind w:left="1091" w:hanging="1091" w:hangingChars="453"/>
        <w:rPr>
          <w:b/>
          <w:bCs/>
          <w:i w:val="0"/>
          <w:iCs w:val="0"/>
          <w:color w:val="auto"/>
          <w:szCs w:val="24"/>
          <w:highlight w:val="none"/>
        </w:rPr>
      </w:pPr>
    </w:p>
    <w:p w14:paraId="499618B6">
      <w:pPr>
        <w:wordWrap w:val="0"/>
        <w:ind w:left="1091" w:hanging="1091" w:hangingChars="453"/>
        <w:rPr>
          <w:bCs/>
          <w:i w:val="0"/>
          <w:iCs w:val="0"/>
          <w:color w:val="auto"/>
          <w:szCs w:val="24"/>
          <w:highlight w:val="none"/>
        </w:rPr>
      </w:pPr>
      <w:r>
        <w:rPr>
          <w:rFonts w:hint="eastAsia"/>
          <w:b/>
          <w:bCs/>
          <w:i w:val="0"/>
          <w:iCs w:val="0"/>
          <w:color w:val="auto"/>
          <w:szCs w:val="24"/>
          <w:highlight w:val="none"/>
        </w:rPr>
        <w:t>说明：</w:t>
      </w:r>
      <w:r>
        <w:rPr>
          <w:rFonts w:hint="eastAsia"/>
          <w:bCs/>
          <w:i w:val="0"/>
          <w:iCs w:val="0"/>
          <w:color w:val="auto"/>
          <w:szCs w:val="24"/>
          <w:highlight w:val="none"/>
        </w:rPr>
        <w:t>1、</w:t>
      </w:r>
      <w:r>
        <w:rPr>
          <w:rFonts w:hint="eastAsia"/>
          <w:bCs/>
          <w:i w:val="0"/>
          <w:iCs w:val="0"/>
          <w:color w:val="auto"/>
          <w:szCs w:val="24"/>
          <w:highlight w:val="none"/>
          <w:lang w:val="en-US" w:eastAsia="zh-CN"/>
        </w:rPr>
        <w:t>服务</w:t>
      </w:r>
      <w:r>
        <w:rPr>
          <w:rFonts w:hint="eastAsia"/>
          <w:bCs/>
          <w:i w:val="0"/>
          <w:iCs w:val="0"/>
          <w:color w:val="auto"/>
          <w:szCs w:val="21"/>
          <w:highlight w:val="none"/>
          <w:lang w:val="zh-CN"/>
        </w:rPr>
        <w:t>应当全部由符合政策要求的残疾人福利性单位</w:t>
      </w:r>
      <w:r>
        <w:rPr>
          <w:rFonts w:hint="eastAsia"/>
          <w:bCs/>
          <w:i w:val="0"/>
          <w:iCs w:val="0"/>
          <w:color w:val="auto"/>
          <w:szCs w:val="21"/>
          <w:highlight w:val="none"/>
          <w:lang w:val="en-US" w:eastAsia="zh-CN"/>
        </w:rPr>
        <w:t>承接</w:t>
      </w:r>
      <w:r>
        <w:rPr>
          <w:rFonts w:hint="eastAsia"/>
          <w:bCs/>
          <w:i w:val="0"/>
          <w:iCs w:val="0"/>
          <w:color w:val="auto"/>
          <w:szCs w:val="21"/>
          <w:highlight w:val="none"/>
          <w:lang w:val="zh-CN"/>
        </w:rPr>
        <w:t>且使用该残疾人福利性单位商号或注册商标（与代理商或</w:t>
      </w:r>
      <w:r>
        <w:rPr>
          <w:rFonts w:hint="eastAsia"/>
          <w:bCs/>
          <w:i w:val="0"/>
          <w:iCs w:val="0"/>
          <w:color w:val="auto"/>
          <w:szCs w:val="21"/>
          <w:highlight w:val="none"/>
          <w:lang w:val="en-US" w:eastAsia="zh-CN"/>
        </w:rPr>
        <w:t>供应商</w:t>
      </w:r>
      <w:r>
        <w:rPr>
          <w:rFonts w:hint="eastAsia"/>
          <w:bCs/>
          <w:i w:val="0"/>
          <w:iCs w:val="0"/>
          <w:color w:val="auto"/>
          <w:szCs w:val="21"/>
          <w:highlight w:val="none"/>
          <w:lang w:val="zh-CN"/>
        </w:rPr>
        <w:t>无关）；应当严格按上述格式及内容进行填写（应当明确每个</w:t>
      </w:r>
      <w:r>
        <w:rPr>
          <w:rFonts w:hint="eastAsia"/>
          <w:bCs/>
          <w:i w:val="0"/>
          <w:iCs w:val="0"/>
          <w:color w:val="auto"/>
          <w:szCs w:val="21"/>
          <w:highlight w:val="none"/>
          <w:lang w:val="en-US" w:eastAsia="zh-CN"/>
        </w:rPr>
        <w:t>包</w:t>
      </w:r>
      <w:r>
        <w:rPr>
          <w:rFonts w:hint="eastAsia"/>
          <w:bCs/>
          <w:i w:val="0"/>
          <w:iCs w:val="0"/>
          <w:color w:val="auto"/>
          <w:szCs w:val="21"/>
          <w:highlight w:val="none"/>
          <w:lang w:val="zh-CN"/>
        </w:rPr>
        <w:t>的的</w:t>
      </w:r>
      <w:r>
        <w:rPr>
          <w:rFonts w:hint="eastAsia"/>
          <w:bCs/>
          <w:i w:val="0"/>
          <w:iCs w:val="0"/>
          <w:color w:val="auto"/>
          <w:szCs w:val="21"/>
          <w:highlight w:val="none"/>
          <w:lang w:val="en-US" w:eastAsia="zh-CN"/>
        </w:rPr>
        <w:t>承接</w:t>
      </w:r>
      <w:r>
        <w:rPr>
          <w:rFonts w:hint="eastAsia"/>
          <w:bCs/>
          <w:i w:val="0"/>
          <w:iCs w:val="0"/>
          <w:color w:val="auto"/>
          <w:szCs w:val="21"/>
          <w:highlight w:val="none"/>
          <w:lang w:val="zh-CN"/>
        </w:rPr>
        <w:t>企业类型及相关数据），否则导致的后果由</w:t>
      </w:r>
      <w:r>
        <w:rPr>
          <w:rFonts w:hint="eastAsia"/>
          <w:bCs/>
          <w:i w:val="0"/>
          <w:iCs w:val="0"/>
          <w:color w:val="auto"/>
          <w:szCs w:val="21"/>
          <w:highlight w:val="none"/>
          <w:lang w:val="en-US" w:eastAsia="zh-CN"/>
        </w:rPr>
        <w:t>供应商</w:t>
      </w:r>
      <w:r>
        <w:rPr>
          <w:rFonts w:hint="eastAsia"/>
          <w:bCs/>
          <w:i w:val="0"/>
          <w:iCs w:val="0"/>
          <w:color w:val="auto"/>
          <w:szCs w:val="21"/>
          <w:highlight w:val="none"/>
          <w:lang w:val="zh-CN"/>
        </w:rPr>
        <w:t>自行承担；</w:t>
      </w:r>
    </w:p>
    <w:p w14:paraId="2BB3E128">
      <w:pPr>
        <w:wordWrap w:val="0"/>
        <w:ind w:left="1087" w:hanging="1087" w:hangingChars="453"/>
        <w:rPr>
          <w:rFonts w:cs="Courier New"/>
          <w:i w:val="0"/>
          <w:iCs w:val="0"/>
          <w:color w:val="auto"/>
          <w:szCs w:val="21"/>
          <w:highlight w:val="none"/>
        </w:rPr>
      </w:pPr>
      <w:r>
        <w:rPr>
          <w:rFonts w:hint="eastAsia"/>
          <w:bCs/>
          <w:i w:val="0"/>
          <w:iCs w:val="0"/>
          <w:color w:val="auto"/>
          <w:szCs w:val="21"/>
          <w:highlight w:val="none"/>
          <w:lang w:val="zh-CN"/>
        </w:rPr>
        <w:t xml:space="preserve">      2、</w:t>
      </w:r>
      <w:r>
        <w:rPr>
          <w:rFonts w:hint="eastAsia" w:cs="Courier New"/>
          <w:i w:val="0"/>
          <w:iCs w:val="0"/>
          <w:color w:val="auto"/>
          <w:szCs w:val="21"/>
          <w:highlight w:val="none"/>
        </w:rPr>
        <w:t>以联合体形式参加的，应</w:t>
      </w:r>
      <w:r>
        <w:rPr>
          <w:rFonts w:hint="eastAsia"/>
          <w:bCs/>
          <w:i w:val="0"/>
          <w:iCs w:val="0"/>
          <w:color w:val="auto"/>
          <w:szCs w:val="21"/>
          <w:highlight w:val="none"/>
          <w:lang w:val="zh-CN"/>
        </w:rPr>
        <w:t>当</w:t>
      </w:r>
      <w:r>
        <w:rPr>
          <w:rFonts w:hint="eastAsia" w:cs="Courier New"/>
          <w:i w:val="0"/>
          <w:iCs w:val="0"/>
          <w:color w:val="auto"/>
          <w:szCs w:val="21"/>
          <w:highlight w:val="none"/>
        </w:rPr>
        <w:t>由联合体各方盖章。</w:t>
      </w:r>
    </w:p>
    <w:p w14:paraId="78716944">
      <w:pPr>
        <w:wordWrap w:val="0"/>
        <w:spacing w:before="100" w:beforeAutospacing="1" w:after="100" w:afterAutospacing="1"/>
        <w:ind w:firstLine="3316" w:firstLineChars="1382"/>
        <w:rPr>
          <w:bCs/>
          <w:i w:val="0"/>
          <w:iCs w:val="0"/>
          <w:color w:val="auto"/>
          <w:szCs w:val="21"/>
          <w:highlight w:val="none"/>
          <w:lang w:val="zh-CN"/>
        </w:rPr>
      </w:pPr>
      <w:r>
        <w:rPr>
          <w:rFonts w:hint="eastAsia"/>
          <w:bCs/>
          <w:i w:val="0"/>
          <w:iCs w:val="0"/>
          <w:color w:val="auto"/>
          <w:szCs w:val="21"/>
          <w:highlight w:val="none"/>
          <w:lang w:val="en-US" w:eastAsia="zh-CN"/>
        </w:rPr>
        <w:t>供应商</w:t>
      </w:r>
      <w:r>
        <w:rPr>
          <w:rFonts w:hint="eastAsia" w:ascii="宋体" w:hAnsi="宋体" w:eastAsia="宋体"/>
          <w:bCs/>
          <w:i w:val="0"/>
          <w:iCs w:val="0"/>
          <w:color w:val="auto"/>
          <w:szCs w:val="21"/>
          <w:highlight w:val="none"/>
          <w:lang w:val="en-US" w:eastAsia="zh-CN"/>
        </w:rPr>
        <w:t>名称</w:t>
      </w:r>
      <w:r>
        <w:rPr>
          <w:rFonts w:hint="eastAsia"/>
          <w:bCs/>
          <w:i w:val="0"/>
          <w:iCs w:val="0"/>
          <w:color w:val="auto"/>
          <w:szCs w:val="21"/>
          <w:highlight w:val="none"/>
          <w:lang w:val="en-US" w:eastAsia="zh-CN"/>
        </w:rPr>
        <w:t>（公章）</w:t>
      </w:r>
      <w:r>
        <w:rPr>
          <w:rFonts w:hint="eastAsia"/>
          <w:bCs/>
          <w:i w:val="0"/>
          <w:iCs w:val="0"/>
          <w:color w:val="auto"/>
          <w:szCs w:val="21"/>
          <w:highlight w:val="none"/>
          <w:lang w:val="zh-CN"/>
        </w:rPr>
        <w:t>：</w:t>
      </w:r>
      <w:r>
        <w:rPr>
          <w:rFonts w:hint="eastAsia"/>
          <w:bCs/>
          <w:i w:val="0"/>
          <w:iCs w:val="0"/>
          <w:color w:val="auto"/>
          <w:szCs w:val="21"/>
          <w:highlight w:val="none"/>
          <w:u w:val="single"/>
          <w:lang w:val="zh-CN"/>
        </w:rPr>
        <w:t xml:space="preserve">              </w:t>
      </w:r>
    </w:p>
    <w:p w14:paraId="528F3064">
      <w:pPr>
        <w:wordWrap w:val="0"/>
        <w:spacing w:before="100" w:beforeAutospacing="1" w:after="100" w:afterAutospacing="1"/>
        <w:ind w:firstLine="3316" w:firstLineChars="1382"/>
        <w:rPr>
          <w:i w:val="0"/>
          <w:iCs w:val="0"/>
          <w:color w:val="auto"/>
          <w:highlight w:val="none"/>
        </w:rPr>
      </w:pPr>
      <w:r>
        <w:rPr>
          <w:rFonts w:hint="eastAsia"/>
          <w:i w:val="0"/>
          <w:iCs w:val="0"/>
          <w:color w:val="auto"/>
          <w:szCs w:val="24"/>
          <w:highlight w:val="none"/>
        </w:rPr>
        <w:t>日</w:t>
      </w:r>
      <w:r>
        <w:rPr>
          <w:i w:val="0"/>
          <w:iCs w:val="0"/>
          <w:color w:val="auto"/>
          <w:szCs w:val="24"/>
          <w:highlight w:val="none"/>
        </w:rPr>
        <w:t xml:space="preserve">  </w:t>
      </w:r>
      <w:r>
        <w:rPr>
          <w:rFonts w:hint="eastAsia"/>
          <w:i w:val="0"/>
          <w:iCs w:val="0"/>
          <w:color w:val="auto"/>
          <w:szCs w:val="24"/>
          <w:highlight w:val="none"/>
        </w:rPr>
        <w:t>期：</w:t>
      </w:r>
      <w:r>
        <w:rPr>
          <w:bCs/>
          <w:i w:val="0"/>
          <w:iCs w:val="0"/>
          <w:color w:val="auto"/>
          <w:szCs w:val="24"/>
          <w:highlight w:val="none"/>
          <w:u w:val="single"/>
        </w:rPr>
        <w:t xml:space="preserve">                         </w:t>
      </w:r>
    </w:p>
    <w:p w14:paraId="2B6CD9E1">
      <w:pPr>
        <w:rPr>
          <w:i w:val="0"/>
          <w:iCs w:val="0"/>
          <w:color w:val="auto"/>
          <w:highlight w:val="none"/>
        </w:rPr>
      </w:pPr>
      <w:r>
        <w:rPr>
          <w:i w:val="0"/>
          <w:iCs w:val="0"/>
          <w:color w:val="auto"/>
          <w:highlight w:val="none"/>
        </w:rPr>
        <w:br w:type="page"/>
      </w:r>
    </w:p>
    <w:p w14:paraId="72C5530A">
      <w:pPr>
        <w:pStyle w:val="6"/>
        <w:keepNext/>
        <w:keepLines/>
        <w:pageBreakBefore w:val="0"/>
        <w:widowControl w:val="0"/>
        <w:numPr>
          <w:ilvl w:val="0"/>
          <w:numId w:val="0"/>
        </w:numPr>
        <w:kinsoku/>
        <w:wordWrap/>
        <w:overflowPunct/>
        <w:topLinePunct w:val="0"/>
        <w:autoSpaceDE/>
        <w:autoSpaceDN/>
        <w:bidi w:val="0"/>
        <w:adjustRightInd/>
        <w:snapToGrid/>
        <w:spacing w:before="80" w:after="80" w:line="240" w:lineRule="auto"/>
        <w:ind w:left="420" w:leftChars="0" w:hanging="420" w:firstLineChars="0"/>
        <w:textAlignment w:val="auto"/>
        <w:rPr>
          <w:rFonts w:hint="eastAsia" w:ascii="宋体" w:hAnsi="宋体" w:eastAsia="宋体" w:cs="宋体"/>
          <w:b/>
          <w:bCs/>
          <w:i w:val="0"/>
          <w:iCs w:val="0"/>
          <w:color w:val="auto"/>
          <w:kern w:val="2"/>
          <w:sz w:val="24"/>
          <w:szCs w:val="24"/>
          <w:highlight w:val="none"/>
          <w:lang w:val="en-US" w:eastAsia="zh-CN" w:bidi="ar-SA"/>
        </w:rPr>
      </w:pPr>
      <w:bookmarkStart w:id="670" w:name="_Toc163492942"/>
    </w:p>
    <w:p w14:paraId="78231EA7">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cs="宋体"/>
          <w:b/>
          <w:bCs/>
          <w:i w:val="0"/>
          <w:iCs w:val="0"/>
          <w:color w:val="auto"/>
          <w:kern w:val="2"/>
          <w:sz w:val="28"/>
          <w:szCs w:val="28"/>
          <w:highlight w:val="none"/>
          <w:lang w:val="en-US" w:eastAsia="zh-CN" w:bidi="ar-SA"/>
        </w:rPr>
      </w:pPr>
      <w:bookmarkStart w:id="671" w:name="_Toc11970"/>
      <w:r>
        <w:rPr>
          <w:rFonts w:hint="eastAsia" w:cs="宋体"/>
          <w:b/>
          <w:bCs/>
          <w:i w:val="0"/>
          <w:iCs w:val="0"/>
          <w:color w:val="auto"/>
          <w:kern w:val="2"/>
          <w:sz w:val="28"/>
          <w:szCs w:val="28"/>
          <w:highlight w:val="none"/>
          <w:lang w:val="en-US" w:eastAsia="zh-CN" w:bidi="ar-SA"/>
        </w:rPr>
        <w:t>五、不参与围标串标承诺书</w:t>
      </w:r>
      <w:bookmarkEnd w:id="671"/>
    </w:p>
    <w:p w14:paraId="04900589">
      <w:pPr>
        <w:pStyle w:val="5"/>
        <w:keepNext/>
        <w:keepLines/>
        <w:pageBreakBefore w:val="0"/>
        <w:widowControl w:val="0"/>
        <w:numPr>
          <w:ilvl w:val="0"/>
          <w:numId w:val="0"/>
        </w:numPr>
        <w:kinsoku/>
        <w:wordWrap/>
        <w:overflowPunct/>
        <w:topLinePunct w:val="0"/>
        <w:autoSpaceDE/>
        <w:autoSpaceDN/>
        <w:bidi w:val="0"/>
        <w:adjustRightInd/>
        <w:snapToGrid/>
        <w:spacing w:before="100" w:after="100" w:line="240" w:lineRule="auto"/>
        <w:ind w:left="420" w:leftChars="0" w:hanging="420" w:firstLineChars="0"/>
        <w:textAlignment w:val="auto"/>
        <w:rPr>
          <w:rFonts w:hint="eastAsia" w:ascii="等线 Light" w:hAnsi="等线 Light" w:eastAsia="宋体" w:cs="宋体"/>
          <w:b/>
          <w:bCs/>
          <w:i w:val="0"/>
          <w:iCs w:val="0"/>
          <w:color w:val="auto"/>
          <w:kern w:val="2"/>
          <w:sz w:val="32"/>
          <w:szCs w:val="32"/>
          <w:highlight w:val="none"/>
          <w:lang w:val="en-US" w:eastAsia="zh-CN" w:bidi="ar-SA"/>
        </w:rPr>
      </w:pPr>
    </w:p>
    <w:p w14:paraId="55B99A8B">
      <w:pPr>
        <w:jc w:val="center"/>
        <w:rPr>
          <w:rFonts w:hint="eastAsia"/>
          <w:i w:val="0"/>
          <w:iCs w:val="0"/>
          <w:color w:val="auto"/>
          <w:highlight w:val="none"/>
          <w:lang w:val="en-US" w:eastAsia="zh-CN"/>
        </w:rPr>
      </w:pPr>
      <w:r>
        <w:rPr>
          <w:rFonts w:hint="eastAsia" w:cs="宋体"/>
          <w:b/>
          <w:bCs/>
          <w:i w:val="0"/>
          <w:iCs w:val="0"/>
          <w:color w:val="auto"/>
          <w:kern w:val="2"/>
          <w:sz w:val="32"/>
          <w:szCs w:val="32"/>
          <w:highlight w:val="none"/>
          <w:lang w:val="en-US" w:eastAsia="zh-CN" w:bidi="ar-SA"/>
        </w:rPr>
        <w:t>不参与围标串标承诺书</w:t>
      </w:r>
    </w:p>
    <w:p w14:paraId="2AE6DD51">
      <w:pPr>
        <w:pStyle w:val="79"/>
        <w:adjustRightInd w:val="0"/>
        <w:snapToGrid w:val="0"/>
        <w:spacing w:line="360" w:lineRule="auto"/>
        <w:rPr>
          <w:rFonts w:hint="eastAsia" w:ascii="宋体" w:hAnsi="宋体" w:cs="宋体"/>
          <w:sz w:val="24"/>
          <w:szCs w:val="24"/>
          <w:highlight w:val="none"/>
        </w:rPr>
      </w:pPr>
      <w:r>
        <w:rPr>
          <w:rFonts w:hint="eastAsia" w:ascii="宋体" w:hAnsi="宋体" w:cs="宋体"/>
          <w:sz w:val="24"/>
          <w:szCs w:val="24"/>
          <w:highlight w:val="none"/>
          <w:u w:val="single"/>
        </w:rPr>
        <w:t xml:space="preserve">（采购人）         </w:t>
      </w:r>
      <w:r>
        <w:rPr>
          <w:rFonts w:hint="eastAsia" w:ascii="宋体" w:hAnsi="宋体" w:cs="宋体"/>
          <w:sz w:val="24"/>
          <w:szCs w:val="24"/>
          <w:highlight w:val="none"/>
        </w:rPr>
        <w:t>：</w:t>
      </w:r>
    </w:p>
    <w:p w14:paraId="7CF342A8">
      <w:pPr>
        <w:ind w:firstLine="480" w:firstLineChars="200"/>
        <w:rPr>
          <w:rFonts w:hint="eastAsia"/>
          <w:i w:val="0"/>
          <w:iCs w:val="0"/>
          <w:color w:val="auto"/>
          <w:highlight w:val="none"/>
          <w:lang w:val="en-US" w:eastAsia="zh-CN"/>
        </w:rPr>
      </w:pPr>
      <w:r>
        <w:rPr>
          <w:rFonts w:hint="eastAsia"/>
          <w:i w:val="0"/>
          <w:iCs w:val="0"/>
          <w:color w:val="auto"/>
          <w:highlight w:val="none"/>
          <w:lang w:val="en-US" w:eastAsia="zh-CN"/>
        </w:rPr>
        <w:t>本人作为经授权的供应商代表,清楚知晓我单位参与</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项目名称、编号）</w:t>
      </w:r>
      <w:r>
        <w:rPr>
          <w:rFonts w:hint="eastAsia"/>
          <w:i w:val="0"/>
          <w:iCs w:val="0"/>
          <w:color w:val="auto"/>
          <w:highlight w:val="none"/>
          <w:lang w:val="en-US" w:eastAsia="zh-CN"/>
        </w:rPr>
        <w:t>项目竞争性磋商活动,对以下事项作出承诺：</w:t>
      </w:r>
    </w:p>
    <w:p w14:paraId="02AA8C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i w:val="0"/>
          <w:iCs w:val="0"/>
          <w:color w:val="auto"/>
          <w:highlight w:val="none"/>
          <w:lang w:val="en-US" w:eastAsia="zh-CN"/>
        </w:rPr>
      </w:pPr>
    </w:p>
    <w:p w14:paraId="3AC58D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i w:val="0"/>
          <w:iCs w:val="0"/>
          <w:color w:val="auto"/>
          <w:highlight w:val="none"/>
          <w:lang w:val="en-US" w:eastAsia="zh-CN"/>
        </w:rPr>
      </w:pPr>
      <w:r>
        <w:rPr>
          <w:rFonts w:hint="eastAsia"/>
          <w:i w:val="0"/>
          <w:iCs w:val="0"/>
          <w:color w:val="auto"/>
          <w:highlight w:val="none"/>
          <w:lang w:val="en-US" w:eastAsia="zh-CN"/>
        </w:rPr>
        <w:t>一、我单位和我本人遵循公开透明、公平竞争、公正和诚实信用的原则,依法依规参与本项目竞标。</w:t>
      </w:r>
    </w:p>
    <w:p w14:paraId="0EC77F5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i w:val="0"/>
          <w:iCs w:val="0"/>
          <w:color w:val="auto"/>
          <w:highlight w:val="none"/>
          <w:lang w:val="en-US" w:eastAsia="zh-CN"/>
        </w:rPr>
      </w:pPr>
      <w:r>
        <w:rPr>
          <w:rFonts w:hint="eastAsia"/>
          <w:i w:val="0"/>
          <w:iCs w:val="0"/>
          <w:color w:val="auto"/>
          <w:highlight w:val="none"/>
          <w:lang w:val="en-US" w:eastAsia="zh-CN"/>
        </w:rPr>
        <w:t>二、 我单位和我本人在本项目政府采购竞争性磋商活动中,未参与围标串标。</w:t>
      </w:r>
    </w:p>
    <w:p w14:paraId="731CBB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i w:val="0"/>
          <w:iCs w:val="0"/>
          <w:color w:val="auto"/>
          <w:highlight w:val="none"/>
          <w:lang w:val="en-US" w:eastAsia="zh-CN"/>
        </w:rPr>
      </w:pPr>
      <w:r>
        <w:rPr>
          <w:rFonts w:hint="eastAsia"/>
          <w:i w:val="0"/>
          <w:iCs w:val="0"/>
          <w:color w:val="auto"/>
          <w:highlight w:val="none"/>
          <w:lang w:val="en-US" w:eastAsia="zh-CN"/>
        </w:rPr>
        <w:t>三、我单位如被查实在本项目政府采购竞争性磋商活动中存在围标串标的，递交响应文件行为作为实施串通投标违法行为的关键环节,由我单位及法定代表人承担相应的法律责任，接受相应行政处罚和失信惩戒。</w:t>
      </w:r>
    </w:p>
    <w:p w14:paraId="152FDDAC">
      <w:pPr>
        <w:pStyle w:val="15"/>
        <w:rPr>
          <w:rFonts w:hint="eastAsia"/>
          <w:i w:val="0"/>
          <w:iCs w:val="0"/>
          <w:color w:val="auto"/>
          <w:highlight w:val="none"/>
          <w:lang w:val="en-US" w:eastAsia="zh-CN"/>
        </w:rPr>
      </w:pPr>
    </w:p>
    <w:p w14:paraId="5BC35F19">
      <w:pPr>
        <w:spacing w:line="560" w:lineRule="exact"/>
        <w:rPr>
          <w:rFonts w:hint="eastAsia" w:ascii="宋体" w:hAnsi="宋体" w:eastAsia="宋体" w:cs="宋体"/>
          <w:i w:val="0"/>
          <w:iCs w:val="0"/>
          <w:color w:val="auto"/>
          <w:kern w:val="0"/>
          <w:sz w:val="24"/>
          <w:szCs w:val="24"/>
          <w:highlight w:val="none"/>
        </w:rPr>
      </w:pPr>
    </w:p>
    <w:p w14:paraId="10B75A79">
      <w:pPr>
        <w:spacing w:line="560" w:lineRule="exact"/>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rPr>
        <w:t>供应商</w:t>
      </w:r>
      <w:r>
        <w:rPr>
          <w:rFonts w:hint="eastAsia" w:cs="宋体"/>
          <w:i w:val="0"/>
          <w:iCs w:val="0"/>
          <w:color w:val="auto"/>
          <w:kern w:val="0"/>
          <w:sz w:val="24"/>
          <w:szCs w:val="24"/>
          <w:highlight w:val="none"/>
          <w:lang w:val="en-US" w:eastAsia="zh-CN"/>
        </w:rPr>
        <w:t>名称</w:t>
      </w:r>
      <w:r>
        <w:rPr>
          <w:rFonts w:hint="eastAsia" w:ascii="宋体" w:hAnsi="宋体" w:eastAsia="宋体" w:cs="宋体"/>
          <w:i w:val="0"/>
          <w:iCs w:val="0"/>
          <w:color w:val="auto"/>
          <w:kern w:val="0"/>
          <w:sz w:val="24"/>
          <w:szCs w:val="24"/>
          <w:highlight w:val="none"/>
          <w:lang w:eastAsia="zh-CN"/>
        </w:rPr>
        <w:t>（</w:t>
      </w:r>
      <w:r>
        <w:rPr>
          <w:rFonts w:hint="eastAsia" w:cs="宋体"/>
          <w:i w:val="0"/>
          <w:iCs w:val="0"/>
          <w:color w:val="auto"/>
          <w:kern w:val="0"/>
          <w:sz w:val="24"/>
          <w:szCs w:val="24"/>
          <w:highlight w:val="none"/>
          <w:lang w:eastAsia="zh-CN"/>
        </w:rPr>
        <w:t>公</w:t>
      </w:r>
      <w:r>
        <w:rPr>
          <w:rFonts w:hint="eastAsia" w:ascii="宋体" w:hAnsi="宋体" w:eastAsia="宋体" w:cs="宋体"/>
          <w:i w:val="0"/>
          <w:iCs w:val="0"/>
          <w:color w:val="auto"/>
          <w:kern w:val="0"/>
          <w:sz w:val="24"/>
          <w:szCs w:val="24"/>
          <w:highlight w:val="none"/>
          <w:lang w:eastAsia="zh-CN"/>
        </w:rPr>
        <w:t>章）</w:t>
      </w:r>
      <w:r>
        <w:rPr>
          <w:rFonts w:hint="eastAsia" w:ascii="宋体" w:hAnsi="宋体" w:eastAsia="宋体" w:cs="宋体"/>
          <w:i w:val="0"/>
          <w:iCs w:val="0"/>
          <w:color w:val="auto"/>
          <w:kern w:val="0"/>
          <w:sz w:val="24"/>
          <w:szCs w:val="24"/>
          <w:highlight w:val="none"/>
        </w:rPr>
        <w:t>：</w:t>
      </w:r>
    </w:p>
    <w:p w14:paraId="0BDBBAEB">
      <w:pPr>
        <w:spacing w:line="560" w:lineRule="exact"/>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rPr>
        <w:t>法定代表人</w:t>
      </w:r>
      <w:r>
        <w:rPr>
          <w:rFonts w:hint="eastAsia" w:cs="宋体"/>
          <w:i w:val="0"/>
          <w:iCs w:val="0"/>
          <w:color w:val="auto"/>
          <w:kern w:val="0"/>
          <w:sz w:val="24"/>
          <w:szCs w:val="24"/>
          <w:highlight w:val="none"/>
          <w:lang w:eastAsia="zh-CN"/>
        </w:rPr>
        <w:t>（</w:t>
      </w:r>
      <w:r>
        <w:rPr>
          <w:rFonts w:hint="eastAsia" w:ascii="宋体" w:hAnsi="宋体" w:eastAsia="宋体" w:cs="宋体"/>
          <w:i w:val="0"/>
          <w:iCs w:val="0"/>
          <w:color w:val="auto"/>
          <w:kern w:val="0"/>
          <w:sz w:val="24"/>
          <w:szCs w:val="24"/>
          <w:highlight w:val="none"/>
        </w:rPr>
        <w:t>负责人</w:t>
      </w:r>
      <w:r>
        <w:rPr>
          <w:rFonts w:hint="eastAsia" w:cs="宋体"/>
          <w:i w:val="0"/>
          <w:iCs w:val="0"/>
          <w:color w:val="auto"/>
          <w:kern w:val="0"/>
          <w:sz w:val="24"/>
          <w:szCs w:val="24"/>
          <w:highlight w:val="none"/>
          <w:lang w:val="en-US" w:eastAsia="zh-CN"/>
        </w:rPr>
        <w:t>或</w:t>
      </w:r>
      <w:r>
        <w:rPr>
          <w:rFonts w:hint="eastAsia" w:ascii="宋体" w:hAnsi="宋体" w:eastAsia="宋体" w:cs="宋体"/>
          <w:i w:val="0"/>
          <w:iCs w:val="0"/>
          <w:color w:val="auto"/>
          <w:kern w:val="0"/>
          <w:sz w:val="24"/>
          <w:szCs w:val="24"/>
          <w:highlight w:val="none"/>
        </w:rPr>
        <w:t>本人</w:t>
      </w:r>
      <w:r>
        <w:rPr>
          <w:rFonts w:hint="eastAsia" w:cs="宋体"/>
          <w:i w:val="0"/>
          <w:iCs w:val="0"/>
          <w:color w:val="auto"/>
          <w:kern w:val="0"/>
          <w:sz w:val="24"/>
          <w:szCs w:val="24"/>
          <w:highlight w:val="none"/>
          <w:lang w:eastAsia="zh-CN"/>
        </w:rPr>
        <w:t>）</w:t>
      </w:r>
      <w:r>
        <w:rPr>
          <w:rFonts w:hint="eastAsia" w:ascii="宋体" w:hAnsi="宋体" w:eastAsia="宋体" w:cs="宋体"/>
          <w:i w:val="0"/>
          <w:iCs w:val="0"/>
          <w:color w:val="auto"/>
          <w:kern w:val="0"/>
          <w:sz w:val="24"/>
          <w:szCs w:val="24"/>
          <w:highlight w:val="none"/>
        </w:rPr>
        <w:t>或授权代表</w:t>
      </w:r>
      <w:r>
        <w:rPr>
          <w:rFonts w:hint="eastAsia" w:ascii="宋体" w:hAnsi="宋体" w:eastAsia="宋体" w:cs="宋体"/>
          <w:i w:val="0"/>
          <w:iCs w:val="0"/>
          <w:color w:val="auto"/>
          <w:kern w:val="0"/>
          <w:sz w:val="24"/>
          <w:szCs w:val="24"/>
          <w:highlight w:val="none"/>
          <w:lang w:eastAsia="zh-CN"/>
        </w:rPr>
        <w:t>（</w:t>
      </w:r>
      <w:r>
        <w:rPr>
          <w:rFonts w:hint="eastAsia" w:ascii="宋体" w:hAnsi="宋体" w:eastAsia="宋体" w:cs="宋体"/>
          <w:i w:val="0"/>
          <w:iCs w:val="0"/>
          <w:color w:val="auto"/>
          <w:kern w:val="0"/>
          <w:sz w:val="24"/>
          <w:szCs w:val="24"/>
          <w:highlight w:val="none"/>
        </w:rPr>
        <w:t>签字或印章</w:t>
      </w:r>
      <w:r>
        <w:rPr>
          <w:rFonts w:hint="eastAsia" w:ascii="宋体" w:hAnsi="宋体" w:eastAsia="宋体" w:cs="宋体"/>
          <w:i w:val="0"/>
          <w:iCs w:val="0"/>
          <w:color w:val="auto"/>
          <w:kern w:val="0"/>
          <w:sz w:val="24"/>
          <w:szCs w:val="24"/>
          <w:highlight w:val="none"/>
          <w:lang w:eastAsia="zh-CN"/>
        </w:rPr>
        <w:t>）</w:t>
      </w:r>
      <w:r>
        <w:rPr>
          <w:rFonts w:hint="eastAsia" w:ascii="宋体" w:hAnsi="宋体" w:eastAsia="宋体" w:cs="宋体"/>
          <w:i w:val="0"/>
          <w:iCs w:val="0"/>
          <w:color w:val="auto"/>
          <w:kern w:val="0"/>
          <w:sz w:val="24"/>
          <w:szCs w:val="24"/>
          <w:highlight w:val="none"/>
        </w:rPr>
        <w:t>：</w:t>
      </w:r>
    </w:p>
    <w:p w14:paraId="70537BEA">
      <w:pPr>
        <w:spacing w:line="560" w:lineRule="exact"/>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rPr>
        <w:t>日期： 年 月 日</w:t>
      </w:r>
    </w:p>
    <w:p w14:paraId="5DC090E5">
      <w:pPr>
        <w:rPr>
          <w:rFonts w:hint="eastAsia" w:ascii="Arial" w:hAnsi="Arial" w:cs="Arial"/>
          <w:i w:val="0"/>
          <w:iCs w:val="0"/>
          <w:color w:val="auto"/>
          <w:sz w:val="21"/>
          <w:szCs w:val="21"/>
          <w:highlight w:val="none"/>
          <w:lang w:val="en-US" w:eastAsia="zh-CN"/>
        </w:rPr>
      </w:pPr>
      <w:r>
        <w:rPr>
          <w:rFonts w:hint="eastAsia" w:ascii="Arial" w:hAnsi="Arial" w:cs="Arial"/>
          <w:i w:val="0"/>
          <w:iCs w:val="0"/>
          <w:color w:val="auto"/>
          <w:sz w:val="21"/>
          <w:szCs w:val="21"/>
          <w:highlight w:val="none"/>
          <w:lang w:val="en-US" w:eastAsia="zh-CN"/>
        </w:rPr>
        <w:br w:type="page"/>
      </w:r>
    </w:p>
    <w:bookmarkEnd w:id="670"/>
    <w:p w14:paraId="23739241">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cs="宋体"/>
          <w:b/>
          <w:bCs/>
          <w:i w:val="0"/>
          <w:iCs w:val="0"/>
          <w:color w:val="auto"/>
          <w:kern w:val="2"/>
          <w:sz w:val="28"/>
          <w:szCs w:val="28"/>
          <w:highlight w:val="none"/>
          <w:lang w:val="zh-CN" w:eastAsia="zh-CN" w:bidi="ar-SA"/>
        </w:rPr>
      </w:pPr>
      <w:bookmarkStart w:id="672" w:name="_Toc6611"/>
      <w:r>
        <w:rPr>
          <w:rFonts w:hint="eastAsia" w:cs="宋体"/>
          <w:b/>
          <w:bCs/>
          <w:i w:val="0"/>
          <w:iCs w:val="0"/>
          <w:color w:val="auto"/>
          <w:kern w:val="2"/>
          <w:sz w:val="28"/>
          <w:szCs w:val="28"/>
          <w:highlight w:val="none"/>
          <w:lang w:val="en-US" w:eastAsia="zh-CN" w:bidi="ar-SA"/>
        </w:rPr>
        <w:t>六</w:t>
      </w:r>
      <w:r>
        <w:rPr>
          <w:rFonts w:hint="eastAsia" w:ascii="等线 Light" w:hAnsi="等线 Light" w:eastAsia="宋体" w:cs="宋体"/>
          <w:b/>
          <w:bCs/>
          <w:i w:val="0"/>
          <w:iCs w:val="0"/>
          <w:color w:val="auto"/>
          <w:kern w:val="2"/>
          <w:sz w:val="28"/>
          <w:szCs w:val="28"/>
          <w:highlight w:val="none"/>
          <w:lang w:val="en-US" w:eastAsia="zh-CN" w:bidi="ar-SA"/>
        </w:rPr>
        <w:t>、</w:t>
      </w:r>
      <w:r>
        <w:rPr>
          <w:rFonts w:hint="eastAsia" w:ascii="等线 Light" w:hAnsi="等线 Light" w:eastAsia="宋体" w:cs="宋体"/>
          <w:b/>
          <w:bCs/>
          <w:i w:val="0"/>
          <w:iCs w:val="0"/>
          <w:color w:val="auto"/>
          <w:kern w:val="2"/>
          <w:sz w:val="28"/>
          <w:szCs w:val="28"/>
          <w:highlight w:val="none"/>
          <w:lang w:val="zh-CN" w:eastAsia="zh-CN" w:bidi="ar-SA"/>
        </w:rPr>
        <w:t>其他资格证明文件</w:t>
      </w:r>
      <w:bookmarkEnd w:id="672"/>
    </w:p>
    <w:p w14:paraId="06F16772">
      <w:pPr>
        <w:pStyle w:val="38"/>
        <w:rPr>
          <w:rFonts w:hint="eastAsia"/>
          <w:i w:val="0"/>
          <w:iCs w:val="0"/>
          <w:color w:val="auto"/>
          <w:highlight w:val="none"/>
        </w:rPr>
      </w:pPr>
      <w:r>
        <w:rPr>
          <w:rFonts w:hint="eastAsia" w:cs="Courier New"/>
          <w:i w:val="0"/>
          <w:iCs w:val="0"/>
          <w:color w:val="auto"/>
          <w:szCs w:val="24"/>
          <w:highlight w:val="none"/>
          <w:lang w:val="en-US" w:eastAsia="zh-CN"/>
        </w:rPr>
        <w:t>供应商</w:t>
      </w:r>
      <w:r>
        <w:rPr>
          <w:rFonts w:hint="eastAsia" w:cs="Courier New"/>
          <w:i w:val="0"/>
          <w:iCs w:val="0"/>
          <w:color w:val="auto"/>
          <w:szCs w:val="24"/>
          <w:highlight w:val="none"/>
        </w:rPr>
        <w:t>认为需提供的其它相关资格证明材料</w:t>
      </w:r>
    </w:p>
    <w:p w14:paraId="1B51E106">
      <w:pPr>
        <w:pStyle w:val="38"/>
        <w:rPr>
          <w:rFonts w:hint="eastAsia"/>
          <w:i w:val="0"/>
          <w:iCs w:val="0"/>
          <w:color w:val="auto"/>
          <w:highlight w:val="none"/>
        </w:rPr>
      </w:pPr>
    </w:p>
    <w:p w14:paraId="0F1D273A">
      <w:pPr>
        <w:pStyle w:val="38"/>
        <w:rPr>
          <w:rFonts w:hint="eastAsia"/>
          <w:i w:val="0"/>
          <w:iCs w:val="0"/>
          <w:color w:val="auto"/>
          <w:highlight w:val="none"/>
        </w:rPr>
      </w:pPr>
    </w:p>
    <w:p w14:paraId="7AAFC1D3">
      <w:pPr>
        <w:pStyle w:val="38"/>
        <w:rPr>
          <w:rFonts w:hint="eastAsia"/>
          <w:i w:val="0"/>
          <w:iCs w:val="0"/>
          <w:color w:val="auto"/>
          <w:highlight w:val="none"/>
        </w:rPr>
      </w:pPr>
    </w:p>
    <w:p w14:paraId="7EDCD6D6">
      <w:pPr>
        <w:pStyle w:val="38"/>
        <w:rPr>
          <w:rFonts w:hint="eastAsia"/>
          <w:i w:val="0"/>
          <w:iCs w:val="0"/>
          <w:color w:val="auto"/>
          <w:highlight w:val="none"/>
        </w:rPr>
      </w:pPr>
    </w:p>
    <w:p w14:paraId="1305BADC">
      <w:pPr>
        <w:pStyle w:val="38"/>
        <w:rPr>
          <w:rFonts w:hint="eastAsia"/>
          <w:i w:val="0"/>
          <w:iCs w:val="0"/>
          <w:color w:val="auto"/>
          <w:highlight w:val="none"/>
        </w:rPr>
      </w:pPr>
    </w:p>
    <w:p w14:paraId="53051F4C">
      <w:pPr>
        <w:pStyle w:val="38"/>
        <w:rPr>
          <w:rFonts w:hint="eastAsia"/>
          <w:i w:val="0"/>
          <w:iCs w:val="0"/>
          <w:color w:val="auto"/>
          <w:highlight w:val="none"/>
        </w:rPr>
      </w:pPr>
    </w:p>
    <w:p w14:paraId="3D8BD630">
      <w:pPr>
        <w:pStyle w:val="38"/>
        <w:rPr>
          <w:rFonts w:hint="eastAsia"/>
          <w:i w:val="0"/>
          <w:iCs w:val="0"/>
          <w:color w:val="auto"/>
          <w:highlight w:val="none"/>
        </w:rPr>
      </w:pPr>
    </w:p>
    <w:p w14:paraId="5A196B35">
      <w:pPr>
        <w:pStyle w:val="38"/>
        <w:rPr>
          <w:rFonts w:hint="eastAsia"/>
          <w:i w:val="0"/>
          <w:iCs w:val="0"/>
          <w:color w:val="auto"/>
          <w:highlight w:val="none"/>
        </w:rPr>
      </w:pPr>
    </w:p>
    <w:p w14:paraId="38A0382C">
      <w:pPr>
        <w:pStyle w:val="38"/>
        <w:rPr>
          <w:rFonts w:hint="eastAsia"/>
          <w:i w:val="0"/>
          <w:iCs w:val="0"/>
          <w:color w:val="auto"/>
          <w:highlight w:val="none"/>
        </w:rPr>
      </w:pPr>
    </w:p>
    <w:p w14:paraId="6EEAE1B9">
      <w:pPr>
        <w:pStyle w:val="38"/>
        <w:rPr>
          <w:rFonts w:hint="eastAsia"/>
          <w:i w:val="0"/>
          <w:iCs w:val="0"/>
          <w:color w:val="auto"/>
          <w:highlight w:val="none"/>
        </w:rPr>
      </w:pPr>
    </w:p>
    <w:p w14:paraId="3BF1D240">
      <w:pPr>
        <w:pStyle w:val="38"/>
        <w:rPr>
          <w:rFonts w:hint="eastAsia"/>
          <w:i w:val="0"/>
          <w:iCs w:val="0"/>
          <w:color w:val="auto"/>
          <w:highlight w:val="none"/>
        </w:rPr>
      </w:pPr>
    </w:p>
    <w:p w14:paraId="7C2C3269">
      <w:pPr>
        <w:pStyle w:val="38"/>
        <w:rPr>
          <w:rFonts w:hint="eastAsia"/>
          <w:i w:val="0"/>
          <w:iCs w:val="0"/>
          <w:color w:val="auto"/>
          <w:highlight w:val="none"/>
        </w:rPr>
      </w:pPr>
    </w:p>
    <w:p w14:paraId="7FB6C872">
      <w:pPr>
        <w:pStyle w:val="38"/>
        <w:rPr>
          <w:rFonts w:hint="eastAsia"/>
          <w:i w:val="0"/>
          <w:iCs w:val="0"/>
          <w:color w:val="auto"/>
          <w:highlight w:val="none"/>
        </w:rPr>
      </w:pPr>
    </w:p>
    <w:p w14:paraId="54067F3D">
      <w:pPr>
        <w:pStyle w:val="38"/>
        <w:rPr>
          <w:rFonts w:hint="eastAsia"/>
          <w:i w:val="0"/>
          <w:iCs w:val="0"/>
          <w:color w:val="auto"/>
          <w:highlight w:val="none"/>
        </w:rPr>
      </w:pPr>
    </w:p>
    <w:p w14:paraId="4813FD1D">
      <w:pPr>
        <w:pStyle w:val="38"/>
        <w:rPr>
          <w:rFonts w:hint="eastAsia"/>
          <w:i w:val="0"/>
          <w:iCs w:val="0"/>
          <w:color w:val="auto"/>
          <w:highlight w:val="none"/>
        </w:rPr>
      </w:pPr>
    </w:p>
    <w:p w14:paraId="4FFA64B2">
      <w:pPr>
        <w:pStyle w:val="38"/>
        <w:rPr>
          <w:rFonts w:hint="eastAsia"/>
          <w:i w:val="0"/>
          <w:iCs w:val="0"/>
          <w:color w:val="auto"/>
          <w:highlight w:val="none"/>
        </w:rPr>
      </w:pPr>
    </w:p>
    <w:p w14:paraId="76F47E92">
      <w:pPr>
        <w:pStyle w:val="38"/>
        <w:rPr>
          <w:rFonts w:hint="eastAsia"/>
          <w:i w:val="0"/>
          <w:iCs w:val="0"/>
          <w:color w:val="auto"/>
          <w:highlight w:val="none"/>
        </w:rPr>
      </w:pPr>
    </w:p>
    <w:p w14:paraId="537C4519">
      <w:pPr>
        <w:pStyle w:val="38"/>
        <w:rPr>
          <w:rFonts w:hint="eastAsia"/>
          <w:i w:val="0"/>
          <w:iCs w:val="0"/>
          <w:color w:val="auto"/>
          <w:highlight w:val="none"/>
        </w:rPr>
      </w:pPr>
    </w:p>
    <w:p w14:paraId="7E7E2339">
      <w:pPr>
        <w:pStyle w:val="38"/>
        <w:rPr>
          <w:rFonts w:hint="eastAsia"/>
          <w:i w:val="0"/>
          <w:iCs w:val="0"/>
          <w:color w:val="auto"/>
          <w:highlight w:val="none"/>
        </w:rPr>
      </w:pPr>
    </w:p>
    <w:p w14:paraId="36C9367C">
      <w:pPr>
        <w:pStyle w:val="38"/>
        <w:rPr>
          <w:rFonts w:hint="eastAsia"/>
          <w:i w:val="0"/>
          <w:iCs w:val="0"/>
          <w:color w:val="auto"/>
          <w:highlight w:val="none"/>
        </w:rPr>
      </w:pPr>
    </w:p>
    <w:p w14:paraId="6AE4402C">
      <w:pPr>
        <w:pStyle w:val="38"/>
        <w:rPr>
          <w:rFonts w:hint="eastAsia"/>
          <w:i w:val="0"/>
          <w:iCs w:val="0"/>
          <w:color w:val="auto"/>
          <w:highlight w:val="none"/>
        </w:rPr>
      </w:pPr>
    </w:p>
    <w:p w14:paraId="40A143CC">
      <w:pPr>
        <w:pStyle w:val="38"/>
        <w:rPr>
          <w:rFonts w:hint="eastAsia"/>
          <w:i w:val="0"/>
          <w:iCs w:val="0"/>
          <w:color w:val="auto"/>
          <w:highlight w:val="none"/>
        </w:rPr>
      </w:pPr>
    </w:p>
    <w:p w14:paraId="17DBA801">
      <w:pPr>
        <w:pStyle w:val="38"/>
        <w:rPr>
          <w:rFonts w:hint="eastAsia"/>
          <w:i w:val="0"/>
          <w:iCs w:val="0"/>
          <w:color w:val="auto"/>
          <w:highlight w:val="none"/>
        </w:rPr>
      </w:pPr>
    </w:p>
    <w:p w14:paraId="5B8711C4">
      <w:pPr>
        <w:pStyle w:val="38"/>
        <w:rPr>
          <w:rFonts w:hint="eastAsia"/>
          <w:i w:val="0"/>
          <w:iCs w:val="0"/>
          <w:color w:val="auto"/>
          <w:highlight w:val="none"/>
        </w:rPr>
      </w:pPr>
    </w:p>
    <w:p w14:paraId="660F5EB7">
      <w:pPr>
        <w:pStyle w:val="38"/>
        <w:rPr>
          <w:rFonts w:hint="eastAsia"/>
          <w:i w:val="0"/>
          <w:iCs w:val="0"/>
          <w:color w:val="auto"/>
          <w:highlight w:val="none"/>
        </w:rPr>
      </w:pPr>
    </w:p>
    <w:p w14:paraId="07DD9FDF">
      <w:pPr>
        <w:pStyle w:val="38"/>
        <w:rPr>
          <w:rFonts w:hint="eastAsia"/>
          <w:i w:val="0"/>
          <w:iCs w:val="0"/>
          <w:color w:val="auto"/>
          <w:highlight w:val="none"/>
        </w:rPr>
      </w:pPr>
    </w:p>
    <w:p w14:paraId="60B75B0B">
      <w:pPr>
        <w:pStyle w:val="68"/>
        <w:keepNext w:val="0"/>
        <w:keepLines w:val="0"/>
        <w:pageBreakBefore w:val="0"/>
        <w:widowControl/>
        <w:shd w:val="clear" w:color="auto" w:fill="auto"/>
        <w:kinsoku/>
        <w:wordWrap/>
        <w:overflowPunct/>
        <w:topLinePunct w:val="0"/>
        <w:autoSpaceDE/>
        <w:autoSpaceDN/>
        <w:bidi w:val="0"/>
        <w:adjustRightInd/>
        <w:snapToGrid/>
        <w:spacing w:afterAutospacing="0" w:line="360" w:lineRule="exact"/>
        <w:textAlignment w:val="auto"/>
        <w:rPr>
          <w:rFonts w:hint="eastAsia" w:ascii="宋体" w:hAnsi="宋体" w:eastAsia="宋体" w:cs="宋体"/>
          <w:b/>
          <w:bCs/>
          <w:i w:val="0"/>
          <w:iCs w:val="0"/>
          <w:color w:val="auto"/>
          <w:highlight w:val="none"/>
          <w:lang w:val="en-US" w:eastAsia="zh-CN"/>
        </w:rPr>
      </w:pPr>
    </w:p>
    <w:p w14:paraId="41EFAF7C">
      <w:pPr>
        <w:rPr>
          <w:rFonts w:hint="eastAsia" w:cs="仿宋_GB2312"/>
          <w:i w:val="0"/>
          <w:iCs w:val="0"/>
          <w:color w:val="auto"/>
          <w:szCs w:val="24"/>
          <w:highlight w:val="none"/>
          <w:lang w:val="zh-CN"/>
        </w:rPr>
      </w:pPr>
      <w:r>
        <w:rPr>
          <w:rFonts w:hint="eastAsia" w:cs="仿宋_GB2312"/>
          <w:i w:val="0"/>
          <w:iCs w:val="0"/>
          <w:color w:val="auto"/>
          <w:szCs w:val="24"/>
          <w:highlight w:val="none"/>
          <w:lang w:val="zh-CN"/>
        </w:rPr>
        <w:br w:type="page"/>
      </w:r>
    </w:p>
    <w:p w14:paraId="47FB7E5D">
      <w:pPr>
        <w:ind w:firstLine="480" w:firstLineChars="200"/>
        <w:rPr>
          <w:rFonts w:cs="仿宋_GB2312"/>
          <w:i w:val="0"/>
          <w:iCs w:val="0"/>
          <w:color w:val="auto"/>
          <w:szCs w:val="24"/>
          <w:highlight w:val="none"/>
          <w:lang w:val="zh-CN"/>
        </w:rPr>
      </w:pPr>
      <w:r>
        <w:rPr>
          <w:rFonts w:hint="eastAsia" w:cs="仿宋_GB2312"/>
          <w:i w:val="0"/>
          <w:iCs w:val="0"/>
          <w:color w:val="auto"/>
          <w:szCs w:val="24"/>
          <w:highlight w:val="none"/>
          <w:lang w:val="zh-CN"/>
        </w:rPr>
        <w:t>封面：</w:t>
      </w:r>
    </w:p>
    <w:p w14:paraId="453347CB">
      <w:pPr>
        <w:autoSpaceDE w:val="0"/>
        <w:autoSpaceDN w:val="0"/>
        <w:adjustRightInd w:val="0"/>
        <w:rPr>
          <w:i w:val="0"/>
          <w:iCs w:val="0"/>
          <w:color w:val="auto"/>
          <w:sz w:val="21"/>
          <w:szCs w:val="24"/>
          <w:highlight w:val="none"/>
        </w:rPr>
      </w:pPr>
    </w:p>
    <w:p w14:paraId="4778BF56">
      <w:pPr>
        <w:autoSpaceDE w:val="0"/>
        <w:autoSpaceDN w:val="0"/>
        <w:adjustRightInd w:val="0"/>
        <w:rPr>
          <w:i w:val="0"/>
          <w:iCs w:val="0"/>
          <w:color w:val="auto"/>
          <w:sz w:val="21"/>
          <w:szCs w:val="24"/>
          <w:highlight w:val="none"/>
        </w:rPr>
      </w:pPr>
    </w:p>
    <w:p w14:paraId="7B4A6F03">
      <w:pPr>
        <w:autoSpaceDE w:val="0"/>
        <w:autoSpaceDN w:val="0"/>
        <w:adjustRightInd w:val="0"/>
        <w:jc w:val="center"/>
        <w:rPr>
          <w:i w:val="0"/>
          <w:iCs w:val="0"/>
          <w:color w:val="auto"/>
          <w:sz w:val="21"/>
          <w:szCs w:val="24"/>
          <w:highlight w:val="none"/>
        </w:rPr>
      </w:pPr>
    </w:p>
    <w:p w14:paraId="4CD5C841">
      <w:pPr>
        <w:pStyle w:val="4"/>
        <w:bidi w:val="0"/>
        <w:spacing w:line="240" w:lineRule="auto"/>
        <w:rPr>
          <w:color w:val="auto"/>
          <w:sz w:val="72"/>
          <w:szCs w:val="72"/>
          <w:highlight w:val="none"/>
        </w:rPr>
      </w:pPr>
      <w:bookmarkStart w:id="673" w:name="_Toc20777"/>
      <w:r>
        <w:rPr>
          <w:rFonts w:hint="eastAsia"/>
          <w:color w:val="auto"/>
          <w:sz w:val="72"/>
          <w:szCs w:val="72"/>
          <w:highlight w:val="none"/>
          <w:lang w:val="en-US" w:eastAsia="zh-CN"/>
        </w:rPr>
        <w:t>响 应</w:t>
      </w:r>
      <w:r>
        <w:rPr>
          <w:rFonts w:hint="eastAsia"/>
          <w:color w:val="auto"/>
          <w:sz w:val="72"/>
          <w:szCs w:val="72"/>
          <w:highlight w:val="none"/>
        </w:rPr>
        <w:t xml:space="preserve"> 文 件</w:t>
      </w:r>
      <w:bookmarkEnd w:id="673"/>
    </w:p>
    <w:p w14:paraId="51A9A962">
      <w:pPr>
        <w:pStyle w:val="4"/>
        <w:bidi w:val="0"/>
        <w:spacing w:line="240" w:lineRule="auto"/>
        <w:rPr>
          <w:rFonts w:hint="eastAsia"/>
          <w:color w:val="auto"/>
          <w:sz w:val="72"/>
          <w:szCs w:val="72"/>
          <w:highlight w:val="none"/>
          <w:lang w:val="en-US" w:eastAsia="zh-CN"/>
        </w:rPr>
      </w:pPr>
      <w:bookmarkStart w:id="674" w:name="_Toc25659"/>
      <w:r>
        <w:rPr>
          <w:rFonts w:hint="eastAsia"/>
          <w:color w:val="auto"/>
          <w:sz w:val="72"/>
          <w:szCs w:val="72"/>
          <w:highlight w:val="none"/>
          <w:lang w:val="en-US" w:eastAsia="zh-CN"/>
        </w:rPr>
        <w:t>报价文件</w:t>
      </w:r>
      <w:bookmarkEnd w:id="674"/>
    </w:p>
    <w:p w14:paraId="006CC0EB">
      <w:pPr>
        <w:autoSpaceDE w:val="0"/>
        <w:autoSpaceDN w:val="0"/>
        <w:adjustRightInd w:val="0"/>
        <w:jc w:val="center"/>
        <w:rPr>
          <w:rFonts w:hint="eastAsia" w:eastAsia="宋体"/>
          <w:i w:val="0"/>
          <w:iCs w:val="0"/>
          <w:color w:val="auto"/>
          <w:sz w:val="36"/>
          <w:szCs w:val="36"/>
          <w:highlight w:val="none"/>
          <w:lang w:eastAsia="zh-CN"/>
        </w:rPr>
      </w:pPr>
    </w:p>
    <w:p w14:paraId="15912C44">
      <w:pPr>
        <w:outlineLvl w:val="9"/>
        <w:rPr>
          <w:i w:val="0"/>
          <w:iCs w:val="0"/>
          <w:color w:val="auto"/>
          <w:sz w:val="21"/>
          <w:szCs w:val="21"/>
          <w:highlight w:val="none"/>
        </w:rPr>
      </w:pPr>
    </w:p>
    <w:p w14:paraId="525BAEC8">
      <w:pPr>
        <w:rPr>
          <w:i w:val="0"/>
          <w:iCs w:val="0"/>
          <w:color w:val="auto"/>
          <w:sz w:val="21"/>
          <w:szCs w:val="21"/>
          <w:highlight w:val="none"/>
        </w:rPr>
      </w:pPr>
    </w:p>
    <w:p w14:paraId="0043D65F">
      <w:pPr>
        <w:rPr>
          <w:i w:val="0"/>
          <w:iCs w:val="0"/>
          <w:color w:val="auto"/>
          <w:highlight w:val="none"/>
        </w:rPr>
      </w:pPr>
    </w:p>
    <w:p w14:paraId="6F460F00">
      <w:pPr>
        <w:autoSpaceDE w:val="0"/>
        <w:autoSpaceDN w:val="0"/>
        <w:adjustRightInd w:val="0"/>
        <w:rPr>
          <w:i w:val="0"/>
          <w:iCs w:val="0"/>
          <w:color w:val="auto"/>
          <w:sz w:val="21"/>
          <w:szCs w:val="21"/>
          <w:highlight w:val="none"/>
        </w:rPr>
      </w:pPr>
    </w:p>
    <w:p w14:paraId="50D2328A">
      <w:pPr>
        <w:autoSpaceDE w:val="0"/>
        <w:autoSpaceDN w:val="0"/>
        <w:adjustRightInd w:val="0"/>
        <w:rPr>
          <w:i w:val="0"/>
          <w:iCs w:val="0"/>
          <w:color w:val="auto"/>
          <w:sz w:val="21"/>
          <w:szCs w:val="21"/>
          <w:highlight w:val="none"/>
        </w:rPr>
      </w:pPr>
    </w:p>
    <w:p w14:paraId="4E1D1DC3">
      <w:pPr>
        <w:ind w:left="420" w:leftChars="175"/>
        <w:rPr>
          <w:rFonts w:hint="eastAsia" w:ascii="宋体" w:hAnsi="宋体" w:eastAsia="宋体" w:cs="宋体"/>
          <w:i w:val="0"/>
          <w:iCs w:val="0"/>
          <w:color w:val="auto"/>
          <w:sz w:val="36"/>
          <w:szCs w:val="36"/>
          <w:highlight w:val="none"/>
        </w:rPr>
      </w:pPr>
      <w:r>
        <w:rPr>
          <w:rFonts w:hint="eastAsia" w:ascii="宋体" w:hAnsi="宋体" w:eastAsia="宋体" w:cs="宋体"/>
          <w:i w:val="0"/>
          <w:iCs w:val="0"/>
          <w:color w:val="auto"/>
          <w:sz w:val="36"/>
          <w:szCs w:val="36"/>
          <w:highlight w:val="none"/>
        </w:rPr>
        <w:t>项目编号</w:t>
      </w:r>
      <w:r>
        <w:rPr>
          <w:rFonts w:hint="eastAsia" w:ascii="宋体" w:hAnsi="宋体" w:eastAsia="宋体" w:cs="宋体"/>
          <w:i w:val="0"/>
          <w:iCs w:val="0"/>
          <w:color w:val="auto"/>
          <w:sz w:val="36"/>
          <w:szCs w:val="36"/>
          <w:highlight w:val="none"/>
          <w:lang w:val="en-US" w:eastAsia="zh-CN"/>
        </w:rPr>
        <w:t>/包号</w:t>
      </w:r>
      <w:r>
        <w:rPr>
          <w:rFonts w:hint="eastAsia" w:ascii="宋体" w:hAnsi="宋体" w:eastAsia="宋体" w:cs="宋体"/>
          <w:i w:val="0"/>
          <w:iCs w:val="0"/>
          <w:color w:val="auto"/>
          <w:sz w:val="36"/>
          <w:szCs w:val="36"/>
          <w:highlight w:val="none"/>
        </w:rPr>
        <w:t>：</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2C049DC9">
      <w:pPr>
        <w:ind w:left="420" w:leftChars="175"/>
        <w:rPr>
          <w:rFonts w:hint="eastAsia" w:ascii="宋体" w:hAnsi="宋体" w:eastAsia="宋体" w:cs="宋体"/>
          <w:i w:val="0"/>
          <w:iCs w:val="0"/>
          <w:color w:val="auto"/>
          <w:sz w:val="36"/>
          <w:szCs w:val="36"/>
          <w:highlight w:val="none"/>
        </w:rPr>
      </w:pPr>
      <w:r>
        <w:rPr>
          <w:rFonts w:hint="eastAsia" w:ascii="宋体" w:hAnsi="宋体" w:eastAsia="宋体" w:cs="宋体"/>
          <w:i w:val="0"/>
          <w:iCs w:val="0"/>
          <w:color w:val="auto"/>
          <w:sz w:val="36"/>
          <w:szCs w:val="36"/>
          <w:highlight w:val="none"/>
        </w:rPr>
        <w:t>项目名称：</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58F17180">
      <w:pPr>
        <w:ind w:left="420" w:leftChars="175"/>
        <w:rPr>
          <w:rFonts w:hint="eastAsia" w:ascii="宋体" w:hAnsi="宋体" w:eastAsia="宋体" w:cs="宋体"/>
          <w:i w:val="0"/>
          <w:iCs w:val="0"/>
          <w:color w:val="auto"/>
          <w:sz w:val="36"/>
          <w:szCs w:val="36"/>
          <w:highlight w:val="none"/>
        </w:rPr>
      </w:pPr>
      <w:r>
        <w:rPr>
          <w:rFonts w:hint="eastAsia" w:cs="宋体"/>
          <w:i w:val="0"/>
          <w:iCs w:val="0"/>
          <w:color w:val="auto"/>
          <w:sz w:val="36"/>
          <w:szCs w:val="36"/>
          <w:highlight w:val="none"/>
          <w:lang w:val="en-US" w:eastAsia="zh-CN"/>
        </w:rPr>
        <w:t>供 应 商</w:t>
      </w:r>
      <w:r>
        <w:rPr>
          <w:rFonts w:hint="eastAsia" w:ascii="宋体" w:hAnsi="宋体" w:eastAsia="宋体" w:cs="宋体"/>
          <w:i w:val="0"/>
          <w:iCs w:val="0"/>
          <w:color w:val="auto"/>
          <w:sz w:val="36"/>
          <w:szCs w:val="36"/>
          <w:highlight w:val="none"/>
        </w:rPr>
        <w:t>：</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44FEB418">
      <w:pPr>
        <w:ind w:left="840" w:firstLine="420"/>
        <w:rPr>
          <w:b/>
          <w:bCs/>
          <w:i w:val="0"/>
          <w:iCs w:val="0"/>
          <w:color w:val="auto"/>
          <w:sz w:val="28"/>
          <w:szCs w:val="28"/>
          <w:highlight w:val="none"/>
        </w:rPr>
      </w:pPr>
    </w:p>
    <w:p w14:paraId="0F061B48">
      <w:pPr>
        <w:ind w:left="840" w:firstLine="420"/>
        <w:rPr>
          <w:b/>
          <w:bCs/>
          <w:i w:val="0"/>
          <w:iCs w:val="0"/>
          <w:color w:val="auto"/>
          <w:sz w:val="28"/>
          <w:szCs w:val="28"/>
          <w:highlight w:val="none"/>
        </w:rPr>
      </w:pPr>
    </w:p>
    <w:p w14:paraId="1092CBDF">
      <w:pPr>
        <w:jc w:val="center"/>
        <w:rPr>
          <w:rFonts w:ascii="黑体" w:hAnsi="黑体" w:eastAsia="黑体"/>
          <w:i w:val="0"/>
          <w:iCs w:val="0"/>
          <w:color w:val="auto"/>
          <w:sz w:val="32"/>
          <w:szCs w:val="32"/>
          <w:highlight w:val="none"/>
        </w:rPr>
      </w:pPr>
      <w:r>
        <w:rPr>
          <w:rFonts w:hint="eastAsia" w:ascii="宋体" w:hAnsi="宋体" w:eastAsia="宋体" w:cs="宋体"/>
          <w:i w:val="0"/>
          <w:iCs w:val="0"/>
          <w:color w:val="auto"/>
          <w:sz w:val="32"/>
          <w:szCs w:val="32"/>
          <w:highlight w:val="none"/>
        </w:rPr>
        <w:t>年   月    日</w:t>
      </w:r>
    </w:p>
    <w:p w14:paraId="4D050C0C">
      <w:pPr>
        <w:rPr>
          <w:i w:val="0"/>
          <w:iCs w:val="0"/>
          <w:color w:val="auto"/>
          <w:highlight w:val="none"/>
          <w:lang w:val="zh-CN"/>
        </w:rPr>
      </w:pPr>
      <w:r>
        <w:rPr>
          <w:i w:val="0"/>
          <w:iCs w:val="0"/>
          <w:color w:val="auto"/>
          <w:highlight w:val="none"/>
          <w:lang w:val="zh-CN"/>
        </w:rPr>
        <w:br w:type="page"/>
      </w:r>
    </w:p>
    <w:p w14:paraId="7104B0ED">
      <w:pPr>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outlineLvl w:val="9"/>
        <w:rPr>
          <w:rFonts w:hint="eastAsia" w:cs="宋体"/>
          <w:b/>
          <w:bCs/>
          <w:i w:val="0"/>
          <w:iCs w:val="0"/>
          <w:color w:val="auto"/>
          <w:kern w:val="2"/>
          <w:sz w:val="32"/>
          <w:szCs w:val="32"/>
          <w:highlight w:val="none"/>
          <w:lang w:val="en-US" w:eastAsia="zh-CN" w:bidi="ar-SA"/>
        </w:rPr>
      </w:pPr>
    </w:p>
    <w:p w14:paraId="5A337564">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cs="仿宋_GB2312"/>
          <w:i w:val="0"/>
          <w:iCs w:val="0"/>
          <w:color w:val="auto"/>
          <w:szCs w:val="24"/>
          <w:highlight w:val="none"/>
        </w:rPr>
      </w:pPr>
      <w:bookmarkStart w:id="675" w:name="_Toc22453"/>
      <w:r>
        <w:rPr>
          <w:rFonts w:hint="eastAsia" w:cs="宋体"/>
          <w:b/>
          <w:bCs/>
          <w:i w:val="0"/>
          <w:iCs w:val="0"/>
          <w:color w:val="auto"/>
          <w:kern w:val="2"/>
          <w:sz w:val="32"/>
          <w:szCs w:val="32"/>
          <w:highlight w:val="none"/>
          <w:lang w:val="en-US" w:eastAsia="zh-CN" w:bidi="ar-SA"/>
        </w:rPr>
        <w:t>一、报价一览表</w:t>
      </w:r>
      <w:bookmarkEnd w:id="675"/>
    </w:p>
    <w:p w14:paraId="3569B8D2">
      <w:pPr>
        <w:rPr>
          <w:b w:val="0"/>
          <w:bCs/>
          <w:i w:val="0"/>
          <w:iCs w:val="0"/>
          <w:color w:val="auto"/>
          <w:szCs w:val="21"/>
          <w:highlight w:val="none"/>
          <w:lang w:val="zh-CN"/>
        </w:rPr>
      </w:pPr>
      <w:r>
        <w:rPr>
          <w:rFonts w:hint="eastAsia"/>
          <w:b w:val="0"/>
          <w:bCs/>
          <w:i w:val="0"/>
          <w:iCs w:val="0"/>
          <w:color w:val="auto"/>
          <w:szCs w:val="21"/>
          <w:highlight w:val="none"/>
          <w:lang w:val="zh-CN"/>
        </w:rPr>
        <w:t>项目名称：</w:t>
      </w:r>
      <w:r>
        <w:rPr>
          <w:rFonts w:hint="eastAsia"/>
          <w:b w:val="0"/>
          <w:bCs/>
          <w:i w:val="0"/>
          <w:iCs w:val="0"/>
          <w:color w:val="auto"/>
          <w:szCs w:val="21"/>
          <w:highlight w:val="none"/>
          <w:u w:val="single"/>
          <w:lang w:val="zh-CN"/>
        </w:rPr>
        <w:t xml:space="preserve">                     </w:t>
      </w:r>
    </w:p>
    <w:p w14:paraId="7E7566C4">
      <w:pPr>
        <w:rPr>
          <w:rFonts w:hint="eastAsia"/>
          <w:b w:val="0"/>
          <w:bCs/>
          <w:i w:val="0"/>
          <w:iCs w:val="0"/>
          <w:color w:val="auto"/>
          <w:szCs w:val="21"/>
          <w:highlight w:val="none"/>
          <w:u w:val="single"/>
          <w:lang w:val="zh-CN"/>
        </w:rPr>
      </w:pPr>
      <w:r>
        <w:rPr>
          <w:rFonts w:hint="eastAsia"/>
          <w:b w:val="0"/>
          <w:bCs/>
          <w:i w:val="0"/>
          <w:iCs w:val="0"/>
          <w:color w:val="auto"/>
          <w:szCs w:val="21"/>
          <w:highlight w:val="none"/>
          <w:lang w:val="zh-CN"/>
        </w:rPr>
        <w:t>项目编号</w:t>
      </w:r>
      <w:r>
        <w:rPr>
          <w:rFonts w:hint="eastAsia"/>
          <w:b w:val="0"/>
          <w:bCs/>
          <w:i w:val="0"/>
          <w:iCs w:val="0"/>
          <w:color w:val="auto"/>
          <w:szCs w:val="21"/>
          <w:highlight w:val="none"/>
          <w:lang w:val="en-US" w:eastAsia="zh-CN"/>
        </w:rPr>
        <w:t>/</w:t>
      </w:r>
      <w:r>
        <w:rPr>
          <w:rFonts w:hint="eastAsia"/>
          <w:b w:val="0"/>
          <w:bCs/>
          <w:i w:val="0"/>
          <w:iCs w:val="0"/>
          <w:color w:val="auto"/>
          <w:szCs w:val="21"/>
          <w:highlight w:val="none"/>
          <w:lang w:val="zh-CN"/>
        </w:rPr>
        <w:t>包号：</w:t>
      </w:r>
      <w:r>
        <w:rPr>
          <w:rFonts w:hint="eastAsia"/>
          <w:b w:val="0"/>
          <w:bCs/>
          <w:i w:val="0"/>
          <w:iCs w:val="0"/>
          <w:color w:val="auto"/>
          <w:szCs w:val="21"/>
          <w:highlight w:val="none"/>
          <w:u w:val="single"/>
          <w:lang w:val="zh-CN"/>
        </w:rPr>
        <w:t xml:space="preserve">                </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4980"/>
        <w:gridCol w:w="1746"/>
      </w:tblGrid>
      <w:tr w14:paraId="42C4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14:paraId="1D6CFA85">
            <w:pPr>
              <w:rPr>
                <w:rFonts w:hint="default" w:eastAsia="宋体"/>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供应商名称</w:t>
            </w:r>
          </w:p>
        </w:tc>
        <w:tc>
          <w:tcPr>
            <w:tcW w:w="4980" w:type="dxa"/>
          </w:tcPr>
          <w:p w14:paraId="6A5EE9FA">
            <w:pPr>
              <w:rPr>
                <w:rFonts w:hint="eastAsia"/>
                <w:b w:val="0"/>
                <w:bCs/>
                <w:i w:val="0"/>
                <w:iCs w:val="0"/>
                <w:color w:val="auto"/>
                <w:szCs w:val="21"/>
                <w:highlight w:val="none"/>
                <w:u w:val="none"/>
                <w:vertAlign w:val="baseline"/>
                <w:lang w:val="zh-CN"/>
              </w:rPr>
            </w:pPr>
          </w:p>
        </w:tc>
        <w:tc>
          <w:tcPr>
            <w:tcW w:w="1746" w:type="dxa"/>
          </w:tcPr>
          <w:p w14:paraId="6C9EF13A">
            <w:pPr>
              <w:rPr>
                <w:rFonts w:hint="eastAsia" w:eastAsia="宋体"/>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备注（如有）</w:t>
            </w:r>
          </w:p>
        </w:tc>
      </w:tr>
      <w:tr w14:paraId="5ED8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14:paraId="0101D46F">
            <w:pPr>
              <w:rPr>
                <w:rFonts w:hint="eastAsia"/>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磋商总报价</w:t>
            </w:r>
          </w:p>
          <w:p w14:paraId="7BA0BFAE">
            <w:pPr>
              <w:rPr>
                <w:rFonts w:hint="eastAsia"/>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（人民币）</w:t>
            </w:r>
          </w:p>
        </w:tc>
        <w:tc>
          <w:tcPr>
            <w:tcW w:w="4980" w:type="dxa"/>
          </w:tcPr>
          <w:p w14:paraId="08BE9890">
            <w:pPr>
              <w:rPr>
                <w:rFonts w:hint="eastAsia"/>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小写：</w:t>
            </w:r>
          </w:p>
          <w:p w14:paraId="2FD16FDE">
            <w:pPr>
              <w:rPr>
                <w:rFonts w:hint="default"/>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大写：</w:t>
            </w:r>
          </w:p>
        </w:tc>
        <w:tc>
          <w:tcPr>
            <w:tcW w:w="1746" w:type="dxa"/>
          </w:tcPr>
          <w:p w14:paraId="004AA98D">
            <w:pPr>
              <w:rPr>
                <w:rFonts w:hint="eastAsia"/>
                <w:b w:val="0"/>
                <w:bCs/>
                <w:i w:val="0"/>
                <w:iCs w:val="0"/>
                <w:color w:val="auto"/>
                <w:szCs w:val="21"/>
                <w:highlight w:val="none"/>
                <w:u w:val="none"/>
                <w:vertAlign w:val="baseline"/>
                <w:lang w:val="zh-CN"/>
              </w:rPr>
            </w:pPr>
          </w:p>
        </w:tc>
      </w:tr>
      <w:tr w14:paraId="5E21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14:paraId="3F495E1A">
            <w:pPr>
              <w:rPr>
                <w:rFonts w:hint="eastAsia" w:eastAsia="宋体"/>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服务期限</w:t>
            </w:r>
          </w:p>
        </w:tc>
        <w:tc>
          <w:tcPr>
            <w:tcW w:w="4980" w:type="dxa"/>
          </w:tcPr>
          <w:p w14:paraId="0FBEFB40">
            <w:pPr>
              <w:rPr>
                <w:rFonts w:hint="eastAsia"/>
                <w:b w:val="0"/>
                <w:bCs/>
                <w:i w:val="0"/>
                <w:iCs w:val="0"/>
                <w:color w:val="auto"/>
                <w:szCs w:val="21"/>
                <w:highlight w:val="none"/>
                <w:u w:val="none"/>
                <w:vertAlign w:val="baseline"/>
                <w:lang w:val="zh-CN"/>
              </w:rPr>
            </w:pPr>
          </w:p>
        </w:tc>
        <w:tc>
          <w:tcPr>
            <w:tcW w:w="1746" w:type="dxa"/>
          </w:tcPr>
          <w:p w14:paraId="21A9AE4C">
            <w:pPr>
              <w:rPr>
                <w:rFonts w:hint="eastAsia"/>
                <w:b w:val="0"/>
                <w:bCs/>
                <w:i w:val="0"/>
                <w:iCs w:val="0"/>
                <w:color w:val="auto"/>
                <w:szCs w:val="21"/>
                <w:highlight w:val="none"/>
                <w:u w:val="none"/>
                <w:vertAlign w:val="baseline"/>
                <w:lang w:val="zh-CN"/>
              </w:rPr>
            </w:pPr>
          </w:p>
        </w:tc>
      </w:tr>
      <w:tr w14:paraId="485E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vAlign w:val="top"/>
          </w:tcPr>
          <w:p w14:paraId="32AECF24">
            <w:pPr>
              <w:rPr>
                <w:rFonts w:hint="eastAsia" w:eastAsia="宋体"/>
                <w:b w:val="0"/>
                <w:bCs/>
                <w:i w:val="0"/>
                <w:iCs w:val="0"/>
                <w:color w:val="auto"/>
                <w:szCs w:val="21"/>
                <w:highlight w:val="none"/>
                <w:u w:val="none"/>
                <w:vertAlign w:val="baseline"/>
                <w:lang w:val="en-US" w:eastAsia="zh-CN"/>
              </w:rPr>
            </w:pPr>
            <w:r>
              <w:rPr>
                <w:rFonts w:hint="eastAsia"/>
                <w:b w:val="0"/>
                <w:bCs/>
                <w:i w:val="0"/>
                <w:iCs w:val="0"/>
                <w:color w:val="auto"/>
                <w:szCs w:val="21"/>
                <w:highlight w:val="none"/>
                <w:u w:val="none"/>
                <w:vertAlign w:val="baseline"/>
                <w:lang w:val="en-US" w:eastAsia="zh-CN"/>
              </w:rPr>
              <w:t>配套货物交付时间</w:t>
            </w:r>
          </w:p>
        </w:tc>
        <w:tc>
          <w:tcPr>
            <w:tcW w:w="4980" w:type="dxa"/>
          </w:tcPr>
          <w:p w14:paraId="20D168EE">
            <w:pPr>
              <w:rPr>
                <w:rFonts w:hint="eastAsia"/>
                <w:b w:val="0"/>
                <w:bCs/>
                <w:i w:val="0"/>
                <w:iCs w:val="0"/>
                <w:color w:val="auto"/>
                <w:szCs w:val="21"/>
                <w:highlight w:val="none"/>
                <w:u w:val="none"/>
                <w:vertAlign w:val="baseline"/>
                <w:lang w:val="zh-CN"/>
              </w:rPr>
            </w:pPr>
          </w:p>
        </w:tc>
        <w:tc>
          <w:tcPr>
            <w:tcW w:w="1746" w:type="dxa"/>
          </w:tcPr>
          <w:p w14:paraId="1D8E906B">
            <w:pPr>
              <w:rPr>
                <w:rFonts w:hint="eastAsia"/>
                <w:b w:val="0"/>
                <w:bCs/>
                <w:i w:val="0"/>
                <w:iCs w:val="0"/>
                <w:color w:val="auto"/>
                <w:szCs w:val="21"/>
                <w:highlight w:val="none"/>
                <w:u w:val="none"/>
                <w:vertAlign w:val="baseline"/>
                <w:lang w:val="zh-CN"/>
              </w:rPr>
            </w:pPr>
          </w:p>
        </w:tc>
      </w:tr>
      <w:tr w14:paraId="78CB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vAlign w:val="top"/>
          </w:tcPr>
          <w:p w14:paraId="69EF85E7">
            <w:pPr>
              <w:rPr>
                <w:rFonts w:hint="eastAsia"/>
                <w:b w:val="0"/>
                <w:bCs/>
                <w:i w:val="0"/>
                <w:iCs w:val="0"/>
                <w:color w:val="auto"/>
                <w:szCs w:val="21"/>
                <w:highlight w:val="none"/>
                <w:u w:val="none"/>
                <w:vertAlign w:val="baseline"/>
                <w:lang w:val="zh-CN"/>
              </w:rPr>
            </w:pPr>
            <w:r>
              <w:rPr>
                <w:rFonts w:hint="eastAsia"/>
                <w:b w:val="0"/>
                <w:bCs/>
                <w:i w:val="0"/>
                <w:iCs w:val="0"/>
                <w:color w:val="auto"/>
                <w:szCs w:val="21"/>
                <w:highlight w:val="none"/>
                <w:u w:val="none"/>
                <w:vertAlign w:val="baseline"/>
                <w:lang w:val="en-US" w:eastAsia="zh-CN"/>
              </w:rPr>
              <w:t>交付地点</w:t>
            </w:r>
          </w:p>
        </w:tc>
        <w:tc>
          <w:tcPr>
            <w:tcW w:w="4980" w:type="dxa"/>
          </w:tcPr>
          <w:p w14:paraId="0A701FB1">
            <w:pPr>
              <w:rPr>
                <w:rFonts w:hint="eastAsia"/>
                <w:b w:val="0"/>
                <w:bCs/>
                <w:i w:val="0"/>
                <w:iCs w:val="0"/>
                <w:color w:val="auto"/>
                <w:szCs w:val="21"/>
                <w:highlight w:val="none"/>
                <w:u w:val="none"/>
                <w:vertAlign w:val="baseline"/>
                <w:lang w:val="zh-CN"/>
              </w:rPr>
            </w:pPr>
          </w:p>
        </w:tc>
        <w:tc>
          <w:tcPr>
            <w:tcW w:w="1746" w:type="dxa"/>
          </w:tcPr>
          <w:p w14:paraId="04F0F4C2">
            <w:pPr>
              <w:rPr>
                <w:rFonts w:hint="eastAsia"/>
                <w:b w:val="0"/>
                <w:bCs/>
                <w:i w:val="0"/>
                <w:iCs w:val="0"/>
                <w:color w:val="auto"/>
                <w:szCs w:val="21"/>
                <w:highlight w:val="none"/>
                <w:u w:val="none"/>
                <w:vertAlign w:val="baseline"/>
                <w:lang w:val="zh-CN"/>
              </w:rPr>
            </w:pPr>
          </w:p>
        </w:tc>
      </w:tr>
      <w:tr w14:paraId="6C8F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vAlign w:val="top"/>
          </w:tcPr>
          <w:p w14:paraId="5D63F8B0">
            <w:pPr>
              <w:rPr>
                <w:rFonts w:hint="eastAsia"/>
                <w:b w:val="0"/>
                <w:bCs/>
                <w:i w:val="0"/>
                <w:iCs w:val="0"/>
                <w:color w:val="auto"/>
                <w:szCs w:val="21"/>
                <w:highlight w:val="none"/>
                <w:u w:val="none"/>
                <w:vertAlign w:val="baseline"/>
                <w:lang w:val="zh-CN"/>
              </w:rPr>
            </w:pPr>
            <w:r>
              <w:rPr>
                <w:rFonts w:hint="eastAsia"/>
                <w:b w:val="0"/>
                <w:bCs/>
                <w:i w:val="0"/>
                <w:iCs w:val="0"/>
                <w:color w:val="auto"/>
                <w:szCs w:val="21"/>
                <w:highlight w:val="none"/>
                <w:u w:val="none"/>
                <w:vertAlign w:val="baseline"/>
                <w:lang w:val="en-US" w:eastAsia="zh-CN"/>
              </w:rPr>
              <w:t>服务范围</w:t>
            </w:r>
          </w:p>
        </w:tc>
        <w:tc>
          <w:tcPr>
            <w:tcW w:w="4980" w:type="dxa"/>
            <w:vAlign w:val="top"/>
          </w:tcPr>
          <w:p w14:paraId="3D697F33">
            <w:pPr>
              <w:rPr>
                <w:rFonts w:hint="eastAsia"/>
                <w:b w:val="0"/>
                <w:bCs/>
                <w:i w:val="0"/>
                <w:iCs w:val="0"/>
                <w:color w:val="auto"/>
                <w:szCs w:val="21"/>
                <w:highlight w:val="none"/>
                <w:u w:val="none"/>
                <w:vertAlign w:val="baseline"/>
                <w:lang w:val="zh-CN"/>
              </w:rPr>
            </w:pPr>
          </w:p>
        </w:tc>
        <w:tc>
          <w:tcPr>
            <w:tcW w:w="1746" w:type="dxa"/>
          </w:tcPr>
          <w:p w14:paraId="7F0FEEBE">
            <w:pPr>
              <w:rPr>
                <w:rFonts w:hint="eastAsia"/>
                <w:b w:val="0"/>
                <w:bCs/>
                <w:i w:val="0"/>
                <w:iCs w:val="0"/>
                <w:color w:val="auto"/>
                <w:szCs w:val="21"/>
                <w:highlight w:val="none"/>
                <w:u w:val="none"/>
                <w:vertAlign w:val="baseline"/>
                <w:lang w:val="zh-CN"/>
              </w:rPr>
            </w:pPr>
          </w:p>
        </w:tc>
      </w:tr>
    </w:tbl>
    <w:p w14:paraId="20DC549A">
      <w:pPr>
        <w:spacing w:line="300" w:lineRule="auto"/>
        <w:rPr>
          <w:rFonts w:ascii="Arial" w:hAnsi="Arial" w:cs="Arial"/>
          <w:i w:val="0"/>
          <w:iCs w:val="0"/>
          <w:color w:val="auto"/>
          <w:szCs w:val="21"/>
          <w:highlight w:val="none"/>
          <w:u w:val="single"/>
        </w:rPr>
      </w:pPr>
    </w:p>
    <w:p w14:paraId="710B9F6C">
      <w:pPr>
        <w:ind w:right="1008" w:firstLine="4284" w:firstLineChars="17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692D97E1">
      <w:pPr>
        <w:ind w:right="1008" w:firstLine="4284" w:firstLineChars="1700"/>
        <w:rPr>
          <w:rFonts w:cs="Arial"/>
          <w:i w:val="0"/>
          <w:iCs w:val="0"/>
          <w:color w:val="auto"/>
          <w:szCs w:val="24"/>
          <w:highlight w:val="none"/>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27AB4586">
      <w:pPr>
        <w:spacing w:line="360" w:lineRule="auto"/>
        <w:rPr>
          <w:rFonts w:hint="eastAsia" w:ascii="宋体" w:hAnsi="宋体" w:eastAsia="宋体" w:cs="宋体"/>
          <w:b/>
          <w:i w:val="0"/>
          <w:iCs w:val="0"/>
          <w:color w:val="auto"/>
          <w:sz w:val="21"/>
          <w:szCs w:val="21"/>
          <w:highlight w:val="none"/>
          <w:lang w:eastAsia="zh-CN"/>
        </w:rPr>
      </w:pPr>
      <w:r>
        <w:rPr>
          <w:rFonts w:hint="eastAsia" w:ascii="宋体" w:hAnsi="宋体" w:eastAsia="宋体" w:cs="宋体"/>
          <w:b/>
          <w:i w:val="0"/>
          <w:iCs w:val="0"/>
          <w:color w:val="auto"/>
          <w:sz w:val="21"/>
          <w:szCs w:val="21"/>
          <w:highlight w:val="none"/>
          <w:lang w:eastAsia="zh-CN"/>
        </w:rPr>
        <w:t>注：</w:t>
      </w:r>
    </w:p>
    <w:p w14:paraId="0AA8ADB4">
      <w:pPr>
        <w:pStyle w:val="15"/>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1.表中磋商报价即为分项报价表中的报价合计。</w:t>
      </w:r>
    </w:p>
    <w:p w14:paraId="22C382C0">
      <w:pPr>
        <w:pStyle w:val="15"/>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2.特殊事项在备注中注明。</w:t>
      </w:r>
    </w:p>
    <w:p w14:paraId="433A42E5">
      <w:pPr>
        <w:pStyle w:val="15"/>
        <w:ind w:firstLine="420" w:firstLineChars="20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lang w:val="en-US" w:eastAsia="zh-CN"/>
        </w:rPr>
        <w:t>3.表中大写与小写不一致的，以大写为准</w:t>
      </w:r>
      <w:r>
        <w:rPr>
          <w:rFonts w:hint="eastAsia" w:ascii="宋体" w:hAnsi="宋体" w:eastAsia="宋体" w:cs="宋体"/>
          <w:i w:val="0"/>
          <w:iCs w:val="0"/>
          <w:color w:val="auto"/>
          <w:sz w:val="21"/>
          <w:szCs w:val="21"/>
          <w:highlight w:val="none"/>
        </w:rPr>
        <w:t>。</w:t>
      </w:r>
    </w:p>
    <w:p w14:paraId="689893F5">
      <w:pPr>
        <w:pStyle w:val="15"/>
        <w:ind w:firstLine="420" w:firstLineChars="200"/>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4.</w:t>
      </w:r>
      <w:r>
        <w:rPr>
          <w:rFonts w:hint="eastAsia" w:ascii="宋体" w:hAnsi="宋体" w:eastAsia="宋体" w:cs="宋体"/>
          <w:i w:val="0"/>
          <w:iCs w:val="0"/>
          <w:color w:val="auto"/>
          <w:sz w:val="21"/>
          <w:szCs w:val="21"/>
          <w:highlight w:val="none"/>
        </w:rPr>
        <w:t>总报价应包括各种人力成本、设备成本、资料费、服务费、税费及合同实施过程中的所有费用。</w:t>
      </w:r>
    </w:p>
    <w:p w14:paraId="7F6D2FC0">
      <w:pPr>
        <w:pStyle w:val="15"/>
        <w:ind w:firstLine="420" w:firstLineChars="20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2、报价不能超过该项目的最高限价，须精确到小数点后两位，如未按要求报价则为无效</w:t>
      </w:r>
      <w:r>
        <w:rPr>
          <w:rFonts w:hint="eastAsia" w:ascii="宋体" w:hAnsi="宋体" w:cs="宋体"/>
          <w:i w:val="0"/>
          <w:iCs w:val="0"/>
          <w:color w:val="auto"/>
          <w:sz w:val="21"/>
          <w:szCs w:val="21"/>
          <w:highlight w:val="none"/>
          <w:lang w:val="en-US" w:eastAsia="zh-CN"/>
        </w:rPr>
        <w:t>响应</w:t>
      </w:r>
      <w:r>
        <w:rPr>
          <w:rFonts w:hint="eastAsia" w:ascii="宋体" w:hAnsi="宋体" w:eastAsia="宋体" w:cs="宋体"/>
          <w:i w:val="0"/>
          <w:iCs w:val="0"/>
          <w:color w:val="auto"/>
          <w:sz w:val="21"/>
          <w:szCs w:val="21"/>
          <w:highlight w:val="none"/>
        </w:rPr>
        <w:t>文件处理。</w:t>
      </w:r>
    </w:p>
    <w:p w14:paraId="6256B86C">
      <w:pPr>
        <w:pStyle w:val="15"/>
        <w:ind w:firstLine="420" w:firstLineChars="200"/>
        <w:rPr>
          <w:rFonts w:hint="eastAsia" w:ascii="宋体" w:hAnsi="宋体" w:eastAsia="宋体" w:cs="宋体"/>
          <w:i w:val="0"/>
          <w:iCs w:val="0"/>
          <w:color w:val="auto"/>
          <w:sz w:val="21"/>
          <w:szCs w:val="21"/>
          <w:highlight w:val="none"/>
        </w:rPr>
        <w:sectPr>
          <w:pgSz w:w="11905" w:h="16840"/>
          <w:pgMar w:top="1440" w:right="1797" w:bottom="1440" w:left="1797" w:header="851" w:footer="850" w:gutter="0"/>
          <w:pgBorders>
            <w:top w:val="none" w:sz="0" w:space="0"/>
            <w:left w:val="none" w:sz="0" w:space="0"/>
            <w:bottom w:val="none" w:sz="0" w:space="0"/>
            <w:right w:val="none" w:sz="0" w:space="0"/>
          </w:pgBorders>
          <w:pgNumType w:fmt="numberInDash"/>
          <w:cols w:space="720" w:num="1"/>
        </w:sectPr>
      </w:pPr>
      <w:r>
        <w:rPr>
          <w:rFonts w:hint="eastAsia" w:ascii="宋体" w:hAnsi="宋体" w:eastAsia="宋体" w:cs="宋体"/>
          <w:i w:val="0"/>
          <w:iCs w:val="0"/>
          <w:color w:val="auto"/>
          <w:sz w:val="21"/>
          <w:szCs w:val="21"/>
          <w:highlight w:val="none"/>
        </w:rPr>
        <w:t>3、</w:t>
      </w:r>
      <w:r>
        <w:rPr>
          <w:rFonts w:hint="eastAsia" w:ascii="宋体" w:hAnsi="宋体" w:cs="宋体"/>
          <w:i w:val="0"/>
          <w:iCs w:val="0"/>
          <w:color w:val="auto"/>
          <w:sz w:val="21"/>
          <w:szCs w:val="21"/>
          <w:highlight w:val="none"/>
          <w:lang w:val="en-US" w:eastAsia="zh-CN"/>
        </w:rPr>
        <w:t>磋商</w:t>
      </w:r>
      <w:r>
        <w:rPr>
          <w:rFonts w:hint="eastAsia" w:ascii="宋体" w:hAnsi="宋体" w:eastAsia="宋体" w:cs="宋体"/>
          <w:i w:val="0"/>
          <w:iCs w:val="0"/>
          <w:color w:val="auto"/>
          <w:sz w:val="21"/>
          <w:szCs w:val="21"/>
          <w:highlight w:val="none"/>
        </w:rPr>
        <w:t>报价包括但不限于：往返机票、住宿、餐饮、门票、保险、交通工具、摄影费、承办机构服务费发票税费、返和后宣传费、等与本项目相关的一切服务，途中风险由中标供应商自行承担；合同实施过程中应预见和不可预见费用等。</w:t>
      </w:r>
    </w:p>
    <w:p w14:paraId="6857B71B">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cs="宋体"/>
          <w:b/>
          <w:bCs/>
          <w:i w:val="0"/>
          <w:iCs w:val="0"/>
          <w:color w:val="auto"/>
          <w:kern w:val="2"/>
          <w:sz w:val="32"/>
          <w:szCs w:val="32"/>
          <w:highlight w:val="none"/>
          <w:lang w:val="en-US" w:eastAsia="zh-CN" w:bidi="ar-SA"/>
        </w:rPr>
      </w:pPr>
      <w:bookmarkStart w:id="676" w:name="_Toc12133"/>
      <w:r>
        <w:rPr>
          <w:rFonts w:hint="eastAsia" w:cs="宋体"/>
          <w:b/>
          <w:bCs/>
          <w:i w:val="0"/>
          <w:iCs w:val="0"/>
          <w:color w:val="auto"/>
          <w:kern w:val="2"/>
          <w:sz w:val="32"/>
          <w:szCs w:val="32"/>
          <w:highlight w:val="none"/>
          <w:lang w:val="en-US" w:eastAsia="zh-CN" w:bidi="ar-SA"/>
        </w:rPr>
        <w:t>二、分项报价表</w:t>
      </w:r>
      <w:bookmarkEnd w:id="676"/>
    </w:p>
    <w:p w14:paraId="24E609E6">
      <w:pPr>
        <w:rPr>
          <w:b w:val="0"/>
          <w:bCs/>
          <w:i w:val="0"/>
          <w:iCs w:val="0"/>
          <w:color w:val="auto"/>
          <w:szCs w:val="21"/>
          <w:highlight w:val="none"/>
          <w:lang w:val="zh-CN"/>
        </w:rPr>
      </w:pPr>
      <w:r>
        <w:rPr>
          <w:rFonts w:hint="eastAsia"/>
          <w:b w:val="0"/>
          <w:bCs/>
          <w:i w:val="0"/>
          <w:iCs w:val="0"/>
          <w:color w:val="auto"/>
          <w:szCs w:val="21"/>
          <w:highlight w:val="none"/>
          <w:lang w:val="zh-CN"/>
        </w:rPr>
        <w:t>项目名称：</w:t>
      </w:r>
      <w:r>
        <w:rPr>
          <w:rFonts w:hint="eastAsia"/>
          <w:b w:val="0"/>
          <w:bCs/>
          <w:i w:val="0"/>
          <w:iCs w:val="0"/>
          <w:color w:val="auto"/>
          <w:szCs w:val="21"/>
          <w:highlight w:val="none"/>
          <w:u w:val="single"/>
          <w:lang w:val="zh-CN"/>
        </w:rPr>
        <w:t xml:space="preserve">                  </w:t>
      </w:r>
      <w:r>
        <w:rPr>
          <w:rFonts w:hint="eastAsia"/>
          <w:b w:val="0"/>
          <w:bCs/>
          <w:i w:val="0"/>
          <w:iCs w:val="0"/>
          <w:color w:val="auto"/>
          <w:szCs w:val="21"/>
          <w:highlight w:val="none"/>
          <w:u w:val="single"/>
          <w:lang w:val="en-US" w:eastAsia="zh-CN"/>
        </w:rPr>
        <w:t xml:space="preserve">     </w:t>
      </w:r>
      <w:r>
        <w:rPr>
          <w:rFonts w:hint="eastAsia"/>
          <w:b w:val="0"/>
          <w:bCs/>
          <w:i w:val="0"/>
          <w:iCs w:val="0"/>
          <w:color w:val="auto"/>
          <w:szCs w:val="21"/>
          <w:highlight w:val="none"/>
          <w:u w:val="single"/>
          <w:lang w:val="zh-CN"/>
        </w:rPr>
        <w:t xml:space="preserve">   </w:t>
      </w:r>
    </w:p>
    <w:p w14:paraId="1AB58168">
      <w:pPr>
        <w:rPr>
          <w:rFonts w:hint="eastAsia"/>
          <w:b w:val="0"/>
          <w:bCs/>
          <w:i w:val="0"/>
          <w:iCs w:val="0"/>
          <w:color w:val="auto"/>
          <w:szCs w:val="21"/>
          <w:highlight w:val="none"/>
          <w:u w:val="single"/>
          <w:lang w:val="zh-CN"/>
        </w:rPr>
      </w:pPr>
      <w:r>
        <w:rPr>
          <w:rFonts w:hint="eastAsia"/>
          <w:b w:val="0"/>
          <w:bCs/>
          <w:i w:val="0"/>
          <w:iCs w:val="0"/>
          <w:color w:val="auto"/>
          <w:szCs w:val="21"/>
          <w:highlight w:val="none"/>
          <w:lang w:val="zh-CN"/>
        </w:rPr>
        <w:t>项目编号</w:t>
      </w:r>
      <w:r>
        <w:rPr>
          <w:rFonts w:hint="eastAsia"/>
          <w:b w:val="0"/>
          <w:bCs/>
          <w:i w:val="0"/>
          <w:iCs w:val="0"/>
          <w:color w:val="auto"/>
          <w:szCs w:val="21"/>
          <w:highlight w:val="none"/>
          <w:lang w:val="en-US" w:eastAsia="zh-CN"/>
        </w:rPr>
        <w:t>/</w:t>
      </w:r>
      <w:r>
        <w:rPr>
          <w:rFonts w:hint="eastAsia"/>
          <w:b w:val="0"/>
          <w:bCs/>
          <w:i w:val="0"/>
          <w:iCs w:val="0"/>
          <w:color w:val="auto"/>
          <w:szCs w:val="21"/>
          <w:highlight w:val="none"/>
          <w:lang w:val="zh-CN"/>
        </w:rPr>
        <w:t>包号：</w:t>
      </w:r>
      <w:r>
        <w:rPr>
          <w:rFonts w:hint="eastAsia"/>
          <w:b w:val="0"/>
          <w:bCs/>
          <w:i w:val="0"/>
          <w:iCs w:val="0"/>
          <w:color w:val="auto"/>
          <w:szCs w:val="21"/>
          <w:highlight w:val="none"/>
          <w:u w:val="single"/>
          <w:lang w:val="zh-CN"/>
        </w:rPr>
        <w:t xml:space="preserve">                     </w:t>
      </w:r>
    </w:p>
    <w:tbl>
      <w:tblPr>
        <w:tblStyle w:val="31"/>
        <w:tblW w:w="8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3475"/>
        <w:gridCol w:w="995"/>
        <w:gridCol w:w="995"/>
        <w:gridCol w:w="1268"/>
        <w:gridCol w:w="765"/>
      </w:tblGrid>
      <w:tr w14:paraId="1144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5" w:type="dxa"/>
            <w:vAlign w:val="center"/>
          </w:tcPr>
          <w:p w14:paraId="4D627D6A">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序号</w:t>
            </w:r>
          </w:p>
        </w:tc>
        <w:tc>
          <w:tcPr>
            <w:tcW w:w="3475" w:type="dxa"/>
            <w:vAlign w:val="center"/>
          </w:tcPr>
          <w:p w14:paraId="2DFD718A">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名称</w:t>
            </w:r>
          </w:p>
        </w:tc>
        <w:tc>
          <w:tcPr>
            <w:tcW w:w="995" w:type="dxa"/>
            <w:vAlign w:val="center"/>
          </w:tcPr>
          <w:p w14:paraId="6C1E2B23">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数量</w:t>
            </w:r>
          </w:p>
        </w:tc>
        <w:tc>
          <w:tcPr>
            <w:tcW w:w="995" w:type="dxa"/>
            <w:vAlign w:val="center"/>
          </w:tcPr>
          <w:p w14:paraId="6D2AF78E">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单价（元）</w:t>
            </w:r>
          </w:p>
        </w:tc>
        <w:tc>
          <w:tcPr>
            <w:tcW w:w="1268" w:type="dxa"/>
            <w:vAlign w:val="center"/>
          </w:tcPr>
          <w:p w14:paraId="6D996B9E">
            <w:pPr>
              <w:adjustRightInd w:val="0"/>
              <w:snapToGrid w:val="0"/>
              <w:spacing w:line="240" w:lineRule="auto"/>
              <w:jc w:val="center"/>
              <w:rPr>
                <w:rFonts w:hint="eastAsia" w:eastAsia="宋体"/>
                <w:i w:val="0"/>
                <w:iCs w:val="0"/>
                <w:color w:val="auto"/>
                <w:szCs w:val="21"/>
                <w:highlight w:val="none"/>
                <w:lang w:eastAsia="zh-CN"/>
              </w:rPr>
            </w:pPr>
            <w:r>
              <w:rPr>
                <w:rFonts w:hint="eastAsia"/>
                <w:i w:val="0"/>
                <w:iCs w:val="0"/>
                <w:color w:val="auto"/>
                <w:szCs w:val="21"/>
                <w:highlight w:val="none"/>
                <w:lang w:val="en-US" w:eastAsia="zh-CN"/>
              </w:rPr>
              <w:t>单项</w:t>
            </w:r>
            <w:r>
              <w:rPr>
                <w:rFonts w:hint="eastAsia"/>
                <w:i w:val="0"/>
                <w:iCs w:val="0"/>
                <w:color w:val="auto"/>
                <w:szCs w:val="21"/>
                <w:highlight w:val="none"/>
              </w:rPr>
              <w:t>总价</w:t>
            </w:r>
            <w:r>
              <w:rPr>
                <w:rFonts w:hint="eastAsia"/>
                <w:i w:val="0"/>
                <w:iCs w:val="0"/>
                <w:color w:val="auto"/>
                <w:szCs w:val="21"/>
                <w:highlight w:val="none"/>
                <w:lang w:eastAsia="zh-CN"/>
              </w:rPr>
              <w:t>（</w:t>
            </w:r>
            <w:r>
              <w:rPr>
                <w:rFonts w:hint="eastAsia"/>
                <w:i w:val="0"/>
                <w:iCs w:val="0"/>
                <w:color w:val="auto"/>
                <w:szCs w:val="21"/>
                <w:highlight w:val="none"/>
                <w:lang w:val="en-US" w:eastAsia="zh-CN"/>
              </w:rPr>
              <w:t>元</w:t>
            </w:r>
            <w:r>
              <w:rPr>
                <w:rFonts w:hint="eastAsia"/>
                <w:i w:val="0"/>
                <w:iCs w:val="0"/>
                <w:color w:val="auto"/>
                <w:szCs w:val="21"/>
                <w:highlight w:val="none"/>
                <w:lang w:eastAsia="zh-CN"/>
              </w:rPr>
              <w:t>）</w:t>
            </w:r>
          </w:p>
        </w:tc>
        <w:tc>
          <w:tcPr>
            <w:tcW w:w="765" w:type="dxa"/>
            <w:vAlign w:val="center"/>
          </w:tcPr>
          <w:p w14:paraId="179428AF">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备注</w:t>
            </w:r>
          </w:p>
        </w:tc>
      </w:tr>
      <w:tr w14:paraId="0B18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vAlign w:val="center"/>
          </w:tcPr>
          <w:p w14:paraId="358F5A6D">
            <w:pPr>
              <w:adjustRightInd w:val="0"/>
              <w:snapToGrid w:val="0"/>
              <w:spacing w:line="240" w:lineRule="auto"/>
              <w:jc w:val="center"/>
              <w:rPr>
                <w:i w:val="0"/>
                <w:iCs w:val="0"/>
                <w:color w:val="auto"/>
                <w:szCs w:val="21"/>
                <w:highlight w:val="none"/>
              </w:rPr>
            </w:pPr>
          </w:p>
        </w:tc>
        <w:tc>
          <w:tcPr>
            <w:tcW w:w="3475" w:type="dxa"/>
            <w:vAlign w:val="center"/>
          </w:tcPr>
          <w:p w14:paraId="57DC8535">
            <w:pPr>
              <w:widowControl/>
              <w:spacing w:line="360" w:lineRule="auto"/>
              <w:jc w:val="center"/>
              <w:rPr>
                <w:i w:val="0"/>
                <w:iCs w:val="0"/>
                <w:color w:val="auto"/>
                <w:szCs w:val="21"/>
                <w:highlight w:val="none"/>
              </w:rPr>
            </w:pPr>
          </w:p>
        </w:tc>
        <w:tc>
          <w:tcPr>
            <w:tcW w:w="995" w:type="dxa"/>
            <w:vAlign w:val="center"/>
          </w:tcPr>
          <w:p w14:paraId="7B51DB3B">
            <w:pPr>
              <w:widowControl/>
              <w:spacing w:line="360" w:lineRule="auto"/>
              <w:jc w:val="center"/>
              <w:rPr>
                <w:i w:val="0"/>
                <w:iCs w:val="0"/>
                <w:color w:val="auto"/>
                <w:szCs w:val="21"/>
                <w:highlight w:val="none"/>
              </w:rPr>
            </w:pPr>
          </w:p>
        </w:tc>
        <w:tc>
          <w:tcPr>
            <w:tcW w:w="995" w:type="dxa"/>
            <w:vAlign w:val="center"/>
          </w:tcPr>
          <w:p w14:paraId="1ACE4CF2">
            <w:pPr>
              <w:adjustRightInd w:val="0"/>
              <w:snapToGrid w:val="0"/>
              <w:spacing w:line="240" w:lineRule="auto"/>
              <w:jc w:val="center"/>
              <w:rPr>
                <w:i w:val="0"/>
                <w:iCs w:val="0"/>
                <w:color w:val="auto"/>
                <w:szCs w:val="21"/>
                <w:highlight w:val="none"/>
              </w:rPr>
            </w:pPr>
          </w:p>
        </w:tc>
        <w:tc>
          <w:tcPr>
            <w:tcW w:w="1268" w:type="dxa"/>
            <w:vAlign w:val="center"/>
          </w:tcPr>
          <w:p w14:paraId="743017CF">
            <w:pPr>
              <w:adjustRightInd w:val="0"/>
              <w:snapToGrid w:val="0"/>
              <w:spacing w:line="240" w:lineRule="auto"/>
              <w:jc w:val="center"/>
              <w:rPr>
                <w:i w:val="0"/>
                <w:iCs w:val="0"/>
                <w:color w:val="auto"/>
                <w:szCs w:val="21"/>
                <w:highlight w:val="none"/>
              </w:rPr>
            </w:pPr>
          </w:p>
        </w:tc>
        <w:tc>
          <w:tcPr>
            <w:tcW w:w="765" w:type="dxa"/>
            <w:vAlign w:val="center"/>
          </w:tcPr>
          <w:p w14:paraId="5FAF5428">
            <w:pPr>
              <w:adjustRightInd w:val="0"/>
              <w:snapToGrid w:val="0"/>
              <w:spacing w:line="240" w:lineRule="auto"/>
              <w:jc w:val="center"/>
              <w:rPr>
                <w:i w:val="0"/>
                <w:iCs w:val="0"/>
                <w:color w:val="auto"/>
                <w:szCs w:val="21"/>
                <w:highlight w:val="none"/>
              </w:rPr>
            </w:pPr>
          </w:p>
        </w:tc>
      </w:tr>
      <w:tr w14:paraId="4A52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vAlign w:val="center"/>
          </w:tcPr>
          <w:p w14:paraId="0F5426D5">
            <w:pPr>
              <w:adjustRightInd w:val="0"/>
              <w:snapToGrid w:val="0"/>
              <w:spacing w:line="240" w:lineRule="auto"/>
              <w:jc w:val="center"/>
              <w:rPr>
                <w:i w:val="0"/>
                <w:iCs w:val="0"/>
                <w:color w:val="auto"/>
                <w:szCs w:val="21"/>
                <w:highlight w:val="none"/>
              </w:rPr>
            </w:pPr>
          </w:p>
        </w:tc>
        <w:tc>
          <w:tcPr>
            <w:tcW w:w="3475" w:type="dxa"/>
            <w:vAlign w:val="center"/>
          </w:tcPr>
          <w:p w14:paraId="57704B45">
            <w:pPr>
              <w:widowControl/>
              <w:spacing w:line="360" w:lineRule="auto"/>
              <w:jc w:val="center"/>
              <w:rPr>
                <w:i w:val="0"/>
                <w:iCs w:val="0"/>
                <w:color w:val="auto"/>
                <w:szCs w:val="21"/>
                <w:highlight w:val="none"/>
              </w:rPr>
            </w:pPr>
          </w:p>
        </w:tc>
        <w:tc>
          <w:tcPr>
            <w:tcW w:w="995" w:type="dxa"/>
            <w:vAlign w:val="center"/>
          </w:tcPr>
          <w:p w14:paraId="5D713A25">
            <w:pPr>
              <w:widowControl/>
              <w:spacing w:line="360" w:lineRule="auto"/>
              <w:jc w:val="center"/>
              <w:rPr>
                <w:i w:val="0"/>
                <w:iCs w:val="0"/>
                <w:color w:val="auto"/>
                <w:szCs w:val="21"/>
                <w:highlight w:val="none"/>
              </w:rPr>
            </w:pPr>
          </w:p>
        </w:tc>
        <w:tc>
          <w:tcPr>
            <w:tcW w:w="995" w:type="dxa"/>
            <w:vAlign w:val="center"/>
          </w:tcPr>
          <w:p w14:paraId="5A6F0E69">
            <w:pPr>
              <w:adjustRightInd w:val="0"/>
              <w:snapToGrid w:val="0"/>
              <w:spacing w:line="240" w:lineRule="auto"/>
              <w:jc w:val="center"/>
              <w:rPr>
                <w:i w:val="0"/>
                <w:iCs w:val="0"/>
                <w:color w:val="auto"/>
                <w:szCs w:val="21"/>
                <w:highlight w:val="none"/>
              </w:rPr>
            </w:pPr>
          </w:p>
        </w:tc>
        <w:tc>
          <w:tcPr>
            <w:tcW w:w="1268" w:type="dxa"/>
            <w:vAlign w:val="center"/>
          </w:tcPr>
          <w:p w14:paraId="4F5A0416">
            <w:pPr>
              <w:adjustRightInd w:val="0"/>
              <w:snapToGrid w:val="0"/>
              <w:spacing w:line="240" w:lineRule="auto"/>
              <w:jc w:val="center"/>
              <w:rPr>
                <w:i w:val="0"/>
                <w:iCs w:val="0"/>
                <w:color w:val="auto"/>
                <w:szCs w:val="21"/>
                <w:highlight w:val="none"/>
              </w:rPr>
            </w:pPr>
          </w:p>
        </w:tc>
        <w:tc>
          <w:tcPr>
            <w:tcW w:w="765" w:type="dxa"/>
            <w:vAlign w:val="center"/>
          </w:tcPr>
          <w:p w14:paraId="2B66A0DE">
            <w:pPr>
              <w:adjustRightInd w:val="0"/>
              <w:snapToGrid w:val="0"/>
              <w:spacing w:line="240" w:lineRule="auto"/>
              <w:jc w:val="center"/>
              <w:rPr>
                <w:i w:val="0"/>
                <w:iCs w:val="0"/>
                <w:color w:val="auto"/>
                <w:szCs w:val="21"/>
                <w:highlight w:val="none"/>
              </w:rPr>
            </w:pPr>
          </w:p>
        </w:tc>
      </w:tr>
      <w:tr w14:paraId="6720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vAlign w:val="center"/>
          </w:tcPr>
          <w:p w14:paraId="60464C19">
            <w:pPr>
              <w:adjustRightInd w:val="0"/>
              <w:snapToGrid w:val="0"/>
              <w:spacing w:line="240" w:lineRule="auto"/>
              <w:jc w:val="center"/>
              <w:rPr>
                <w:i w:val="0"/>
                <w:iCs w:val="0"/>
                <w:color w:val="auto"/>
                <w:szCs w:val="21"/>
                <w:highlight w:val="none"/>
              </w:rPr>
            </w:pPr>
          </w:p>
        </w:tc>
        <w:tc>
          <w:tcPr>
            <w:tcW w:w="3475" w:type="dxa"/>
            <w:vAlign w:val="center"/>
          </w:tcPr>
          <w:p w14:paraId="72295B60">
            <w:pPr>
              <w:widowControl/>
              <w:spacing w:line="360" w:lineRule="auto"/>
              <w:jc w:val="center"/>
              <w:rPr>
                <w:i w:val="0"/>
                <w:iCs w:val="0"/>
                <w:color w:val="auto"/>
                <w:szCs w:val="21"/>
                <w:highlight w:val="none"/>
              </w:rPr>
            </w:pPr>
          </w:p>
        </w:tc>
        <w:tc>
          <w:tcPr>
            <w:tcW w:w="995" w:type="dxa"/>
            <w:vAlign w:val="center"/>
          </w:tcPr>
          <w:p w14:paraId="4EE14855">
            <w:pPr>
              <w:widowControl/>
              <w:spacing w:line="360" w:lineRule="auto"/>
              <w:jc w:val="center"/>
              <w:rPr>
                <w:i w:val="0"/>
                <w:iCs w:val="0"/>
                <w:color w:val="auto"/>
                <w:szCs w:val="21"/>
                <w:highlight w:val="none"/>
              </w:rPr>
            </w:pPr>
          </w:p>
        </w:tc>
        <w:tc>
          <w:tcPr>
            <w:tcW w:w="995" w:type="dxa"/>
            <w:vAlign w:val="center"/>
          </w:tcPr>
          <w:p w14:paraId="262C54CE">
            <w:pPr>
              <w:adjustRightInd w:val="0"/>
              <w:snapToGrid w:val="0"/>
              <w:spacing w:line="240" w:lineRule="auto"/>
              <w:jc w:val="center"/>
              <w:rPr>
                <w:i w:val="0"/>
                <w:iCs w:val="0"/>
                <w:color w:val="auto"/>
                <w:szCs w:val="21"/>
                <w:highlight w:val="none"/>
              </w:rPr>
            </w:pPr>
          </w:p>
        </w:tc>
        <w:tc>
          <w:tcPr>
            <w:tcW w:w="1268" w:type="dxa"/>
            <w:vAlign w:val="center"/>
          </w:tcPr>
          <w:p w14:paraId="405E9C42">
            <w:pPr>
              <w:adjustRightInd w:val="0"/>
              <w:snapToGrid w:val="0"/>
              <w:spacing w:line="240" w:lineRule="auto"/>
              <w:jc w:val="center"/>
              <w:rPr>
                <w:i w:val="0"/>
                <w:iCs w:val="0"/>
                <w:color w:val="auto"/>
                <w:szCs w:val="21"/>
                <w:highlight w:val="none"/>
              </w:rPr>
            </w:pPr>
          </w:p>
        </w:tc>
        <w:tc>
          <w:tcPr>
            <w:tcW w:w="765" w:type="dxa"/>
            <w:vAlign w:val="center"/>
          </w:tcPr>
          <w:p w14:paraId="3011636A">
            <w:pPr>
              <w:adjustRightInd w:val="0"/>
              <w:snapToGrid w:val="0"/>
              <w:spacing w:line="240" w:lineRule="auto"/>
              <w:jc w:val="center"/>
              <w:rPr>
                <w:i w:val="0"/>
                <w:iCs w:val="0"/>
                <w:color w:val="auto"/>
                <w:szCs w:val="21"/>
                <w:highlight w:val="none"/>
              </w:rPr>
            </w:pPr>
          </w:p>
        </w:tc>
      </w:tr>
      <w:tr w14:paraId="0482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vAlign w:val="center"/>
          </w:tcPr>
          <w:p w14:paraId="2BCEBE57">
            <w:pPr>
              <w:adjustRightInd w:val="0"/>
              <w:snapToGrid w:val="0"/>
              <w:spacing w:line="240" w:lineRule="auto"/>
              <w:jc w:val="center"/>
              <w:rPr>
                <w:i w:val="0"/>
                <w:iCs w:val="0"/>
                <w:color w:val="auto"/>
                <w:szCs w:val="21"/>
                <w:highlight w:val="none"/>
              </w:rPr>
            </w:pPr>
          </w:p>
        </w:tc>
        <w:tc>
          <w:tcPr>
            <w:tcW w:w="3475" w:type="dxa"/>
            <w:vAlign w:val="center"/>
          </w:tcPr>
          <w:p w14:paraId="698A723F">
            <w:pPr>
              <w:widowControl/>
              <w:spacing w:line="360" w:lineRule="auto"/>
              <w:jc w:val="center"/>
              <w:rPr>
                <w:i w:val="0"/>
                <w:iCs w:val="0"/>
                <w:color w:val="auto"/>
                <w:szCs w:val="21"/>
                <w:highlight w:val="none"/>
              </w:rPr>
            </w:pPr>
          </w:p>
        </w:tc>
        <w:tc>
          <w:tcPr>
            <w:tcW w:w="995" w:type="dxa"/>
            <w:vAlign w:val="center"/>
          </w:tcPr>
          <w:p w14:paraId="55219B60">
            <w:pPr>
              <w:widowControl/>
              <w:spacing w:line="360" w:lineRule="auto"/>
              <w:jc w:val="center"/>
              <w:rPr>
                <w:i w:val="0"/>
                <w:iCs w:val="0"/>
                <w:color w:val="auto"/>
                <w:szCs w:val="21"/>
                <w:highlight w:val="none"/>
              </w:rPr>
            </w:pPr>
          </w:p>
        </w:tc>
        <w:tc>
          <w:tcPr>
            <w:tcW w:w="995" w:type="dxa"/>
            <w:vAlign w:val="center"/>
          </w:tcPr>
          <w:p w14:paraId="353025AC">
            <w:pPr>
              <w:adjustRightInd w:val="0"/>
              <w:snapToGrid w:val="0"/>
              <w:spacing w:line="240" w:lineRule="auto"/>
              <w:jc w:val="center"/>
              <w:rPr>
                <w:i w:val="0"/>
                <w:iCs w:val="0"/>
                <w:color w:val="auto"/>
                <w:szCs w:val="21"/>
                <w:highlight w:val="none"/>
              </w:rPr>
            </w:pPr>
          </w:p>
        </w:tc>
        <w:tc>
          <w:tcPr>
            <w:tcW w:w="1268" w:type="dxa"/>
            <w:vAlign w:val="center"/>
          </w:tcPr>
          <w:p w14:paraId="2EC6AA8B">
            <w:pPr>
              <w:adjustRightInd w:val="0"/>
              <w:snapToGrid w:val="0"/>
              <w:spacing w:line="240" w:lineRule="auto"/>
              <w:jc w:val="center"/>
              <w:rPr>
                <w:i w:val="0"/>
                <w:iCs w:val="0"/>
                <w:color w:val="auto"/>
                <w:szCs w:val="21"/>
                <w:highlight w:val="none"/>
              </w:rPr>
            </w:pPr>
          </w:p>
        </w:tc>
        <w:tc>
          <w:tcPr>
            <w:tcW w:w="765" w:type="dxa"/>
            <w:vAlign w:val="center"/>
          </w:tcPr>
          <w:p w14:paraId="28FEE38A">
            <w:pPr>
              <w:adjustRightInd w:val="0"/>
              <w:snapToGrid w:val="0"/>
              <w:spacing w:line="240" w:lineRule="auto"/>
              <w:jc w:val="center"/>
              <w:rPr>
                <w:i w:val="0"/>
                <w:iCs w:val="0"/>
                <w:color w:val="auto"/>
                <w:szCs w:val="21"/>
                <w:highlight w:val="none"/>
              </w:rPr>
            </w:pPr>
          </w:p>
        </w:tc>
      </w:tr>
      <w:tr w14:paraId="0F60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vAlign w:val="center"/>
          </w:tcPr>
          <w:p w14:paraId="18BF0068">
            <w:pPr>
              <w:adjustRightInd w:val="0"/>
              <w:snapToGrid w:val="0"/>
              <w:spacing w:line="240" w:lineRule="auto"/>
              <w:jc w:val="center"/>
              <w:rPr>
                <w:i w:val="0"/>
                <w:iCs w:val="0"/>
                <w:color w:val="auto"/>
                <w:szCs w:val="21"/>
                <w:highlight w:val="none"/>
              </w:rPr>
            </w:pPr>
          </w:p>
        </w:tc>
        <w:tc>
          <w:tcPr>
            <w:tcW w:w="3475" w:type="dxa"/>
            <w:vAlign w:val="center"/>
          </w:tcPr>
          <w:p w14:paraId="6AAD6472">
            <w:pPr>
              <w:widowControl/>
              <w:spacing w:line="360" w:lineRule="auto"/>
              <w:jc w:val="center"/>
              <w:rPr>
                <w:i w:val="0"/>
                <w:iCs w:val="0"/>
                <w:color w:val="auto"/>
                <w:szCs w:val="21"/>
                <w:highlight w:val="none"/>
              </w:rPr>
            </w:pPr>
          </w:p>
        </w:tc>
        <w:tc>
          <w:tcPr>
            <w:tcW w:w="995" w:type="dxa"/>
            <w:vAlign w:val="center"/>
          </w:tcPr>
          <w:p w14:paraId="799F0027">
            <w:pPr>
              <w:widowControl/>
              <w:spacing w:line="360" w:lineRule="auto"/>
              <w:jc w:val="center"/>
              <w:rPr>
                <w:i w:val="0"/>
                <w:iCs w:val="0"/>
                <w:color w:val="auto"/>
                <w:szCs w:val="21"/>
                <w:highlight w:val="none"/>
              </w:rPr>
            </w:pPr>
          </w:p>
        </w:tc>
        <w:tc>
          <w:tcPr>
            <w:tcW w:w="995" w:type="dxa"/>
            <w:vAlign w:val="center"/>
          </w:tcPr>
          <w:p w14:paraId="27D310A6">
            <w:pPr>
              <w:adjustRightInd w:val="0"/>
              <w:snapToGrid w:val="0"/>
              <w:spacing w:line="240" w:lineRule="auto"/>
              <w:jc w:val="center"/>
              <w:rPr>
                <w:i w:val="0"/>
                <w:iCs w:val="0"/>
                <w:color w:val="auto"/>
                <w:szCs w:val="21"/>
                <w:highlight w:val="none"/>
              </w:rPr>
            </w:pPr>
          </w:p>
        </w:tc>
        <w:tc>
          <w:tcPr>
            <w:tcW w:w="1268" w:type="dxa"/>
            <w:vAlign w:val="center"/>
          </w:tcPr>
          <w:p w14:paraId="2EB891D8">
            <w:pPr>
              <w:adjustRightInd w:val="0"/>
              <w:snapToGrid w:val="0"/>
              <w:spacing w:line="240" w:lineRule="auto"/>
              <w:jc w:val="center"/>
              <w:rPr>
                <w:i w:val="0"/>
                <w:iCs w:val="0"/>
                <w:color w:val="auto"/>
                <w:szCs w:val="21"/>
                <w:highlight w:val="none"/>
              </w:rPr>
            </w:pPr>
          </w:p>
        </w:tc>
        <w:tc>
          <w:tcPr>
            <w:tcW w:w="765" w:type="dxa"/>
            <w:vAlign w:val="center"/>
          </w:tcPr>
          <w:p w14:paraId="747BD990">
            <w:pPr>
              <w:adjustRightInd w:val="0"/>
              <w:snapToGrid w:val="0"/>
              <w:spacing w:line="240" w:lineRule="auto"/>
              <w:jc w:val="center"/>
              <w:rPr>
                <w:i w:val="0"/>
                <w:iCs w:val="0"/>
                <w:color w:val="auto"/>
                <w:szCs w:val="21"/>
                <w:highlight w:val="none"/>
              </w:rPr>
            </w:pPr>
          </w:p>
        </w:tc>
      </w:tr>
      <w:tr w14:paraId="6F60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shd w:val="clear" w:color="auto" w:fill="auto"/>
            <w:vAlign w:val="center"/>
          </w:tcPr>
          <w:p w14:paraId="0D014F40">
            <w:pPr>
              <w:adjustRightInd w:val="0"/>
              <w:snapToGrid w:val="0"/>
              <w:spacing w:line="240" w:lineRule="auto"/>
              <w:jc w:val="center"/>
              <w:rPr>
                <w:rFonts w:ascii="宋体" w:hAnsi="宋体" w:eastAsia="宋体" w:cs="宋体"/>
                <w:i w:val="0"/>
                <w:iCs w:val="0"/>
                <w:color w:val="auto"/>
                <w:kern w:val="2"/>
                <w:sz w:val="24"/>
                <w:szCs w:val="21"/>
                <w:highlight w:val="none"/>
                <w:lang w:val="en-US" w:eastAsia="zh-CN" w:bidi="ar-SA"/>
              </w:rPr>
            </w:pPr>
            <w:r>
              <w:rPr>
                <w:rFonts w:hint="eastAsia"/>
                <w:i w:val="0"/>
                <w:iCs w:val="0"/>
                <w:color w:val="auto"/>
                <w:szCs w:val="21"/>
                <w:highlight w:val="none"/>
              </w:rPr>
              <w:t>……</w:t>
            </w:r>
          </w:p>
        </w:tc>
        <w:tc>
          <w:tcPr>
            <w:tcW w:w="3475" w:type="dxa"/>
            <w:shd w:val="clear" w:color="auto" w:fill="auto"/>
            <w:vAlign w:val="center"/>
          </w:tcPr>
          <w:p w14:paraId="7EBCA987">
            <w:pPr>
              <w:adjustRightInd w:val="0"/>
              <w:snapToGrid w:val="0"/>
              <w:spacing w:line="240" w:lineRule="auto"/>
              <w:jc w:val="center"/>
              <w:rPr>
                <w:rFonts w:ascii="宋体" w:hAnsi="宋体" w:eastAsia="宋体" w:cs="宋体"/>
                <w:i w:val="0"/>
                <w:iCs w:val="0"/>
                <w:color w:val="auto"/>
                <w:kern w:val="2"/>
                <w:sz w:val="24"/>
                <w:szCs w:val="21"/>
                <w:highlight w:val="none"/>
                <w:lang w:val="en-US" w:eastAsia="zh-CN" w:bidi="ar-SA"/>
              </w:rPr>
            </w:pPr>
            <w:r>
              <w:rPr>
                <w:rFonts w:hint="eastAsia"/>
                <w:i w:val="0"/>
                <w:iCs w:val="0"/>
                <w:color w:val="auto"/>
                <w:szCs w:val="21"/>
                <w:highlight w:val="none"/>
              </w:rPr>
              <w:t>……</w:t>
            </w:r>
          </w:p>
        </w:tc>
        <w:tc>
          <w:tcPr>
            <w:tcW w:w="995" w:type="dxa"/>
            <w:vAlign w:val="center"/>
          </w:tcPr>
          <w:p w14:paraId="47F17F8E">
            <w:pPr>
              <w:adjustRightInd w:val="0"/>
              <w:snapToGrid w:val="0"/>
              <w:spacing w:line="240" w:lineRule="auto"/>
              <w:jc w:val="center"/>
              <w:rPr>
                <w:i w:val="0"/>
                <w:iCs w:val="0"/>
                <w:color w:val="auto"/>
                <w:szCs w:val="21"/>
                <w:highlight w:val="none"/>
              </w:rPr>
            </w:pPr>
          </w:p>
        </w:tc>
        <w:tc>
          <w:tcPr>
            <w:tcW w:w="995" w:type="dxa"/>
            <w:vAlign w:val="center"/>
          </w:tcPr>
          <w:p w14:paraId="146101DA">
            <w:pPr>
              <w:adjustRightInd w:val="0"/>
              <w:snapToGrid w:val="0"/>
              <w:spacing w:line="240" w:lineRule="auto"/>
              <w:jc w:val="center"/>
              <w:rPr>
                <w:i w:val="0"/>
                <w:iCs w:val="0"/>
                <w:color w:val="auto"/>
                <w:szCs w:val="21"/>
                <w:highlight w:val="none"/>
              </w:rPr>
            </w:pPr>
          </w:p>
        </w:tc>
        <w:tc>
          <w:tcPr>
            <w:tcW w:w="1268" w:type="dxa"/>
            <w:vAlign w:val="center"/>
          </w:tcPr>
          <w:p w14:paraId="62D9C331">
            <w:pPr>
              <w:adjustRightInd w:val="0"/>
              <w:snapToGrid w:val="0"/>
              <w:spacing w:line="240" w:lineRule="auto"/>
              <w:jc w:val="center"/>
              <w:rPr>
                <w:i w:val="0"/>
                <w:iCs w:val="0"/>
                <w:color w:val="auto"/>
                <w:szCs w:val="21"/>
                <w:highlight w:val="none"/>
              </w:rPr>
            </w:pPr>
          </w:p>
        </w:tc>
        <w:tc>
          <w:tcPr>
            <w:tcW w:w="765" w:type="dxa"/>
            <w:vAlign w:val="center"/>
          </w:tcPr>
          <w:p w14:paraId="6C74DA74">
            <w:pPr>
              <w:adjustRightInd w:val="0"/>
              <w:snapToGrid w:val="0"/>
              <w:spacing w:line="240" w:lineRule="auto"/>
              <w:jc w:val="center"/>
              <w:rPr>
                <w:i w:val="0"/>
                <w:iCs w:val="0"/>
                <w:color w:val="auto"/>
                <w:szCs w:val="21"/>
                <w:highlight w:val="none"/>
              </w:rPr>
            </w:pPr>
          </w:p>
        </w:tc>
      </w:tr>
      <w:tr w14:paraId="00BA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vAlign w:val="center"/>
          </w:tcPr>
          <w:p w14:paraId="05CA976C">
            <w:pPr>
              <w:adjustRightInd w:val="0"/>
              <w:snapToGrid w:val="0"/>
              <w:spacing w:line="240" w:lineRule="auto"/>
              <w:jc w:val="center"/>
              <w:rPr>
                <w:i w:val="0"/>
                <w:iCs w:val="0"/>
                <w:color w:val="auto"/>
                <w:szCs w:val="21"/>
                <w:highlight w:val="none"/>
              </w:rPr>
            </w:pPr>
          </w:p>
        </w:tc>
        <w:tc>
          <w:tcPr>
            <w:tcW w:w="3475" w:type="dxa"/>
            <w:vAlign w:val="center"/>
          </w:tcPr>
          <w:p w14:paraId="185DFA03">
            <w:pPr>
              <w:adjustRightInd w:val="0"/>
              <w:snapToGrid w:val="0"/>
              <w:spacing w:line="240" w:lineRule="auto"/>
              <w:jc w:val="center"/>
              <w:rPr>
                <w:i w:val="0"/>
                <w:iCs w:val="0"/>
                <w:color w:val="auto"/>
                <w:szCs w:val="21"/>
                <w:highlight w:val="none"/>
              </w:rPr>
            </w:pPr>
            <w:r>
              <w:rPr>
                <w:rFonts w:hint="eastAsia" w:ascii="等线" w:hAnsi="等线" w:eastAsia="等线"/>
                <w:i w:val="0"/>
                <w:iCs w:val="0"/>
                <w:color w:val="auto"/>
                <w:highlight w:val="none"/>
              </w:rPr>
              <w:t>其他费用</w:t>
            </w:r>
          </w:p>
        </w:tc>
        <w:tc>
          <w:tcPr>
            <w:tcW w:w="995" w:type="dxa"/>
            <w:vAlign w:val="center"/>
          </w:tcPr>
          <w:p w14:paraId="0F947F67">
            <w:pPr>
              <w:adjustRightInd w:val="0"/>
              <w:snapToGrid w:val="0"/>
              <w:spacing w:line="240" w:lineRule="auto"/>
              <w:jc w:val="center"/>
              <w:rPr>
                <w:i w:val="0"/>
                <w:iCs w:val="0"/>
                <w:color w:val="auto"/>
                <w:szCs w:val="21"/>
                <w:highlight w:val="none"/>
              </w:rPr>
            </w:pPr>
          </w:p>
        </w:tc>
        <w:tc>
          <w:tcPr>
            <w:tcW w:w="995" w:type="dxa"/>
            <w:vAlign w:val="center"/>
          </w:tcPr>
          <w:p w14:paraId="43495F13">
            <w:pPr>
              <w:adjustRightInd w:val="0"/>
              <w:snapToGrid w:val="0"/>
              <w:spacing w:line="240" w:lineRule="auto"/>
              <w:jc w:val="center"/>
              <w:rPr>
                <w:i w:val="0"/>
                <w:iCs w:val="0"/>
                <w:color w:val="auto"/>
                <w:szCs w:val="21"/>
                <w:highlight w:val="none"/>
              </w:rPr>
            </w:pPr>
          </w:p>
        </w:tc>
        <w:tc>
          <w:tcPr>
            <w:tcW w:w="1268" w:type="dxa"/>
            <w:vAlign w:val="center"/>
          </w:tcPr>
          <w:p w14:paraId="155A2C36">
            <w:pPr>
              <w:adjustRightInd w:val="0"/>
              <w:snapToGrid w:val="0"/>
              <w:spacing w:line="240" w:lineRule="auto"/>
              <w:jc w:val="center"/>
              <w:rPr>
                <w:i w:val="0"/>
                <w:iCs w:val="0"/>
                <w:color w:val="auto"/>
                <w:szCs w:val="21"/>
                <w:highlight w:val="none"/>
              </w:rPr>
            </w:pPr>
          </w:p>
        </w:tc>
        <w:tc>
          <w:tcPr>
            <w:tcW w:w="765" w:type="dxa"/>
            <w:vAlign w:val="center"/>
          </w:tcPr>
          <w:p w14:paraId="28AE0E64">
            <w:pPr>
              <w:adjustRightInd w:val="0"/>
              <w:snapToGrid w:val="0"/>
              <w:spacing w:line="240" w:lineRule="auto"/>
              <w:jc w:val="center"/>
              <w:rPr>
                <w:i w:val="0"/>
                <w:iCs w:val="0"/>
                <w:color w:val="auto"/>
                <w:szCs w:val="21"/>
                <w:highlight w:val="none"/>
              </w:rPr>
            </w:pPr>
          </w:p>
        </w:tc>
      </w:tr>
      <w:tr w14:paraId="109A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95" w:type="dxa"/>
            <w:vAlign w:val="center"/>
          </w:tcPr>
          <w:p w14:paraId="4980DC93">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w:t>
            </w:r>
          </w:p>
        </w:tc>
        <w:tc>
          <w:tcPr>
            <w:tcW w:w="3475" w:type="dxa"/>
            <w:vAlign w:val="center"/>
          </w:tcPr>
          <w:p w14:paraId="411BED71">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w:t>
            </w:r>
          </w:p>
        </w:tc>
        <w:tc>
          <w:tcPr>
            <w:tcW w:w="995" w:type="dxa"/>
            <w:vAlign w:val="center"/>
          </w:tcPr>
          <w:p w14:paraId="4E5E01C3">
            <w:pPr>
              <w:adjustRightInd w:val="0"/>
              <w:snapToGrid w:val="0"/>
              <w:spacing w:line="240" w:lineRule="auto"/>
              <w:jc w:val="center"/>
              <w:rPr>
                <w:i w:val="0"/>
                <w:iCs w:val="0"/>
                <w:color w:val="auto"/>
                <w:szCs w:val="21"/>
                <w:highlight w:val="none"/>
              </w:rPr>
            </w:pPr>
          </w:p>
        </w:tc>
        <w:tc>
          <w:tcPr>
            <w:tcW w:w="995" w:type="dxa"/>
            <w:vAlign w:val="center"/>
          </w:tcPr>
          <w:p w14:paraId="0A918223">
            <w:pPr>
              <w:adjustRightInd w:val="0"/>
              <w:snapToGrid w:val="0"/>
              <w:spacing w:line="240" w:lineRule="auto"/>
              <w:jc w:val="center"/>
              <w:rPr>
                <w:i w:val="0"/>
                <w:iCs w:val="0"/>
                <w:color w:val="auto"/>
                <w:szCs w:val="21"/>
                <w:highlight w:val="none"/>
              </w:rPr>
            </w:pPr>
          </w:p>
        </w:tc>
        <w:tc>
          <w:tcPr>
            <w:tcW w:w="1268" w:type="dxa"/>
            <w:vAlign w:val="center"/>
          </w:tcPr>
          <w:p w14:paraId="2B1C263C">
            <w:pPr>
              <w:adjustRightInd w:val="0"/>
              <w:snapToGrid w:val="0"/>
              <w:spacing w:line="240" w:lineRule="auto"/>
              <w:jc w:val="center"/>
              <w:rPr>
                <w:i w:val="0"/>
                <w:iCs w:val="0"/>
                <w:color w:val="auto"/>
                <w:szCs w:val="21"/>
                <w:highlight w:val="none"/>
              </w:rPr>
            </w:pPr>
          </w:p>
        </w:tc>
        <w:tc>
          <w:tcPr>
            <w:tcW w:w="765" w:type="dxa"/>
            <w:vAlign w:val="center"/>
          </w:tcPr>
          <w:p w14:paraId="5AD0504C">
            <w:pPr>
              <w:adjustRightInd w:val="0"/>
              <w:snapToGrid w:val="0"/>
              <w:spacing w:line="240" w:lineRule="auto"/>
              <w:jc w:val="center"/>
              <w:rPr>
                <w:i w:val="0"/>
                <w:iCs w:val="0"/>
                <w:color w:val="auto"/>
                <w:szCs w:val="21"/>
                <w:highlight w:val="none"/>
              </w:rPr>
            </w:pPr>
          </w:p>
        </w:tc>
      </w:tr>
      <w:tr w14:paraId="0614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460" w:type="dxa"/>
            <w:gridSpan w:val="4"/>
            <w:vAlign w:val="center"/>
          </w:tcPr>
          <w:p w14:paraId="1DADC778">
            <w:pPr>
              <w:adjustRightInd w:val="0"/>
              <w:snapToGrid w:val="0"/>
              <w:spacing w:line="240" w:lineRule="auto"/>
              <w:jc w:val="center"/>
              <w:rPr>
                <w:i w:val="0"/>
                <w:iCs w:val="0"/>
                <w:color w:val="auto"/>
                <w:szCs w:val="21"/>
                <w:highlight w:val="none"/>
              </w:rPr>
            </w:pPr>
            <w:r>
              <w:rPr>
                <w:rFonts w:hint="eastAsia"/>
                <w:i w:val="0"/>
                <w:iCs w:val="0"/>
                <w:color w:val="auto"/>
                <w:szCs w:val="21"/>
                <w:highlight w:val="none"/>
              </w:rPr>
              <w:t>报价合计（元）</w:t>
            </w:r>
          </w:p>
        </w:tc>
        <w:tc>
          <w:tcPr>
            <w:tcW w:w="2033" w:type="dxa"/>
            <w:gridSpan w:val="2"/>
            <w:vAlign w:val="center"/>
          </w:tcPr>
          <w:p w14:paraId="014D5019">
            <w:pPr>
              <w:adjustRightInd w:val="0"/>
              <w:snapToGrid w:val="0"/>
              <w:spacing w:line="240" w:lineRule="auto"/>
              <w:jc w:val="center"/>
              <w:rPr>
                <w:i w:val="0"/>
                <w:iCs w:val="0"/>
                <w:color w:val="auto"/>
                <w:szCs w:val="21"/>
                <w:highlight w:val="none"/>
              </w:rPr>
            </w:pPr>
          </w:p>
        </w:tc>
      </w:tr>
    </w:tbl>
    <w:p w14:paraId="3F9C05FF">
      <w:pPr>
        <w:pStyle w:val="15"/>
        <w:rPr>
          <w:rFonts w:hint="eastAsia"/>
          <w:b w:val="0"/>
          <w:bCs/>
          <w:i w:val="0"/>
          <w:iCs w:val="0"/>
          <w:color w:val="auto"/>
          <w:szCs w:val="21"/>
          <w:highlight w:val="none"/>
          <w:u w:val="single"/>
          <w:lang w:val="zh-CN"/>
        </w:rPr>
      </w:pPr>
    </w:p>
    <w:p w14:paraId="77D6C91A">
      <w:pPr>
        <w:spacing w:line="300" w:lineRule="auto"/>
        <w:rPr>
          <w:rFonts w:ascii="Arial" w:hAnsi="Arial" w:cs="Arial"/>
          <w:i w:val="0"/>
          <w:iCs w:val="0"/>
          <w:color w:val="auto"/>
          <w:szCs w:val="21"/>
          <w:highlight w:val="none"/>
        </w:rPr>
      </w:pPr>
    </w:p>
    <w:p w14:paraId="0660145C">
      <w:pPr>
        <w:ind w:right="1008" w:firstLine="4284" w:firstLineChars="17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48BE1986">
      <w:pPr>
        <w:ind w:right="1008" w:firstLine="4284" w:firstLineChars="17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10C64D9B">
      <w:pPr>
        <w:spacing w:line="300" w:lineRule="auto"/>
        <w:rPr>
          <w:rFonts w:ascii="Arial" w:hAnsi="Arial" w:cs="Arial"/>
          <w:i w:val="0"/>
          <w:iCs w:val="0"/>
          <w:color w:val="auto"/>
          <w:szCs w:val="21"/>
          <w:highlight w:val="none"/>
        </w:rPr>
      </w:pPr>
    </w:p>
    <w:p w14:paraId="594A7612">
      <w:pPr>
        <w:spacing w:line="360" w:lineRule="auto"/>
        <w:rPr>
          <w:rFonts w:hint="eastAsia" w:ascii="宋体" w:hAnsi="宋体" w:eastAsia="宋体" w:cs="宋体"/>
          <w:b/>
          <w:i w:val="0"/>
          <w:iCs w:val="0"/>
          <w:color w:val="auto"/>
          <w:sz w:val="21"/>
          <w:szCs w:val="21"/>
          <w:highlight w:val="none"/>
          <w:lang w:eastAsia="zh-CN"/>
        </w:rPr>
      </w:pPr>
      <w:r>
        <w:rPr>
          <w:rFonts w:hint="eastAsia" w:ascii="宋体" w:hAnsi="宋体" w:eastAsia="宋体" w:cs="宋体"/>
          <w:b/>
          <w:i w:val="0"/>
          <w:iCs w:val="0"/>
          <w:color w:val="auto"/>
          <w:sz w:val="21"/>
          <w:szCs w:val="21"/>
          <w:highlight w:val="none"/>
          <w:lang w:eastAsia="zh-CN"/>
        </w:rPr>
        <w:t>注：</w:t>
      </w:r>
    </w:p>
    <w:p w14:paraId="577C741E">
      <w:pPr>
        <w:spacing w:line="360" w:lineRule="auto"/>
        <w:ind w:firstLine="435"/>
        <w:rPr>
          <w:rFonts w:hint="default"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1.</w:t>
      </w:r>
      <w:r>
        <w:rPr>
          <w:rFonts w:hint="default" w:ascii="宋体" w:hAnsi="宋体" w:eastAsia="宋体" w:cs="宋体"/>
          <w:i w:val="0"/>
          <w:iCs w:val="0"/>
          <w:color w:val="auto"/>
          <w:sz w:val="21"/>
          <w:szCs w:val="21"/>
          <w:highlight w:val="none"/>
          <w:lang w:val="en-US" w:eastAsia="zh-CN"/>
        </w:rPr>
        <w:t>按照本表填写的各项目的报价合计填写到</w:t>
      </w:r>
      <w:r>
        <w:rPr>
          <w:rFonts w:hint="eastAsia" w:ascii="宋体" w:hAnsi="宋体" w:eastAsia="宋体" w:cs="宋体"/>
          <w:i w:val="0"/>
          <w:iCs w:val="0"/>
          <w:color w:val="auto"/>
          <w:sz w:val="21"/>
          <w:szCs w:val="21"/>
          <w:highlight w:val="none"/>
          <w:lang w:val="en-US" w:eastAsia="zh-CN"/>
        </w:rPr>
        <w:t>“</w:t>
      </w:r>
      <w:r>
        <w:rPr>
          <w:rFonts w:hint="eastAsia" w:cs="宋体"/>
          <w:i w:val="0"/>
          <w:iCs w:val="0"/>
          <w:color w:val="auto"/>
          <w:sz w:val="21"/>
          <w:szCs w:val="21"/>
          <w:highlight w:val="none"/>
          <w:lang w:val="en-US" w:eastAsia="zh-CN"/>
        </w:rPr>
        <w:t>报价</w:t>
      </w:r>
      <w:r>
        <w:rPr>
          <w:rFonts w:hint="eastAsia" w:ascii="宋体" w:hAnsi="宋体" w:eastAsia="宋体" w:cs="宋体"/>
          <w:i w:val="0"/>
          <w:iCs w:val="0"/>
          <w:color w:val="auto"/>
          <w:sz w:val="21"/>
          <w:szCs w:val="21"/>
          <w:highlight w:val="none"/>
          <w:lang w:val="en-US" w:eastAsia="zh-CN"/>
        </w:rPr>
        <w:t>一览表”</w:t>
      </w:r>
      <w:r>
        <w:rPr>
          <w:rFonts w:hint="default" w:ascii="宋体" w:hAnsi="宋体" w:eastAsia="宋体" w:cs="宋体"/>
          <w:i w:val="0"/>
          <w:iCs w:val="0"/>
          <w:color w:val="auto"/>
          <w:sz w:val="21"/>
          <w:szCs w:val="21"/>
          <w:highlight w:val="none"/>
          <w:lang w:val="en-US" w:eastAsia="zh-CN"/>
        </w:rPr>
        <w:t>中对应的</w:t>
      </w:r>
      <w:r>
        <w:rPr>
          <w:rFonts w:hint="eastAsia" w:cs="宋体"/>
          <w:i w:val="0"/>
          <w:iCs w:val="0"/>
          <w:color w:val="auto"/>
          <w:sz w:val="21"/>
          <w:szCs w:val="21"/>
          <w:highlight w:val="none"/>
          <w:lang w:val="en-US" w:eastAsia="zh-CN"/>
        </w:rPr>
        <w:t>“磋商报价”</w:t>
      </w:r>
      <w:r>
        <w:rPr>
          <w:rFonts w:hint="default" w:ascii="宋体" w:hAnsi="宋体" w:eastAsia="宋体" w:cs="宋体"/>
          <w:i w:val="0"/>
          <w:iCs w:val="0"/>
          <w:color w:val="auto"/>
          <w:sz w:val="21"/>
          <w:szCs w:val="21"/>
          <w:highlight w:val="none"/>
          <w:lang w:val="en-US" w:eastAsia="zh-CN"/>
        </w:rPr>
        <w:t>栏中。</w:t>
      </w:r>
    </w:p>
    <w:p w14:paraId="6B38AB18">
      <w:pPr>
        <w:spacing w:line="360" w:lineRule="auto"/>
        <w:ind w:firstLine="435"/>
        <w:rPr>
          <w:rFonts w:hint="eastAsia" w:ascii="宋体" w:hAnsi="宋体" w:eastAsia="宋体" w:cs="宋体"/>
          <w:i w:val="0"/>
          <w:iCs w:val="0"/>
          <w:color w:val="auto"/>
          <w:sz w:val="21"/>
          <w:szCs w:val="21"/>
          <w:highlight w:val="none"/>
        </w:rPr>
      </w:pPr>
      <w:r>
        <w:rPr>
          <w:rFonts w:hint="eastAsia" w:cs="宋体"/>
          <w:i w:val="0"/>
          <w:iCs w:val="0"/>
          <w:color w:val="auto"/>
          <w:sz w:val="21"/>
          <w:szCs w:val="21"/>
          <w:highlight w:val="none"/>
          <w:lang w:val="en-US" w:eastAsia="zh-CN"/>
        </w:rPr>
        <w:t>2</w:t>
      </w:r>
      <w:r>
        <w:rPr>
          <w:rFonts w:hint="eastAsia" w:ascii="宋体" w:hAnsi="宋体" w:eastAsia="宋体" w:cs="宋体"/>
          <w:i w:val="0"/>
          <w:iCs w:val="0"/>
          <w:color w:val="auto"/>
          <w:sz w:val="21"/>
          <w:szCs w:val="21"/>
          <w:highlight w:val="none"/>
        </w:rPr>
        <w:t>.本项目包括多个单项</w:t>
      </w:r>
      <w:r>
        <w:rPr>
          <w:rFonts w:hint="eastAsia" w:cs="宋体"/>
          <w:i w:val="0"/>
          <w:iCs w:val="0"/>
          <w:color w:val="auto"/>
          <w:sz w:val="21"/>
          <w:szCs w:val="21"/>
          <w:highlight w:val="none"/>
          <w:lang w:val="en-US" w:eastAsia="zh-CN"/>
        </w:rPr>
        <w:t>服务（或</w:t>
      </w:r>
      <w:r>
        <w:rPr>
          <w:rFonts w:hint="eastAsia" w:ascii="宋体" w:hAnsi="宋体" w:eastAsia="宋体" w:cs="宋体"/>
          <w:i w:val="0"/>
          <w:iCs w:val="0"/>
          <w:color w:val="auto"/>
          <w:sz w:val="21"/>
          <w:szCs w:val="21"/>
          <w:highlight w:val="none"/>
        </w:rPr>
        <w:t>设备</w:t>
      </w:r>
      <w:r>
        <w:rPr>
          <w:rFonts w:hint="eastAsia" w:cs="宋体"/>
          <w:i w:val="0"/>
          <w:iCs w:val="0"/>
          <w:color w:val="auto"/>
          <w:sz w:val="21"/>
          <w:szCs w:val="21"/>
          <w:highlight w:val="none"/>
          <w:lang w:eastAsia="zh-CN"/>
        </w:rPr>
        <w:t>）</w:t>
      </w:r>
      <w:r>
        <w:rPr>
          <w:rFonts w:hint="eastAsia" w:ascii="宋体" w:hAnsi="宋体" w:eastAsia="宋体" w:cs="宋体"/>
          <w:i w:val="0"/>
          <w:iCs w:val="0"/>
          <w:color w:val="auto"/>
          <w:sz w:val="21"/>
          <w:szCs w:val="21"/>
          <w:highlight w:val="none"/>
        </w:rPr>
        <w:t>，单项</w:t>
      </w:r>
      <w:r>
        <w:rPr>
          <w:rFonts w:hint="eastAsia" w:cs="宋体"/>
          <w:i w:val="0"/>
          <w:iCs w:val="0"/>
          <w:color w:val="auto"/>
          <w:sz w:val="21"/>
          <w:szCs w:val="21"/>
          <w:highlight w:val="none"/>
          <w:lang w:val="en-US" w:eastAsia="zh-CN"/>
        </w:rPr>
        <w:t>服务（或</w:t>
      </w:r>
      <w:r>
        <w:rPr>
          <w:rFonts w:hint="eastAsia" w:ascii="宋体" w:hAnsi="宋体" w:eastAsia="宋体" w:cs="宋体"/>
          <w:i w:val="0"/>
          <w:iCs w:val="0"/>
          <w:color w:val="auto"/>
          <w:sz w:val="21"/>
          <w:szCs w:val="21"/>
          <w:highlight w:val="none"/>
        </w:rPr>
        <w:t>设备</w:t>
      </w:r>
      <w:r>
        <w:rPr>
          <w:rFonts w:hint="eastAsia" w:cs="宋体"/>
          <w:i w:val="0"/>
          <w:iCs w:val="0"/>
          <w:color w:val="auto"/>
          <w:sz w:val="21"/>
          <w:szCs w:val="21"/>
          <w:highlight w:val="none"/>
          <w:lang w:eastAsia="zh-CN"/>
        </w:rPr>
        <w:t>）</w:t>
      </w:r>
      <w:r>
        <w:rPr>
          <w:rFonts w:hint="eastAsia" w:ascii="宋体" w:hAnsi="宋体" w:eastAsia="宋体" w:cs="宋体"/>
          <w:i w:val="0"/>
          <w:iCs w:val="0"/>
          <w:color w:val="auto"/>
          <w:sz w:val="21"/>
          <w:szCs w:val="21"/>
          <w:highlight w:val="none"/>
        </w:rPr>
        <w:t>的具体采购预算金额详见招标文件中第三章采购需求；供应商投标报价若超过本项目</w:t>
      </w:r>
      <w:r>
        <w:rPr>
          <w:rFonts w:hint="eastAsia" w:cs="宋体"/>
          <w:i w:val="0"/>
          <w:iCs w:val="0"/>
          <w:color w:val="auto"/>
          <w:sz w:val="21"/>
          <w:szCs w:val="21"/>
          <w:highlight w:val="none"/>
          <w:lang w:val="en-US" w:eastAsia="zh-CN"/>
        </w:rPr>
        <w:t>最高限价</w:t>
      </w:r>
      <w:r>
        <w:rPr>
          <w:rFonts w:hint="eastAsia" w:ascii="宋体" w:hAnsi="宋体" w:eastAsia="宋体" w:cs="宋体"/>
          <w:i w:val="0"/>
          <w:iCs w:val="0"/>
          <w:color w:val="auto"/>
          <w:sz w:val="21"/>
          <w:szCs w:val="21"/>
          <w:highlight w:val="none"/>
        </w:rPr>
        <w:t>以及单项</w:t>
      </w:r>
      <w:r>
        <w:rPr>
          <w:rFonts w:hint="eastAsia" w:cs="宋体"/>
          <w:i w:val="0"/>
          <w:iCs w:val="0"/>
          <w:color w:val="auto"/>
          <w:sz w:val="21"/>
          <w:szCs w:val="21"/>
          <w:highlight w:val="none"/>
          <w:lang w:val="en-US" w:eastAsia="zh-CN"/>
        </w:rPr>
        <w:t>服务（或</w:t>
      </w:r>
      <w:r>
        <w:rPr>
          <w:rFonts w:hint="eastAsia" w:ascii="宋体" w:hAnsi="宋体" w:eastAsia="宋体" w:cs="宋体"/>
          <w:i w:val="0"/>
          <w:iCs w:val="0"/>
          <w:color w:val="auto"/>
          <w:sz w:val="21"/>
          <w:szCs w:val="21"/>
          <w:highlight w:val="none"/>
        </w:rPr>
        <w:t>设备</w:t>
      </w:r>
      <w:r>
        <w:rPr>
          <w:rFonts w:hint="eastAsia" w:cs="宋体"/>
          <w:i w:val="0"/>
          <w:iCs w:val="0"/>
          <w:color w:val="auto"/>
          <w:sz w:val="21"/>
          <w:szCs w:val="21"/>
          <w:highlight w:val="none"/>
          <w:lang w:eastAsia="zh-CN"/>
        </w:rPr>
        <w:t>）</w:t>
      </w:r>
      <w:r>
        <w:rPr>
          <w:rFonts w:hint="eastAsia" w:ascii="宋体" w:hAnsi="宋体" w:eastAsia="宋体" w:cs="宋体"/>
          <w:i w:val="0"/>
          <w:iCs w:val="0"/>
          <w:color w:val="auto"/>
          <w:sz w:val="21"/>
          <w:szCs w:val="21"/>
          <w:highlight w:val="none"/>
        </w:rPr>
        <w:t>超过</w:t>
      </w:r>
      <w:r>
        <w:rPr>
          <w:rFonts w:hint="eastAsia" w:cs="宋体"/>
          <w:i w:val="0"/>
          <w:iCs w:val="0"/>
          <w:color w:val="auto"/>
          <w:sz w:val="21"/>
          <w:szCs w:val="21"/>
          <w:highlight w:val="none"/>
          <w:lang w:val="en-US" w:eastAsia="zh-CN"/>
        </w:rPr>
        <w:t>最高限价</w:t>
      </w:r>
      <w:r>
        <w:rPr>
          <w:rFonts w:hint="eastAsia" w:ascii="宋体" w:hAnsi="宋体" w:eastAsia="宋体" w:cs="宋体"/>
          <w:i w:val="0"/>
          <w:iCs w:val="0"/>
          <w:color w:val="auto"/>
          <w:sz w:val="21"/>
          <w:szCs w:val="21"/>
          <w:highlight w:val="none"/>
        </w:rPr>
        <w:t>的，其投标报价按无效投标处理。</w:t>
      </w:r>
    </w:p>
    <w:p w14:paraId="5254FE59">
      <w:pPr>
        <w:spacing w:line="360" w:lineRule="auto"/>
        <w:ind w:firstLine="435"/>
        <w:rPr>
          <w:rFonts w:hint="eastAsia" w:ascii="宋体" w:hAnsi="宋体" w:eastAsia="宋体" w:cs="宋体"/>
          <w:i w:val="0"/>
          <w:iCs w:val="0"/>
          <w:color w:val="auto"/>
          <w:sz w:val="21"/>
          <w:szCs w:val="21"/>
          <w:highlight w:val="none"/>
        </w:rPr>
      </w:pPr>
      <w:r>
        <w:rPr>
          <w:rFonts w:hint="eastAsia"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rPr>
        <w:t>所列服务为对应本项目需求的全部服务内容。如有漏项或缺项，</w:t>
      </w:r>
      <w:r>
        <w:rPr>
          <w:rFonts w:hint="eastAsia" w:cs="宋体"/>
          <w:i w:val="0"/>
          <w:iCs w:val="0"/>
          <w:color w:val="auto"/>
          <w:sz w:val="21"/>
          <w:szCs w:val="21"/>
          <w:highlight w:val="none"/>
          <w:lang w:val="en-US" w:eastAsia="zh-CN"/>
        </w:rPr>
        <w:t>供应商</w:t>
      </w:r>
      <w:r>
        <w:rPr>
          <w:rFonts w:hint="eastAsia" w:ascii="宋体" w:hAnsi="宋体" w:eastAsia="宋体" w:cs="宋体"/>
          <w:i w:val="0"/>
          <w:iCs w:val="0"/>
          <w:color w:val="auto"/>
          <w:sz w:val="21"/>
          <w:szCs w:val="21"/>
          <w:highlight w:val="none"/>
        </w:rPr>
        <w:t>承担全部责任。</w:t>
      </w:r>
    </w:p>
    <w:p w14:paraId="37E3EA3B">
      <w:pPr>
        <w:pStyle w:val="68"/>
        <w:keepNext w:val="0"/>
        <w:keepLines w:val="0"/>
        <w:pageBreakBefore w:val="0"/>
        <w:widowControl/>
        <w:shd w:val="clear" w:color="auto" w:fill="auto"/>
        <w:kinsoku/>
        <w:wordWrap/>
        <w:overflowPunct/>
        <w:topLinePunct w:val="0"/>
        <w:autoSpaceDE/>
        <w:autoSpaceDN/>
        <w:bidi w:val="0"/>
        <w:adjustRightInd/>
        <w:snapToGrid/>
        <w:spacing w:afterAutospacing="0" w:line="360" w:lineRule="exact"/>
        <w:textAlignment w:val="auto"/>
        <w:rPr>
          <w:rFonts w:hint="eastAsia" w:ascii="宋体" w:hAnsi="宋体" w:eastAsia="宋体" w:cs="宋体"/>
          <w:b/>
          <w:bCs/>
          <w:i w:val="0"/>
          <w:iCs w:val="0"/>
          <w:color w:val="auto"/>
          <w:highlight w:val="none"/>
          <w:lang w:val="en-US" w:eastAsia="zh-CN"/>
        </w:rPr>
      </w:pPr>
    </w:p>
    <w:p w14:paraId="379D6A13">
      <w:pPr>
        <w:pStyle w:val="68"/>
        <w:keepNext w:val="0"/>
        <w:keepLines w:val="0"/>
        <w:pageBreakBefore w:val="0"/>
        <w:widowControl/>
        <w:shd w:val="clear" w:color="auto" w:fill="auto"/>
        <w:kinsoku/>
        <w:wordWrap/>
        <w:overflowPunct/>
        <w:topLinePunct w:val="0"/>
        <w:autoSpaceDE/>
        <w:autoSpaceDN/>
        <w:bidi w:val="0"/>
        <w:adjustRightInd/>
        <w:snapToGrid/>
        <w:spacing w:afterAutospacing="0" w:line="360" w:lineRule="exact"/>
        <w:textAlignment w:val="auto"/>
        <w:rPr>
          <w:rFonts w:hint="eastAsia" w:ascii="宋体" w:hAnsi="宋体" w:eastAsia="宋体" w:cs="宋体"/>
          <w:b/>
          <w:bCs/>
          <w:i w:val="0"/>
          <w:iCs w:val="0"/>
          <w:color w:val="auto"/>
          <w:highlight w:val="none"/>
          <w:lang w:val="en-US" w:eastAsia="zh-CN"/>
        </w:rPr>
        <w:sectPr>
          <w:pgSz w:w="11906" w:h="16838"/>
          <w:pgMar w:top="1440" w:right="1800" w:bottom="1440" w:left="1800" w:header="851" w:footer="992" w:gutter="0"/>
          <w:pgNumType w:fmt="numberInDash"/>
          <w:cols w:space="425" w:num="1"/>
          <w:docGrid w:type="lines" w:linePitch="312" w:charSpace="0"/>
        </w:sectPr>
      </w:pPr>
    </w:p>
    <w:p w14:paraId="557CE74B">
      <w:pPr>
        <w:pStyle w:val="68"/>
        <w:keepNext w:val="0"/>
        <w:keepLines w:val="0"/>
        <w:pageBreakBefore w:val="0"/>
        <w:widowControl/>
        <w:shd w:val="clear" w:color="auto" w:fill="auto"/>
        <w:kinsoku/>
        <w:wordWrap/>
        <w:overflowPunct/>
        <w:topLinePunct w:val="0"/>
        <w:autoSpaceDE/>
        <w:autoSpaceDN/>
        <w:bidi w:val="0"/>
        <w:adjustRightInd/>
        <w:snapToGrid/>
        <w:spacing w:afterAutospacing="0" w:line="360" w:lineRule="exact"/>
        <w:textAlignment w:val="auto"/>
        <w:rPr>
          <w:rFonts w:hint="eastAsia" w:ascii="宋体" w:hAnsi="宋体" w:eastAsia="宋体" w:cs="宋体"/>
          <w:b/>
          <w:bCs/>
          <w:i w:val="0"/>
          <w:iCs w:val="0"/>
          <w:color w:val="auto"/>
          <w:highlight w:val="none"/>
          <w:lang w:val="en-US" w:eastAsia="zh-CN"/>
        </w:rPr>
      </w:pPr>
    </w:p>
    <w:p w14:paraId="5961760F">
      <w:pPr>
        <w:pStyle w:val="68"/>
        <w:keepNext w:val="0"/>
        <w:keepLines w:val="0"/>
        <w:pageBreakBefore w:val="0"/>
        <w:widowControl/>
        <w:shd w:val="clear" w:color="auto" w:fill="auto"/>
        <w:kinsoku/>
        <w:wordWrap/>
        <w:overflowPunct/>
        <w:topLinePunct w:val="0"/>
        <w:autoSpaceDE/>
        <w:autoSpaceDN/>
        <w:bidi w:val="0"/>
        <w:adjustRightInd/>
        <w:snapToGrid/>
        <w:spacing w:afterAutospacing="0" w:line="360" w:lineRule="exact"/>
        <w:textAlignment w:val="auto"/>
        <w:rPr>
          <w:rFonts w:hint="eastAsia" w:ascii="宋体" w:hAnsi="宋体" w:eastAsia="宋体" w:cs="宋体"/>
          <w:b/>
          <w:bCs/>
          <w:i w:val="0"/>
          <w:iCs w:val="0"/>
          <w:color w:val="auto"/>
          <w:highlight w:val="none"/>
          <w:lang w:val="en-US" w:eastAsia="zh-CN"/>
        </w:rPr>
      </w:pPr>
    </w:p>
    <w:p w14:paraId="49F9D5A7">
      <w:pPr>
        <w:ind w:firstLine="480" w:firstLineChars="200"/>
        <w:rPr>
          <w:rFonts w:cs="仿宋_GB2312"/>
          <w:i w:val="0"/>
          <w:iCs w:val="0"/>
          <w:color w:val="auto"/>
          <w:szCs w:val="24"/>
          <w:highlight w:val="none"/>
          <w:lang w:val="zh-CN"/>
        </w:rPr>
      </w:pPr>
      <w:r>
        <w:rPr>
          <w:rFonts w:hint="eastAsia" w:cs="仿宋_GB2312"/>
          <w:i w:val="0"/>
          <w:iCs w:val="0"/>
          <w:color w:val="auto"/>
          <w:szCs w:val="24"/>
          <w:highlight w:val="none"/>
          <w:lang w:val="zh-CN"/>
        </w:rPr>
        <w:t>封面：</w:t>
      </w:r>
    </w:p>
    <w:p w14:paraId="0A28CB63">
      <w:pPr>
        <w:autoSpaceDE w:val="0"/>
        <w:autoSpaceDN w:val="0"/>
        <w:adjustRightInd w:val="0"/>
        <w:rPr>
          <w:i w:val="0"/>
          <w:iCs w:val="0"/>
          <w:color w:val="auto"/>
          <w:sz w:val="21"/>
          <w:szCs w:val="24"/>
          <w:highlight w:val="none"/>
        </w:rPr>
      </w:pPr>
    </w:p>
    <w:p w14:paraId="6A4B7ABF">
      <w:pPr>
        <w:autoSpaceDE w:val="0"/>
        <w:autoSpaceDN w:val="0"/>
        <w:adjustRightInd w:val="0"/>
        <w:rPr>
          <w:i w:val="0"/>
          <w:iCs w:val="0"/>
          <w:color w:val="auto"/>
          <w:sz w:val="21"/>
          <w:szCs w:val="24"/>
          <w:highlight w:val="none"/>
        </w:rPr>
      </w:pPr>
    </w:p>
    <w:p w14:paraId="2EDD221D">
      <w:pPr>
        <w:autoSpaceDE w:val="0"/>
        <w:autoSpaceDN w:val="0"/>
        <w:adjustRightInd w:val="0"/>
        <w:jc w:val="center"/>
        <w:rPr>
          <w:i w:val="0"/>
          <w:iCs w:val="0"/>
          <w:color w:val="auto"/>
          <w:sz w:val="21"/>
          <w:szCs w:val="24"/>
          <w:highlight w:val="none"/>
        </w:rPr>
      </w:pPr>
    </w:p>
    <w:p w14:paraId="7F0D4B2C">
      <w:pPr>
        <w:pStyle w:val="4"/>
        <w:bidi w:val="0"/>
        <w:rPr>
          <w:rFonts w:hint="eastAsia"/>
          <w:color w:val="auto"/>
          <w:sz w:val="72"/>
          <w:szCs w:val="72"/>
          <w:highlight w:val="none"/>
          <w:lang w:val="en-US" w:eastAsia="zh-CN"/>
        </w:rPr>
      </w:pPr>
      <w:bookmarkStart w:id="677" w:name="_Toc2066"/>
      <w:r>
        <w:rPr>
          <w:rFonts w:hint="eastAsia"/>
          <w:color w:val="auto"/>
          <w:sz w:val="72"/>
          <w:szCs w:val="72"/>
          <w:highlight w:val="none"/>
          <w:lang w:val="en-US" w:eastAsia="zh-CN"/>
        </w:rPr>
        <w:t>响 应 文 件</w:t>
      </w:r>
      <w:bookmarkEnd w:id="677"/>
    </w:p>
    <w:p w14:paraId="4CD2590D">
      <w:pPr>
        <w:pStyle w:val="4"/>
        <w:bidi w:val="0"/>
        <w:rPr>
          <w:rFonts w:hint="eastAsia"/>
          <w:color w:val="auto"/>
          <w:sz w:val="72"/>
          <w:szCs w:val="72"/>
          <w:highlight w:val="none"/>
          <w:lang w:val="en-US" w:eastAsia="zh-CN"/>
        </w:rPr>
      </w:pPr>
      <w:bookmarkStart w:id="678" w:name="_Toc32251"/>
      <w:r>
        <w:rPr>
          <w:rFonts w:hint="eastAsia"/>
          <w:color w:val="auto"/>
          <w:sz w:val="72"/>
          <w:szCs w:val="72"/>
          <w:highlight w:val="none"/>
          <w:lang w:val="en-US" w:eastAsia="zh-CN"/>
        </w:rPr>
        <w:t>商务技术文件</w:t>
      </w:r>
      <w:bookmarkEnd w:id="678"/>
    </w:p>
    <w:p w14:paraId="04F03981">
      <w:pPr>
        <w:outlineLvl w:val="9"/>
        <w:rPr>
          <w:i w:val="0"/>
          <w:iCs w:val="0"/>
          <w:color w:val="auto"/>
          <w:sz w:val="21"/>
          <w:szCs w:val="21"/>
          <w:highlight w:val="none"/>
        </w:rPr>
      </w:pPr>
    </w:p>
    <w:p w14:paraId="18B95154">
      <w:pPr>
        <w:rPr>
          <w:highlight w:val="none"/>
        </w:rPr>
      </w:pPr>
    </w:p>
    <w:p w14:paraId="2B543D0D">
      <w:pPr>
        <w:rPr>
          <w:i w:val="0"/>
          <w:iCs w:val="0"/>
          <w:color w:val="auto"/>
          <w:sz w:val="21"/>
          <w:szCs w:val="21"/>
          <w:highlight w:val="none"/>
        </w:rPr>
      </w:pPr>
    </w:p>
    <w:p w14:paraId="05A997EB">
      <w:pPr>
        <w:rPr>
          <w:i w:val="0"/>
          <w:iCs w:val="0"/>
          <w:color w:val="auto"/>
          <w:highlight w:val="none"/>
        </w:rPr>
      </w:pPr>
    </w:p>
    <w:p w14:paraId="0DC250C8">
      <w:pPr>
        <w:autoSpaceDE w:val="0"/>
        <w:autoSpaceDN w:val="0"/>
        <w:adjustRightInd w:val="0"/>
        <w:rPr>
          <w:i w:val="0"/>
          <w:iCs w:val="0"/>
          <w:color w:val="auto"/>
          <w:sz w:val="21"/>
          <w:szCs w:val="21"/>
          <w:highlight w:val="none"/>
        </w:rPr>
      </w:pPr>
    </w:p>
    <w:p w14:paraId="560B7EC9">
      <w:pPr>
        <w:autoSpaceDE w:val="0"/>
        <w:autoSpaceDN w:val="0"/>
        <w:adjustRightInd w:val="0"/>
        <w:rPr>
          <w:i w:val="0"/>
          <w:iCs w:val="0"/>
          <w:color w:val="auto"/>
          <w:sz w:val="21"/>
          <w:szCs w:val="21"/>
          <w:highlight w:val="none"/>
        </w:rPr>
      </w:pPr>
    </w:p>
    <w:p w14:paraId="09EAB0C4">
      <w:pPr>
        <w:ind w:left="420" w:leftChars="175"/>
        <w:rPr>
          <w:rFonts w:hint="eastAsia" w:ascii="宋体" w:hAnsi="宋体" w:eastAsia="宋体" w:cs="宋体"/>
          <w:i w:val="0"/>
          <w:iCs w:val="0"/>
          <w:color w:val="auto"/>
          <w:sz w:val="36"/>
          <w:szCs w:val="36"/>
          <w:highlight w:val="none"/>
        </w:rPr>
      </w:pPr>
      <w:r>
        <w:rPr>
          <w:rFonts w:hint="eastAsia" w:ascii="宋体" w:hAnsi="宋体" w:eastAsia="宋体" w:cs="宋体"/>
          <w:i w:val="0"/>
          <w:iCs w:val="0"/>
          <w:color w:val="auto"/>
          <w:sz w:val="36"/>
          <w:szCs w:val="36"/>
          <w:highlight w:val="none"/>
        </w:rPr>
        <w:t>项目编号</w:t>
      </w:r>
      <w:r>
        <w:rPr>
          <w:rFonts w:hint="eastAsia" w:ascii="宋体" w:hAnsi="宋体" w:eastAsia="宋体" w:cs="宋体"/>
          <w:i w:val="0"/>
          <w:iCs w:val="0"/>
          <w:color w:val="auto"/>
          <w:sz w:val="36"/>
          <w:szCs w:val="36"/>
          <w:highlight w:val="none"/>
          <w:lang w:val="en-US" w:eastAsia="zh-CN"/>
        </w:rPr>
        <w:t>/包号</w:t>
      </w:r>
      <w:r>
        <w:rPr>
          <w:rFonts w:hint="eastAsia" w:ascii="宋体" w:hAnsi="宋体" w:eastAsia="宋体" w:cs="宋体"/>
          <w:i w:val="0"/>
          <w:iCs w:val="0"/>
          <w:color w:val="auto"/>
          <w:sz w:val="36"/>
          <w:szCs w:val="36"/>
          <w:highlight w:val="none"/>
        </w:rPr>
        <w:t>：</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72977F15">
      <w:pPr>
        <w:ind w:left="420" w:leftChars="175"/>
        <w:rPr>
          <w:rFonts w:hint="eastAsia" w:ascii="宋体" w:hAnsi="宋体" w:eastAsia="宋体" w:cs="宋体"/>
          <w:i w:val="0"/>
          <w:iCs w:val="0"/>
          <w:color w:val="auto"/>
          <w:sz w:val="36"/>
          <w:szCs w:val="36"/>
          <w:highlight w:val="none"/>
        </w:rPr>
      </w:pPr>
      <w:r>
        <w:rPr>
          <w:rFonts w:hint="eastAsia" w:ascii="宋体" w:hAnsi="宋体" w:eastAsia="宋体" w:cs="宋体"/>
          <w:i w:val="0"/>
          <w:iCs w:val="0"/>
          <w:color w:val="auto"/>
          <w:sz w:val="36"/>
          <w:szCs w:val="36"/>
          <w:highlight w:val="none"/>
        </w:rPr>
        <w:t>项目名称：</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4CEA6586">
      <w:pPr>
        <w:ind w:left="420" w:leftChars="175"/>
        <w:rPr>
          <w:rFonts w:hint="eastAsia" w:ascii="宋体" w:hAnsi="宋体" w:eastAsia="宋体" w:cs="宋体"/>
          <w:i w:val="0"/>
          <w:iCs w:val="0"/>
          <w:color w:val="auto"/>
          <w:sz w:val="36"/>
          <w:szCs w:val="36"/>
          <w:highlight w:val="none"/>
        </w:rPr>
      </w:pPr>
      <w:r>
        <w:rPr>
          <w:rFonts w:hint="eastAsia" w:cs="宋体"/>
          <w:i w:val="0"/>
          <w:iCs w:val="0"/>
          <w:color w:val="auto"/>
          <w:sz w:val="36"/>
          <w:szCs w:val="36"/>
          <w:highlight w:val="none"/>
          <w:lang w:val="en-US" w:eastAsia="zh-CN"/>
        </w:rPr>
        <w:t>供 应 商</w:t>
      </w:r>
      <w:r>
        <w:rPr>
          <w:rFonts w:hint="eastAsia" w:ascii="宋体" w:hAnsi="宋体" w:eastAsia="宋体" w:cs="宋体"/>
          <w:i w:val="0"/>
          <w:iCs w:val="0"/>
          <w:color w:val="auto"/>
          <w:sz w:val="36"/>
          <w:szCs w:val="36"/>
          <w:highlight w:val="none"/>
        </w:rPr>
        <w:t>：</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r>
        <w:rPr>
          <w:rFonts w:hint="eastAsia" w:ascii="宋体" w:hAnsi="宋体" w:eastAsia="宋体" w:cs="宋体"/>
          <w:i w:val="0"/>
          <w:iCs w:val="0"/>
          <w:color w:val="auto"/>
          <w:sz w:val="36"/>
          <w:szCs w:val="36"/>
          <w:highlight w:val="none"/>
          <w:u w:val="single"/>
          <w:lang w:val="en-US" w:eastAsia="zh-CN"/>
        </w:rPr>
        <w:t xml:space="preserve"> </w:t>
      </w:r>
      <w:r>
        <w:rPr>
          <w:rFonts w:hint="eastAsia" w:ascii="宋体" w:hAnsi="宋体" w:eastAsia="宋体" w:cs="宋体"/>
          <w:i w:val="0"/>
          <w:iCs w:val="0"/>
          <w:color w:val="auto"/>
          <w:sz w:val="36"/>
          <w:szCs w:val="36"/>
          <w:highlight w:val="none"/>
          <w:u w:val="single"/>
        </w:rPr>
        <w:t xml:space="preserve">              </w:t>
      </w:r>
    </w:p>
    <w:p w14:paraId="00CA2D99">
      <w:pPr>
        <w:rPr>
          <w:rFonts w:ascii="黑体" w:hAnsi="黑体" w:eastAsia="黑体"/>
          <w:i w:val="0"/>
          <w:iCs w:val="0"/>
          <w:color w:val="auto"/>
          <w:sz w:val="32"/>
          <w:szCs w:val="32"/>
          <w:highlight w:val="none"/>
        </w:rPr>
      </w:pPr>
      <w:r>
        <w:rPr>
          <w:rFonts w:ascii="黑体" w:hAnsi="黑体" w:eastAsia="黑体"/>
          <w:i w:val="0"/>
          <w:iCs w:val="0"/>
          <w:color w:val="auto"/>
          <w:sz w:val="32"/>
          <w:szCs w:val="32"/>
          <w:highlight w:val="none"/>
        </w:rPr>
        <w:br w:type="page"/>
      </w:r>
    </w:p>
    <w:p w14:paraId="414ED11F">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679" w:name="_Toc163492915"/>
      <w:bookmarkStart w:id="680" w:name="_Toc7399"/>
      <w:bookmarkStart w:id="681" w:name="_Toc3577"/>
      <w:bookmarkStart w:id="682" w:name="_Toc109899908"/>
      <w:bookmarkStart w:id="683" w:name="_Toc109900327"/>
      <w:bookmarkStart w:id="684" w:name="_Toc155185921"/>
      <w:bookmarkStart w:id="685" w:name="_Toc140132831"/>
      <w:bookmarkStart w:id="686" w:name="_Toc109899489"/>
      <w:bookmarkStart w:id="687" w:name="_Toc25402"/>
      <w:r>
        <w:rPr>
          <w:rFonts w:hint="eastAsia" w:ascii="等线 Light" w:hAnsi="等线 Light" w:eastAsia="宋体" w:cs="宋体"/>
          <w:b/>
          <w:bCs/>
          <w:i w:val="0"/>
          <w:iCs w:val="0"/>
          <w:color w:val="auto"/>
          <w:kern w:val="2"/>
          <w:sz w:val="32"/>
          <w:szCs w:val="32"/>
          <w:highlight w:val="none"/>
          <w:lang w:val="en-US" w:eastAsia="zh-CN" w:bidi="ar-SA"/>
        </w:rPr>
        <w:t>一、</w:t>
      </w:r>
      <w:r>
        <w:rPr>
          <w:rFonts w:hint="eastAsia" w:cs="宋体"/>
          <w:b/>
          <w:bCs/>
          <w:i w:val="0"/>
          <w:iCs w:val="0"/>
          <w:color w:val="auto"/>
          <w:kern w:val="2"/>
          <w:sz w:val="32"/>
          <w:szCs w:val="32"/>
          <w:highlight w:val="none"/>
          <w:lang w:val="en-US" w:eastAsia="zh-CN" w:bidi="ar-SA"/>
        </w:rPr>
        <w:t>响应</w:t>
      </w:r>
      <w:r>
        <w:rPr>
          <w:rFonts w:hint="eastAsia" w:ascii="等线 Light" w:hAnsi="等线 Light" w:eastAsia="宋体" w:cs="宋体"/>
          <w:b/>
          <w:bCs/>
          <w:i w:val="0"/>
          <w:iCs w:val="0"/>
          <w:color w:val="auto"/>
          <w:kern w:val="2"/>
          <w:sz w:val="32"/>
          <w:szCs w:val="32"/>
          <w:highlight w:val="none"/>
          <w:lang w:val="en-US" w:eastAsia="zh-CN" w:bidi="ar-SA"/>
        </w:rPr>
        <w:t>函</w:t>
      </w:r>
      <w:bookmarkEnd w:id="679"/>
      <w:bookmarkEnd w:id="680"/>
      <w:bookmarkEnd w:id="681"/>
      <w:bookmarkEnd w:id="682"/>
      <w:bookmarkEnd w:id="683"/>
      <w:bookmarkEnd w:id="684"/>
      <w:bookmarkEnd w:id="685"/>
      <w:bookmarkEnd w:id="686"/>
      <w:bookmarkEnd w:id="687"/>
    </w:p>
    <w:p w14:paraId="5491206E">
      <w:pPr>
        <w:rPr>
          <w:i w:val="0"/>
          <w:iCs w:val="0"/>
          <w:color w:val="auto"/>
          <w:highlight w:val="none"/>
        </w:rPr>
      </w:pPr>
      <w:r>
        <w:rPr>
          <w:rFonts w:hint="eastAsia"/>
          <w:i w:val="0"/>
          <w:iCs w:val="0"/>
          <w:color w:val="auto"/>
          <w:highlight w:val="none"/>
        </w:rPr>
        <w:t>致：（采购人）</w:t>
      </w:r>
    </w:p>
    <w:p w14:paraId="109E9886">
      <w:pPr>
        <w:ind w:firstLine="480" w:firstLineChars="200"/>
        <w:rPr>
          <w:rFonts w:cs="仿宋_GB2312"/>
          <w:b/>
          <w:bCs/>
          <w:i w:val="0"/>
          <w:iCs w:val="0"/>
          <w:color w:val="auto"/>
          <w:szCs w:val="24"/>
          <w:highlight w:val="none"/>
        </w:rPr>
      </w:pPr>
      <w:r>
        <w:rPr>
          <w:rFonts w:hint="eastAsia" w:cs="仿宋_GB2312"/>
          <w:i w:val="0"/>
          <w:iCs w:val="0"/>
          <w:color w:val="auto"/>
          <w:szCs w:val="24"/>
          <w:highlight w:val="none"/>
        </w:rPr>
        <w:t>根据贵方</w:t>
      </w:r>
      <w:r>
        <w:rPr>
          <w:rFonts w:hint="eastAsia" w:cs="仿宋_GB2312"/>
          <w:i w:val="0"/>
          <w:iCs w:val="0"/>
          <w:color w:val="auto"/>
          <w:szCs w:val="24"/>
          <w:highlight w:val="none"/>
          <w:u w:val="single"/>
        </w:rPr>
        <w:t>（项目名称）（项目编号</w:t>
      </w:r>
      <w:r>
        <w:rPr>
          <w:rFonts w:hint="eastAsia" w:cs="仿宋_GB2312"/>
          <w:i w:val="0"/>
          <w:iCs w:val="0"/>
          <w:color w:val="auto"/>
          <w:szCs w:val="24"/>
          <w:highlight w:val="none"/>
          <w:u w:val="single"/>
          <w:lang w:val="en-US" w:eastAsia="zh-CN"/>
        </w:rPr>
        <w:t>/包号</w:t>
      </w:r>
      <w:r>
        <w:rPr>
          <w:rFonts w:hint="eastAsia" w:cs="仿宋_GB2312"/>
          <w:i w:val="0"/>
          <w:iCs w:val="0"/>
          <w:color w:val="auto"/>
          <w:szCs w:val="24"/>
          <w:highlight w:val="none"/>
          <w:u w:val="single"/>
        </w:rPr>
        <w:t>）</w:t>
      </w:r>
      <w:r>
        <w:rPr>
          <w:rFonts w:hint="eastAsia" w:cs="仿宋_GB2312"/>
          <w:i w:val="0"/>
          <w:iCs w:val="0"/>
          <w:color w:val="auto"/>
          <w:szCs w:val="24"/>
          <w:highlight w:val="none"/>
          <w:lang w:val="en-US" w:eastAsia="zh-CN"/>
        </w:rPr>
        <w:t>项目</w:t>
      </w:r>
      <w:r>
        <w:rPr>
          <w:rFonts w:hint="eastAsia" w:cs="仿宋_GB2312"/>
          <w:i w:val="0"/>
          <w:iCs w:val="0"/>
          <w:color w:val="auto"/>
          <w:szCs w:val="24"/>
          <w:highlight w:val="none"/>
        </w:rPr>
        <w:t>的</w:t>
      </w:r>
      <w:r>
        <w:rPr>
          <w:rFonts w:hint="eastAsia" w:cs="仿宋_GB2312"/>
          <w:i w:val="0"/>
          <w:iCs w:val="0"/>
          <w:color w:val="auto"/>
          <w:szCs w:val="24"/>
          <w:highlight w:val="none"/>
          <w:lang w:val="en-US" w:eastAsia="zh-CN"/>
        </w:rPr>
        <w:t>竞争性磋商公告</w:t>
      </w:r>
      <w:r>
        <w:rPr>
          <w:rFonts w:hint="eastAsia" w:cs="仿宋_GB2312"/>
          <w:i w:val="0"/>
          <w:iCs w:val="0"/>
          <w:color w:val="auto"/>
          <w:szCs w:val="24"/>
          <w:highlight w:val="none"/>
        </w:rPr>
        <w:t>，签字代表</w:t>
      </w:r>
      <w:r>
        <w:rPr>
          <w:rFonts w:hint="eastAsia" w:cs="仿宋_GB2312"/>
          <w:i w:val="0"/>
          <w:iCs w:val="0"/>
          <w:color w:val="auto"/>
          <w:szCs w:val="24"/>
          <w:highlight w:val="none"/>
          <w:u w:val="single"/>
        </w:rPr>
        <w:t>（姓名、职务）</w:t>
      </w:r>
      <w:r>
        <w:rPr>
          <w:rFonts w:hint="eastAsia" w:cs="仿宋_GB2312"/>
          <w:i w:val="0"/>
          <w:iCs w:val="0"/>
          <w:color w:val="auto"/>
          <w:szCs w:val="24"/>
          <w:highlight w:val="none"/>
        </w:rPr>
        <w:t>经正式授权并代表</w:t>
      </w:r>
      <w:r>
        <w:rPr>
          <w:rFonts w:hint="eastAsia" w:cs="仿宋_GB2312"/>
          <w:i w:val="0"/>
          <w:iCs w:val="0"/>
          <w:color w:val="auto"/>
          <w:szCs w:val="24"/>
          <w:highlight w:val="none"/>
          <w:lang w:val="en-US" w:eastAsia="zh-CN"/>
        </w:rPr>
        <w:t>供应商</w:t>
      </w:r>
      <w:r>
        <w:rPr>
          <w:rFonts w:hint="eastAsia" w:cs="仿宋_GB2312"/>
          <w:i w:val="0"/>
          <w:iCs w:val="0"/>
          <w:color w:val="auto"/>
          <w:szCs w:val="24"/>
          <w:highlight w:val="none"/>
          <w:u w:val="single"/>
        </w:rPr>
        <w:t>（</w:t>
      </w:r>
      <w:r>
        <w:rPr>
          <w:rFonts w:hint="eastAsia" w:cs="仿宋_GB2312"/>
          <w:i w:val="0"/>
          <w:iCs w:val="0"/>
          <w:color w:val="auto"/>
          <w:szCs w:val="24"/>
          <w:highlight w:val="none"/>
          <w:u w:val="single"/>
          <w:lang w:val="en-US" w:eastAsia="zh-CN"/>
        </w:rPr>
        <w:t>供应商</w:t>
      </w:r>
      <w:r>
        <w:rPr>
          <w:rFonts w:hint="eastAsia" w:cs="仿宋_GB2312"/>
          <w:i w:val="0"/>
          <w:iCs w:val="0"/>
          <w:color w:val="auto"/>
          <w:szCs w:val="24"/>
          <w:highlight w:val="none"/>
          <w:u w:val="single"/>
        </w:rPr>
        <w:t>名称、地址）</w:t>
      </w:r>
      <w:r>
        <w:rPr>
          <w:rFonts w:hint="eastAsia" w:cs="仿宋_GB2312"/>
          <w:i w:val="0"/>
          <w:iCs w:val="0"/>
          <w:color w:val="auto"/>
          <w:szCs w:val="24"/>
          <w:highlight w:val="none"/>
        </w:rPr>
        <w:t>提交下述文件</w:t>
      </w:r>
      <w:r>
        <w:rPr>
          <w:rFonts w:hint="eastAsia" w:cs="仿宋_GB2312"/>
          <w:b/>
          <w:bCs/>
          <w:i w:val="0"/>
          <w:iCs w:val="0"/>
          <w:color w:val="auto"/>
          <w:szCs w:val="24"/>
          <w:highlight w:val="none"/>
        </w:rPr>
        <w:t>：</w:t>
      </w:r>
    </w:p>
    <w:p w14:paraId="5EB52CD5">
      <w:pPr>
        <w:spacing w:line="324" w:lineRule="auto"/>
        <w:ind w:firstLine="480" w:firstLineChars="200"/>
        <w:rPr>
          <w:rFonts w:hint="eastAsia" w:cs="Arial"/>
          <w:i w:val="0"/>
          <w:iCs w:val="0"/>
          <w:color w:val="auto"/>
          <w:szCs w:val="24"/>
          <w:highlight w:val="none"/>
          <w:lang w:val="en-US" w:eastAsia="zh-CN"/>
        </w:rPr>
      </w:pPr>
      <w:r>
        <w:rPr>
          <w:rFonts w:hint="eastAsia" w:cs="Arial"/>
          <w:i w:val="0"/>
          <w:iCs w:val="0"/>
          <w:color w:val="auto"/>
          <w:szCs w:val="24"/>
          <w:highlight w:val="none"/>
          <w:lang w:val="en-US" w:eastAsia="zh-CN"/>
        </w:rPr>
        <w:t>1.资格证明文件；</w:t>
      </w:r>
    </w:p>
    <w:p w14:paraId="777D87C1">
      <w:pPr>
        <w:spacing w:line="324" w:lineRule="auto"/>
        <w:ind w:firstLine="480" w:firstLineChars="200"/>
        <w:rPr>
          <w:rFonts w:hint="eastAsia" w:cs="Arial"/>
          <w:i w:val="0"/>
          <w:iCs w:val="0"/>
          <w:color w:val="auto"/>
          <w:szCs w:val="24"/>
          <w:highlight w:val="none"/>
          <w:lang w:val="en-US" w:eastAsia="zh-CN"/>
        </w:rPr>
      </w:pPr>
      <w:r>
        <w:rPr>
          <w:rFonts w:hint="eastAsia" w:cs="Arial"/>
          <w:i w:val="0"/>
          <w:iCs w:val="0"/>
          <w:color w:val="auto"/>
          <w:szCs w:val="24"/>
          <w:highlight w:val="none"/>
          <w:lang w:val="en-US" w:eastAsia="zh-CN"/>
        </w:rPr>
        <w:t>2.报价文件；</w:t>
      </w:r>
    </w:p>
    <w:p w14:paraId="3D251EB4">
      <w:pPr>
        <w:numPr>
          <w:ilvl w:val="0"/>
          <w:numId w:val="0"/>
        </w:numPr>
        <w:spacing w:line="324" w:lineRule="auto"/>
        <w:ind w:firstLine="480" w:firstLineChars="200"/>
        <w:jc w:val="both"/>
        <w:rPr>
          <w:rFonts w:cs="Arial"/>
          <w:i w:val="0"/>
          <w:iCs w:val="0"/>
          <w:color w:val="auto"/>
          <w:szCs w:val="24"/>
          <w:highlight w:val="none"/>
        </w:rPr>
      </w:pPr>
      <w:r>
        <w:rPr>
          <w:rFonts w:hint="eastAsia" w:cs="Arial"/>
          <w:i w:val="0"/>
          <w:iCs w:val="0"/>
          <w:color w:val="auto"/>
          <w:szCs w:val="24"/>
          <w:highlight w:val="none"/>
          <w:lang w:val="en-US" w:eastAsia="zh-CN"/>
        </w:rPr>
        <w:t>3.商务技术文件</w:t>
      </w:r>
      <w:r>
        <w:rPr>
          <w:rFonts w:cs="Arial"/>
          <w:i w:val="0"/>
          <w:iCs w:val="0"/>
          <w:color w:val="auto"/>
          <w:szCs w:val="24"/>
          <w:highlight w:val="none"/>
        </w:rPr>
        <w:t>。</w:t>
      </w:r>
    </w:p>
    <w:p w14:paraId="43888EEE">
      <w:pPr>
        <w:spacing w:line="324" w:lineRule="auto"/>
        <w:ind w:firstLine="480" w:firstLineChars="200"/>
        <w:rPr>
          <w:rFonts w:cs="Arial"/>
          <w:i w:val="0"/>
          <w:iCs w:val="0"/>
          <w:color w:val="auto"/>
          <w:szCs w:val="24"/>
          <w:highlight w:val="none"/>
        </w:rPr>
      </w:pPr>
      <w:r>
        <w:rPr>
          <w:rFonts w:cs="Arial"/>
          <w:i w:val="0"/>
          <w:iCs w:val="0"/>
          <w:color w:val="auto"/>
          <w:szCs w:val="24"/>
          <w:highlight w:val="none"/>
        </w:rPr>
        <w:t>根据此函，签字代表宣布同意如下：</w:t>
      </w:r>
    </w:p>
    <w:p w14:paraId="5F37D3B4">
      <w:pPr>
        <w:numPr>
          <w:ilvl w:val="0"/>
          <w:numId w:val="0"/>
        </w:numPr>
        <w:spacing w:line="324" w:lineRule="auto"/>
        <w:ind w:firstLine="480" w:firstLineChars="200"/>
        <w:jc w:val="both"/>
        <w:rPr>
          <w:rFonts w:cs="Arial"/>
          <w:i w:val="0"/>
          <w:iCs w:val="0"/>
          <w:color w:val="auto"/>
          <w:szCs w:val="24"/>
          <w:highlight w:val="none"/>
        </w:rPr>
      </w:pPr>
      <w:r>
        <w:rPr>
          <w:rFonts w:hint="eastAsia" w:ascii="宋体" w:hAnsi="宋体" w:eastAsia="宋体" w:cs="Arial"/>
          <w:i w:val="0"/>
          <w:iCs w:val="0"/>
          <w:color w:val="auto"/>
          <w:kern w:val="2"/>
          <w:sz w:val="24"/>
          <w:szCs w:val="24"/>
          <w:highlight w:val="none"/>
          <w:lang w:val="en-US" w:eastAsia="zh-CN" w:bidi="ar-SA"/>
        </w:rPr>
        <w:t>1.</w:t>
      </w:r>
      <w:r>
        <w:rPr>
          <w:rFonts w:cs="Arial"/>
          <w:i w:val="0"/>
          <w:iCs w:val="0"/>
          <w:color w:val="auto"/>
          <w:szCs w:val="24"/>
          <w:highlight w:val="none"/>
        </w:rPr>
        <w:t>所附</w:t>
      </w:r>
      <w:r>
        <w:rPr>
          <w:rFonts w:hint="eastAsia" w:cs="Arial"/>
          <w:i w:val="0"/>
          <w:iCs w:val="0"/>
          <w:color w:val="auto"/>
          <w:szCs w:val="24"/>
          <w:highlight w:val="none"/>
          <w:lang w:val="en-US" w:eastAsia="zh-CN"/>
        </w:rPr>
        <w:t>报价一览</w:t>
      </w:r>
      <w:r>
        <w:rPr>
          <w:rFonts w:cs="Arial"/>
          <w:i w:val="0"/>
          <w:iCs w:val="0"/>
          <w:color w:val="auto"/>
          <w:szCs w:val="24"/>
          <w:highlight w:val="none"/>
        </w:rPr>
        <w:t>表中规定的应提交和交付的服务和</w:t>
      </w:r>
      <w:r>
        <w:rPr>
          <w:rFonts w:hint="eastAsia"/>
          <w:i w:val="0"/>
          <w:iCs w:val="0"/>
          <w:color w:val="auto"/>
          <w:szCs w:val="24"/>
          <w:highlight w:val="none"/>
          <w:lang w:val="en-US" w:eastAsia="zh-CN"/>
        </w:rPr>
        <w:t>包含的</w:t>
      </w:r>
      <w:r>
        <w:rPr>
          <w:rFonts w:hint="eastAsia" w:cs="Arial"/>
          <w:i w:val="0"/>
          <w:iCs w:val="0"/>
          <w:color w:val="auto"/>
          <w:szCs w:val="24"/>
          <w:highlight w:val="none"/>
        </w:rPr>
        <w:t>货物（如有）</w:t>
      </w:r>
      <w:r>
        <w:rPr>
          <w:rFonts w:cs="Arial"/>
          <w:i w:val="0"/>
          <w:iCs w:val="0"/>
          <w:color w:val="auto"/>
          <w:szCs w:val="24"/>
          <w:highlight w:val="none"/>
        </w:rPr>
        <w:t>的</w:t>
      </w:r>
      <w:r>
        <w:rPr>
          <w:rFonts w:hint="eastAsia" w:cs="Arial"/>
          <w:i w:val="0"/>
          <w:iCs w:val="0"/>
          <w:color w:val="auto"/>
          <w:szCs w:val="24"/>
          <w:highlight w:val="none"/>
        </w:rPr>
        <w:t>报价</w:t>
      </w:r>
      <w:r>
        <w:rPr>
          <w:rFonts w:cs="Arial"/>
          <w:i w:val="0"/>
          <w:iCs w:val="0"/>
          <w:color w:val="auto"/>
          <w:szCs w:val="24"/>
          <w:highlight w:val="none"/>
        </w:rPr>
        <w:t>为</w:t>
      </w:r>
      <w:r>
        <w:rPr>
          <w:rFonts w:hint="eastAsia" w:cs="Arial"/>
          <w:i w:val="0"/>
          <w:iCs w:val="0"/>
          <w:color w:val="auto"/>
          <w:szCs w:val="24"/>
          <w:highlight w:val="none"/>
        </w:rPr>
        <w:t xml:space="preserve"> </w:t>
      </w:r>
      <w:r>
        <w:rPr>
          <w:rFonts w:hint="eastAsia" w:cs="Arial"/>
          <w:i w:val="0"/>
          <w:iCs w:val="0"/>
          <w:color w:val="auto"/>
          <w:szCs w:val="24"/>
          <w:highlight w:val="none"/>
          <w:u w:val="single"/>
        </w:rPr>
        <w:t xml:space="preserve">                  </w:t>
      </w:r>
      <w:r>
        <w:rPr>
          <w:rFonts w:cs="Arial"/>
          <w:i w:val="0"/>
          <w:iCs w:val="0"/>
          <w:color w:val="auto"/>
          <w:szCs w:val="24"/>
          <w:highlight w:val="none"/>
        </w:rPr>
        <w:t>。</w:t>
      </w:r>
    </w:p>
    <w:p w14:paraId="31C22A01">
      <w:pPr>
        <w:numPr>
          <w:ilvl w:val="0"/>
          <w:numId w:val="0"/>
        </w:numPr>
        <w:spacing w:line="324" w:lineRule="auto"/>
        <w:ind w:firstLine="480" w:firstLineChars="200"/>
        <w:jc w:val="both"/>
        <w:rPr>
          <w:rFonts w:cs="Arial"/>
          <w:i w:val="0"/>
          <w:iCs w:val="0"/>
          <w:color w:val="auto"/>
          <w:szCs w:val="24"/>
          <w:highlight w:val="none"/>
        </w:rPr>
      </w:pPr>
      <w:r>
        <w:rPr>
          <w:rFonts w:hint="eastAsia" w:ascii="宋体" w:hAnsi="宋体" w:eastAsia="宋体" w:cs="Arial"/>
          <w:i w:val="0"/>
          <w:iCs w:val="0"/>
          <w:color w:val="auto"/>
          <w:kern w:val="2"/>
          <w:sz w:val="24"/>
          <w:szCs w:val="24"/>
          <w:highlight w:val="none"/>
          <w:lang w:val="en-US" w:eastAsia="zh-CN" w:bidi="ar-SA"/>
        </w:rPr>
        <w:t>2.</w:t>
      </w:r>
      <w:r>
        <w:rPr>
          <w:rFonts w:hint="eastAsia" w:cs="Arial"/>
          <w:i w:val="0"/>
          <w:iCs w:val="0"/>
          <w:color w:val="auto"/>
          <w:szCs w:val="24"/>
          <w:highlight w:val="none"/>
        </w:rPr>
        <w:t>我方</w:t>
      </w:r>
      <w:r>
        <w:rPr>
          <w:rFonts w:cs="Arial"/>
          <w:i w:val="0"/>
          <w:iCs w:val="0"/>
          <w:color w:val="auto"/>
          <w:szCs w:val="24"/>
          <w:highlight w:val="none"/>
        </w:rPr>
        <w:t>将按</w:t>
      </w:r>
      <w:r>
        <w:rPr>
          <w:rFonts w:hint="eastAsia" w:cs="仿宋_GB2312"/>
          <w:i w:val="0"/>
          <w:iCs w:val="0"/>
          <w:color w:val="auto"/>
          <w:szCs w:val="24"/>
          <w:highlight w:val="none"/>
          <w:lang w:val="en-US" w:eastAsia="zh-CN"/>
        </w:rPr>
        <w:t>竞争性磋商</w:t>
      </w:r>
      <w:r>
        <w:rPr>
          <w:rFonts w:cs="Arial"/>
          <w:i w:val="0"/>
          <w:iCs w:val="0"/>
          <w:color w:val="auto"/>
          <w:szCs w:val="24"/>
          <w:highlight w:val="none"/>
        </w:rPr>
        <w:t>文件的规定履行合同责任和义务。</w:t>
      </w:r>
    </w:p>
    <w:p w14:paraId="107DDD09">
      <w:pPr>
        <w:numPr>
          <w:ilvl w:val="0"/>
          <w:numId w:val="0"/>
        </w:numPr>
        <w:spacing w:line="324" w:lineRule="auto"/>
        <w:ind w:firstLine="480" w:firstLineChars="200"/>
        <w:jc w:val="both"/>
        <w:rPr>
          <w:rFonts w:cs="Arial"/>
          <w:i w:val="0"/>
          <w:iCs w:val="0"/>
          <w:color w:val="auto"/>
          <w:szCs w:val="24"/>
          <w:highlight w:val="none"/>
        </w:rPr>
      </w:pPr>
      <w:r>
        <w:rPr>
          <w:rFonts w:hint="eastAsia" w:ascii="宋体" w:hAnsi="宋体" w:eastAsia="宋体" w:cs="Arial"/>
          <w:i w:val="0"/>
          <w:iCs w:val="0"/>
          <w:color w:val="auto"/>
          <w:kern w:val="2"/>
          <w:sz w:val="24"/>
          <w:szCs w:val="24"/>
          <w:highlight w:val="none"/>
          <w:lang w:val="en-US" w:eastAsia="zh-CN" w:bidi="ar-SA"/>
        </w:rPr>
        <w:t>3.</w:t>
      </w:r>
      <w:r>
        <w:rPr>
          <w:rFonts w:hint="eastAsia" w:cs="Arial"/>
          <w:i w:val="0"/>
          <w:iCs w:val="0"/>
          <w:color w:val="auto"/>
          <w:szCs w:val="24"/>
          <w:highlight w:val="none"/>
        </w:rPr>
        <w:t>我方</w:t>
      </w:r>
      <w:r>
        <w:rPr>
          <w:rFonts w:cs="Arial"/>
          <w:i w:val="0"/>
          <w:iCs w:val="0"/>
          <w:color w:val="auto"/>
          <w:szCs w:val="24"/>
          <w:highlight w:val="none"/>
        </w:rPr>
        <w:t>已详细审查全部</w:t>
      </w:r>
      <w:r>
        <w:rPr>
          <w:rFonts w:hint="eastAsia" w:cs="仿宋_GB2312"/>
          <w:i w:val="0"/>
          <w:iCs w:val="0"/>
          <w:color w:val="auto"/>
          <w:szCs w:val="24"/>
          <w:highlight w:val="none"/>
          <w:lang w:val="en-US" w:eastAsia="zh-CN"/>
        </w:rPr>
        <w:t>竞争性磋商</w:t>
      </w:r>
      <w:r>
        <w:rPr>
          <w:rFonts w:cs="Arial"/>
          <w:i w:val="0"/>
          <w:iCs w:val="0"/>
          <w:color w:val="auto"/>
          <w:szCs w:val="24"/>
          <w:highlight w:val="none"/>
        </w:rPr>
        <w:t>文件，包括第</w:t>
      </w:r>
      <w:r>
        <w:rPr>
          <w:rFonts w:cs="Arial"/>
          <w:i w:val="0"/>
          <w:iCs w:val="0"/>
          <w:color w:val="auto"/>
          <w:szCs w:val="24"/>
          <w:highlight w:val="none"/>
          <w:u w:val="single"/>
        </w:rPr>
        <w:t>（编号、补遗书）（如果有的话）</w:t>
      </w:r>
      <w:r>
        <w:rPr>
          <w:rFonts w:cs="Arial"/>
          <w:i w:val="0"/>
          <w:iCs w:val="0"/>
          <w:color w:val="auto"/>
          <w:szCs w:val="24"/>
          <w:highlight w:val="none"/>
        </w:rPr>
        <w:t>。我</w:t>
      </w:r>
      <w:r>
        <w:rPr>
          <w:rFonts w:hint="eastAsia" w:cs="Arial"/>
          <w:i w:val="0"/>
          <w:iCs w:val="0"/>
          <w:color w:val="auto"/>
          <w:szCs w:val="24"/>
          <w:highlight w:val="none"/>
        </w:rPr>
        <w:t>方</w:t>
      </w:r>
      <w:r>
        <w:rPr>
          <w:rFonts w:cs="Arial"/>
          <w:i w:val="0"/>
          <w:iCs w:val="0"/>
          <w:color w:val="auto"/>
          <w:szCs w:val="24"/>
          <w:highlight w:val="none"/>
        </w:rPr>
        <w:t>完全理解并同意放弃对这方面有不明及误解的权力。</w:t>
      </w:r>
    </w:p>
    <w:p w14:paraId="54BB682E">
      <w:pPr>
        <w:numPr>
          <w:ilvl w:val="0"/>
          <w:numId w:val="0"/>
        </w:numPr>
        <w:spacing w:line="324" w:lineRule="auto"/>
        <w:ind w:firstLine="480" w:firstLineChars="200"/>
        <w:jc w:val="both"/>
        <w:rPr>
          <w:rFonts w:cs="Arial"/>
          <w:i w:val="0"/>
          <w:iCs w:val="0"/>
          <w:color w:val="auto"/>
          <w:szCs w:val="24"/>
          <w:highlight w:val="none"/>
        </w:rPr>
      </w:pPr>
      <w:r>
        <w:rPr>
          <w:rFonts w:hint="eastAsia" w:ascii="宋体" w:hAnsi="宋体" w:eastAsia="宋体" w:cs="Arial"/>
          <w:i w:val="0"/>
          <w:iCs w:val="0"/>
          <w:color w:val="auto"/>
          <w:kern w:val="2"/>
          <w:sz w:val="24"/>
          <w:szCs w:val="24"/>
          <w:highlight w:val="none"/>
          <w:lang w:val="en-US" w:eastAsia="zh-CN" w:bidi="ar-SA"/>
        </w:rPr>
        <w:t>4.</w:t>
      </w:r>
      <w:r>
        <w:rPr>
          <w:rFonts w:hint="eastAsia" w:cs="Arial"/>
          <w:i w:val="0"/>
          <w:iCs w:val="0"/>
          <w:color w:val="auto"/>
          <w:szCs w:val="24"/>
          <w:highlight w:val="none"/>
        </w:rPr>
        <w:t>响应有效期为自提交响应文件的截止之日起</w:t>
      </w:r>
      <w:r>
        <w:rPr>
          <w:rFonts w:hint="eastAsia" w:cs="Arial"/>
          <w:i w:val="0"/>
          <w:iCs w:val="0"/>
          <w:color w:val="auto"/>
          <w:szCs w:val="24"/>
          <w:highlight w:val="none"/>
          <w:u w:val="single"/>
        </w:rPr>
        <w:t xml:space="preserve"> （由</w:t>
      </w:r>
      <w:r>
        <w:rPr>
          <w:rFonts w:hint="eastAsia" w:cs="Arial"/>
          <w:i w:val="0"/>
          <w:iCs w:val="0"/>
          <w:color w:val="auto"/>
          <w:szCs w:val="24"/>
          <w:highlight w:val="none"/>
          <w:u w:val="single"/>
          <w:lang w:val="en-US" w:eastAsia="zh-CN"/>
        </w:rPr>
        <w:t>供应商</w:t>
      </w:r>
      <w:r>
        <w:rPr>
          <w:rFonts w:hint="eastAsia" w:cs="Arial"/>
          <w:i w:val="0"/>
          <w:iCs w:val="0"/>
          <w:color w:val="auto"/>
          <w:szCs w:val="24"/>
          <w:highlight w:val="none"/>
          <w:u w:val="single"/>
        </w:rPr>
        <w:t>填写）</w:t>
      </w:r>
      <w:r>
        <w:rPr>
          <w:rFonts w:cs="Arial"/>
          <w:i w:val="0"/>
          <w:iCs w:val="0"/>
          <w:color w:val="auto"/>
          <w:szCs w:val="24"/>
          <w:highlight w:val="none"/>
        </w:rPr>
        <w:t>个日历天。</w:t>
      </w:r>
    </w:p>
    <w:p w14:paraId="433FDA5A">
      <w:pPr>
        <w:numPr>
          <w:ilvl w:val="0"/>
          <w:numId w:val="0"/>
        </w:numPr>
        <w:spacing w:line="324" w:lineRule="auto"/>
        <w:ind w:firstLine="480" w:firstLineChars="200"/>
        <w:jc w:val="both"/>
        <w:rPr>
          <w:rFonts w:cs="Arial"/>
          <w:i w:val="0"/>
          <w:iCs w:val="0"/>
          <w:color w:val="auto"/>
          <w:szCs w:val="24"/>
          <w:highlight w:val="none"/>
        </w:rPr>
      </w:pPr>
      <w:r>
        <w:rPr>
          <w:rFonts w:hint="eastAsia" w:ascii="宋体" w:hAnsi="宋体" w:eastAsia="宋体" w:cs="Arial"/>
          <w:i w:val="0"/>
          <w:iCs w:val="0"/>
          <w:color w:val="auto"/>
          <w:kern w:val="2"/>
          <w:sz w:val="24"/>
          <w:szCs w:val="24"/>
          <w:highlight w:val="none"/>
          <w:lang w:val="en-US" w:eastAsia="zh-CN" w:bidi="ar-SA"/>
        </w:rPr>
        <w:t>5.</w:t>
      </w:r>
      <w:r>
        <w:rPr>
          <w:rFonts w:hint="eastAsia" w:cs="Arial"/>
          <w:i w:val="0"/>
          <w:iCs w:val="0"/>
          <w:color w:val="auto"/>
          <w:szCs w:val="24"/>
          <w:highlight w:val="none"/>
        </w:rPr>
        <w:t>我方</w:t>
      </w:r>
      <w:r>
        <w:rPr>
          <w:rFonts w:cs="Arial"/>
          <w:i w:val="0"/>
          <w:iCs w:val="0"/>
          <w:color w:val="auto"/>
          <w:szCs w:val="24"/>
          <w:highlight w:val="none"/>
        </w:rPr>
        <w:t>同意提供按照贵方</w:t>
      </w:r>
      <w:r>
        <w:rPr>
          <w:rFonts w:hint="eastAsia" w:cs="Arial"/>
          <w:i w:val="0"/>
          <w:iCs w:val="0"/>
          <w:color w:val="auto"/>
          <w:szCs w:val="24"/>
          <w:highlight w:val="none"/>
          <w:lang w:val="en-US" w:eastAsia="zh-CN"/>
        </w:rPr>
        <w:t>竞争性磋商</w:t>
      </w:r>
      <w:r>
        <w:rPr>
          <w:rFonts w:hint="eastAsia" w:cs="Arial"/>
          <w:i w:val="0"/>
          <w:iCs w:val="0"/>
          <w:color w:val="auto"/>
          <w:szCs w:val="24"/>
          <w:highlight w:val="none"/>
        </w:rPr>
        <w:t>文件</w:t>
      </w:r>
      <w:r>
        <w:rPr>
          <w:rFonts w:cs="Arial"/>
          <w:i w:val="0"/>
          <w:iCs w:val="0"/>
          <w:color w:val="auto"/>
          <w:szCs w:val="24"/>
          <w:highlight w:val="none"/>
        </w:rPr>
        <w:t>要求的与其</w:t>
      </w:r>
      <w:r>
        <w:rPr>
          <w:rFonts w:hint="eastAsia" w:cs="Arial"/>
          <w:i w:val="0"/>
          <w:iCs w:val="0"/>
          <w:color w:val="auto"/>
          <w:szCs w:val="24"/>
          <w:highlight w:val="none"/>
          <w:lang w:val="en-US" w:eastAsia="zh-CN"/>
        </w:rPr>
        <w:t>磋商响应</w:t>
      </w:r>
      <w:r>
        <w:rPr>
          <w:rFonts w:cs="Arial"/>
          <w:i w:val="0"/>
          <w:iCs w:val="0"/>
          <w:color w:val="auto"/>
          <w:szCs w:val="24"/>
          <w:highlight w:val="none"/>
        </w:rPr>
        <w:t>有关的一切数据或资料，</w:t>
      </w:r>
      <w:r>
        <w:rPr>
          <w:rFonts w:hint="eastAsia" w:cs="Arial"/>
          <w:i w:val="0"/>
          <w:iCs w:val="0"/>
          <w:color w:val="auto"/>
          <w:szCs w:val="24"/>
          <w:highlight w:val="none"/>
        </w:rPr>
        <w:t>采用综合评分法时，我方</w:t>
      </w:r>
      <w:r>
        <w:rPr>
          <w:rFonts w:cs="Arial"/>
          <w:i w:val="0"/>
          <w:iCs w:val="0"/>
          <w:color w:val="auto"/>
          <w:szCs w:val="24"/>
          <w:highlight w:val="none"/>
        </w:rPr>
        <w:t>完全理解贵方不一定接受最低价的</w:t>
      </w:r>
      <w:r>
        <w:rPr>
          <w:rFonts w:hint="eastAsia" w:cs="Arial"/>
          <w:i w:val="0"/>
          <w:iCs w:val="0"/>
          <w:color w:val="auto"/>
          <w:szCs w:val="24"/>
          <w:highlight w:val="none"/>
          <w:lang w:val="en-US" w:eastAsia="zh-CN"/>
        </w:rPr>
        <w:t>响应</w:t>
      </w:r>
      <w:r>
        <w:rPr>
          <w:rFonts w:cs="Arial"/>
          <w:i w:val="0"/>
          <w:iCs w:val="0"/>
          <w:color w:val="auto"/>
          <w:szCs w:val="24"/>
          <w:highlight w:val="none"/>
        </w:rPr>
        <w:t>。</w:t>
      </w:r>
    </w:p>
    <w:p w14:paraId="1BDF2280">
      <w:pPr>
        <w:numPr>
          <w:ilvl w:val="0"/>
          <w:numId w:val="0"/>
        </w:numPr>
        <w:spacing w:line="324" w:lineRule="auto"/>
        <w:ind w:firstLine="480" w:firstLineChars="200"/>
        <w:jc w:val="both"/>
        <w:rPr>
          <w:rFonts w:cs="Arial"/>
          <w:i w:val="0"/>
          <w:iCs w:val="0"/>
          <w:color w:val="auto"/>
          <w:szCs w:val="24"/>
          <w:highlight w:val="none"/>
        </w:rPr>
      </w:pPr>
      <w:r>
        <w:rPr>
          <w:rFonts w:hint="eastAsia" w:ascii="宋体" w:hAnsi="宋体" w:eastAsia="宋体" w:cs="Arial"/>
          <w:i w:val="0"/>
          <w:iCs w:val="0"/>
          <w:color w:val="auto"/>
          <w:kern w:val="2"/>
          <w:sz w:val="24"/>
          <w:szCs w:val="24"/>
          <w:highlight w:val="none"/>
          <w:lang w:val="en-US" w:eastAsia="zh-CN" w:bidi="ar-SA"/>
        </w:rPr>
        <w:t>6.</w:t>
      </w:r>
      <w:r>
        <w:rPr>
          <w:rFonts w:hint="eastAsia" w:cs="Arial"/>
          <w:i w:val="0"/>
          <w:iCs w:val="0"/>
          <w:color w:val="auto"/>
          <w:szCs w:val="24"/>
          <w:highlight w:val="none"/>
        </w:rPr>
        <w:t>本项目如由</w:t>
      </w:r>
      <w:r>
        <w:rPr>
          <w:rFonts w:hint="eastAsia" w:cs="Arial"/>
          <w:i w:val="0"/>
          <w:iCs w:val="0"/>
          <w:color w:val="auto"/>
          <w:szCs w:val="24"/>
          <w:highlight w:val="none"/>
          <w:lang w:val="en-US" w:eastAsia="zh-CN"/>
        </w:rPr>
        <w:t>成交</w:t>
      </w:r>
      <w:r>
        <w:rPr>
          <w:rFonts w:hint="eastAsia" w:cs="Arial"/>
          <w:i w:val="0"/>
          <w:iCs w:val="0"/>
          <w:color w:val="auto"/>
          <w:szCs w:val="24"/>
          <w:highlight w:val="none"/>
        </w:rPr>
        <w:t>人支付采购代理服务费，我方同意按</w:t>
      </w:r>
      <w:r>
        <w:rPr>
          <w:rFonts w:hint="eastAsia" w:cs="Arial"/>
          <w:i w:val="0"/>
          <w:iCs w:val="0"/>
          <w:color w:val="auto"/>
          <w:szCs w:val="24"/>
          <w:highlight w:val="none"/>
          <w:lang w:val="en-US" w:eastAsia="zh-CN"/>
        </w:rPr>
        <w:t>供应商</w:t>
      </w:r>
      <w:r>
        <w:rPr>
          <w:rFonts w:hint="eastAsia" w:cs="Arial"/>
          <w:i w:val="0"/>
          <w:iCs w:val="0"/>
          <w:color w:val="auto"/>
          <w:szCs w:val="24"/>
          <w:highlight w:val="none"/>
        </w:rPr>
        <w:t>须知前附表中规定向采购代理机构支付采购代理服务费。</w:t>
      </w:r>
    </w:p>
    <w:p w14:paraId="58342D41">
      <w:pPr>
        <w:numPr>
          <w:ilvl w:val="0"/>
          <w:numId w:val="0"/>
        </w:numPr>
        <w:snapToGrid w:val="0"/>
        <w:spacing w:line="324" w:lineRule="auto"/>
        <w:ind w:firstLine="480" w:firstLineChars="200"/>
        <w:jc w:val="both"/>
        <w:rPr>
          <w:rFonts w:cs="Arial"/>
          <w:i w:val="0"/>
          <w:iCs w:val="0"/>
          <w:color w:val="auto"/>
          <w:szCs w:val="24"/>
          <w:highlight w:val="none"/>
        </w:rPr>
      </w:pPr>
      <w:r>
        <w:rPr>
          <w:rFonts w:hint="eastAsia" w:ascii="宋体" w:hAnsi="宋体" w:eastAsia="宋体" w:cs="Arial"/>
          <w:i w:val="0"/>
          <w:iCs w:val="0"/>
          <w:color w:val="auto"/>
          <w:kern w:val="2"/>
          <w:sz w:val="24"/>
          <w:szCs w:val="24"/>
          <w:highlight w:val="none"/>
          <w:lang w:val="en-US" w:eastAsia="zh-CN" w:bidi="ar-SA"/>
        </w:rPr>
        <w:t>7.</w:t>
      </w:r>
      <w:r>
        <w:rPr>
          <w:rFonts w:hint="eastAsia" w:cs="Arial"/>
          <w:i w:val="0"/>
          <w:iCs w:val="0"/>
          <w:color w:val="auto"/>
          <w:szCs w:val="24"/>
          <w:highlight w:val="none"/>
        </w:rPr>
        <w:t>重要声明：</w:t>
      </w:r>
    </w:p>
    <w:p w14:paraId="2A63CCF6">
      <w:pPr>
        <w:snapToGrid w:val="0"/>
        <w:spacing w:line="324" w:lineRule="auto"/>
        <w:ind w:firstLine="480" w:firstLineChars="200"/>
        <w:rPr>
          <w:i w:val="0"/>
          <w:iCs w:val="0"/>
          <w:color w:val="auto"/>
          <w:szCs w:val="24"/>
          <w:highlight w:val="none"/>
        </w:rPr>
      </w:pPr>
      <w:r>
        <w:rPr>
          <w:rFonts w:hint="eastAsia"/>
          <w:i w:val="0"/>
          <w:iCs w:val="0"/>
          <w:color w:val="auto"/>
          <w:szCs w:val="24"/>
          <w:highlight w:val="none"/>
        </w:rPr>
        <w:t>1）与我方单位负责人为同一人的其他单位名称：</w:t>
      </w:r>
    </w:p>
    <w:p w14:paraId="749725E8">
      <w:pPr>
        <w:snapToGrid w:val="0"/>
        <w:spacing w:line="324" w:lineRule="auto"/>
        <w:ind w:left="456" w:leftChars="190" w:firstLine="355" w:firstLineChars="148"/>
        <w:rPr>
          <w:i w:val="0"/>
          <w:iCs w:val="0"/>
          <w:color w:val="auto"/>
          <w:szCs w:val="24"/>
          <w:highlight w:val="none"/>
        </w:rPr>
      </w:pPr>
      <w:r>
        <w:rPr>
          <w:rFonts w:hint="eastAsia"/>
          <w:i w:val="0"/>
          <w:iCs w:val="0"/>
          <w:color w:val="auto"/>
          <w:szCs w:val="24"/>
          <w:highlight w:val="none"/>
          <w:lang w:eastAsia="zh-CN"/>
        </w:rPr>
        <w:t>□</w:t>
      </w:r>
      <w:r>
        <w:rPr>
          <w:rFonts w:hint="eastAsia"/>
          <w:i w:val="0"/>
          <w:iCs w:val="0"/>
          <w:color w:val="auto"/>
          <w:szCs w:val="24"/>
          <w:highlight w:val="none"/>
        </w:rPr>
        <w:t>无；</w:t>
      </w:r>
      <w:r>
        <w:rPr>
          <w:rFonts w:hint="eastAsia"/>
          <w:i w:val="0"/>
          <w:iCs w:val="0"/>
          <w:color w:val="auto"/>
          <w:szCs w:val="24"/>
          <w:highlight w:val="none"/>
          <w:lang w:eastAsia="zh-CN"/>
        </w:rPr>
        <w:t>□</w:t>
      </w:r>
      <w:r>
        <w:rPr>
          <w:rFonts w:hint="eastAsia"/>
          <w:i w:val="0"/>
          <w:iCs w:val="0"/>
          <w:color w:val="auto"/>
          <w:szCs w:val="24"/>
          <w:highlight w:val="none"/>
        </w:rPr>
        <w:t>有，具体单位名称为：</w:t>
      </w:r>
      <w:r>
        <w:rPr>
          <w:rFonts w:hint="eastAsia" w:cs="Arial"/>
          <w:i w:val="0"/>
          <w:iCs w:val="0"/>
          <w:color w:val="auto"/>
          <w:szCs w:val="24"/>
          <w:highlight w:val="none"/>
          <w:u w:val="single"/>
        </w:rPr>
        <w:t>（由</w:t>
      </w:r>
      <w:r>
        <w:rPr>
          <w:rFonts w:hint="eastAsia" w:cs="Arial"/>
          <w:i w:val="0"/>
          <w:iCs w:val="0"/>
          <w:color w:val="auto"/>
          <w:szCs w:val="24"/>
          <w:highlight w:val="none"/>
          <w:u w:val="single"/>
          <w:lang w:val="en-US" w:eastAsia="zh-CN"/>
        </w:rPr>
        <w:t>供应商</w:t>
      </w:r>
      <w:r>
        <w:rPr>
          <w:rFonts w:hint="eastAsia" w:cs="Arial"/>
          <w:i w:val="0"/>
          <w:iCs w:val="0"/>
          <w:color w:val="auto"/>
          <w:szCs w:val="24"/>
          <w:highlight w:val="none"/>
          <w:u w:val="single"/>
        </w:rPr>
        <w:t>如实填写）</w:t>
      </w:r>
      <w:r>
        <w:rPr>
          <w:rFonts w:hint="eastAsia"/>
          <w:i w:val="0"/>
          <w:iCs w:val="0"/>
          <w:color w:val="auto"/>
          <w:szCs w:val="24"/>
          <w:highlight w:val="none"/>
        </w:rPr>
        <w:t>。</w:t>
      </w:r>
    </w:p>
    <w:p w14:paraId="42E92197">
      <w:pPr>
        <w:snapToGrid w:val="0"/>
        <w:spacing w:line="324" w:lineRule="auto"/>
        <w:ind w:firstLine="480" w:firstLineChars="200"/>
        <w:rPr>
          <w:i w:val="0"/>
          <w:iCs w:val="0"/>
          <w:color w:val="auto"/>
          <w:szCs w:val="24"/>
          <w:highlight w:val="none"/>
        </w:rPr>
      </w:pPr>
      <w:r>
        <w:rPr>
          <w:rFonts w:hint="eastAsia"/>
          <w:i w:val="0"/>
          <w:iCs w:val="0"/>
          <w:color w:val="auto"/>
          <w:szCs w:val="24"/>
          <w:highlight w:val="none"/>
        </w:rPr>
        <w:t>2）与我方存在控股、管理关系的其他单位的名称：</w:t>
      </w:r>
    </w:p>
    <w:p w14:paraId="21A0C6A6">
      <w:pPr>
        <w:snapToGrid w:val="0"/>
        <w:spacing w:line="324" w:lineRule="auto"/>
        <w:ind w:left="456" w:leftChars="190" w:firstLine="355" w:firstLineChars="148"/>
        <w:rPr>
          <w:i w:val="0"/>
          <w:iCs w:val="0"/>
          <w:color w:val="auto"/>
          <w:szCs w:val="24"/>
          <w:highlight w:val="none"/>
        </w:rPr>
      </w:pPr>
      <w:r>
        <w:rPr>
          <w:rFonts w:hint="eastAsia"/>
          <w:i w:val="0"/>
          <w:iCs w:val="0"/>
          <w:color w:val="auto"/>
          <w:szCs w:val="24"/>
          <w:highlight w:val="none"/>
          <w:lang w:eastAsia="zh-CN"/>
        </w:rPr>
        <w:t>□</w:t>
      </w:r>
      <w:r>
        <w:rPr>
          <w:rFonts w:hint="eastAsia"/>
          <w:i w:val="0"/>
          <w:iCs w:val="0"/>
          <w:color w:val="auto"/>
          <w:szCs w:val="24"/>
          <w:highlight w:val="none"/>
        </w:rPr>
        <w:t xml:space="preserve">无；□有，具体单位名称为： </w:t>
      </w:r>
      <w:r>
        <w:rPr>
          <w:rFonts w:hint="eastAsia" w:cs="Arial"/>
          <w:i w:val="0"/>
          <w:iCs w:val="0"/>
          <w:color w:val="auto"/>
          <w:szCs w:val="24"/>
          <w:highlight w:val="none"/>
          <w:u w:val="single"/>
        </w:rPr>
        <w:t>（由</w:t>
      </w:r>
      <w:r>
        <w:rPr>
          <w:rFonts w:hint="eastAsia" w:cs="Arial"/>
          <w:i w:val="0"/>
          <w:iCs w:val="0"/>
          <w:color w:val="auto"/>
          <w:szCs w:val="24"/>
          <w:highlight w:val="none"/>
          <w:u w:val="single"/>
          <w:lang w:val="en-US" w:eastAsia="zh-CN"/>
        </w:rPr>
        <w:t>供应商</w:t>
      </w:r>
      <w:r>
        <w:rPr>
          <w:rFonts w:hint="eastAsia" w:cs="Arial"/>
          <w:i w:val="0"/>
          <w:iCs w:val="0"/>
          <w:color w:val="auto"/>
          <w:szCs w:val="24"/>
          <w:highlight w:val="none"/>
          <w:u w:val="single"/>
        </w:rPr>
        <w:t>如实填写）</w:t>
      </w:r>
      <w:r>
        <w:rPr>
          <w:rFonts w:hint="eastAsia"/>
          <w:i w:val="0"/>
          <w:iCs w:val="0"/>
          <w:color w:val="auto"/>
          <w:szCs w:val="24"/>
          <w:highlight w:val="none"/>
        </w:rPr>
        <w:t>。</w:t>
      </w:r>
    </w:p>
    <w:p w14:paraId="7F40C645">
      <w:pPr>
        <w:snapToGrid w:val="0"/>
        <w:spacing w:line="324" w:lineRule="auto"/>
        <w:ind w:firstLine="480" w:firstLineChars="200"/>
        <w:rPr>
          <w:i w:val="0"/>
          <w:iCs w:val="0"/>
          <w:color w:val="auto"/>
          <w:szCs w:val="24"/>
          <w:highlight w:val="none"/>
        </w:rPr>
      </w:pPr>
      <w:r>
        <w:rPr>
          <w:rFonts w:hint="eastAsia"/>
          <w:i w:val="0"/>
          <w:iCs w:val="0"/>
          <w:color w:val="auto"/>
          <w:szCs w:val="24"/>
          <w:highlight w:val="none"/>
        </w:rPr>
        <w:t>3）参与本项目采购活动前，是否为本项目前期准备提供过整体设计、规范编制或者项目管理、监理、检测等服务：</w:t>
      </w:r>
    </w:p>
    <w:p w14:paraId="324706AF">
      <w:pPr>
        <w:snapToGrid w:val="0"/>
        <w:spacing w:line="324" w:lineRule="auto"/>
        <w:ind w:left="456" w:leftChars="190" w:firstLine="355" w:firstLineChars="148"/>
        <w:rPr>
          <w:i w:val="0"/>
          <w:iCs w:val="0"/>
          <w:color w:val="auto"/>
          <w:szCs w:val="24"/>
          <w:highlight w:val="none"/>
        </w:rPr>
      </w:pPr>
      <w:r>
        <w:rPr>
          <w:rFonts w:hint="eastAsia"/>
          <w:i w:val="0"/>
          <w:iCs w:val="0"/>
          <w:color w:val="auto"/>
          <w:szCs w:val="24"/>
          <w:highlight w:val="none"/>
          <w:lang w:eastAsia="zh-CN"/>
        </w:rPr>
        <w:t>□</w:t>
      </w:r>
      <w:r>
        <w:rPr>
          <w:rFonts w:hint="eastAsia"/>
          <w:i w:val="0"/>
          <w:iCs w:val="0"/>
          <w:color w:val="auto"/>
          <w:szCs w:val="24"/>
          <w:highlight w:val="none"/>
        </w:rPr>
        <w:t xml:space="preserve">无；□有，已提供的具体服务内容为： </w:t>
      </w:r>
      <w:r>
        <w:rPr>
          <w:rFonts w:hint="eastAsia" w:cs="Arial"/>
          <w:i w:val="0"/>
          <w:iCs w:val="0"/>
          <w:color w:val="auto"/>
          <w:szCs w:val="24"/>
          <w:highlight w:val="none"/>
          <w:u w:val="single"/>
        </w:rPr>
        <w:t>（由</w:t>
      </w:r>
      <w:r>
        <w:rPr>
          <w:rFonts w:hint="eastAsia" w:cs="Arial"/>
          <w:i w:val="0"/>
          <w:iCs w:val="0"/>
          <w:color w:val="auto"/>
          <w:szCs w:val="24"/>
          <w:highlight w:val="none"/>
          <w:u w:val="single"/>
          <w:lang w:val="en-US" w:eastAsia="zh-CN"/>
        </w:rPr>
        <w:t>供应商</w:t>
      </w:r>
      <w:r>
        <w:rPr>
          <w:rFonts w:hint="eastAsia" w:cs="Arial"/>
          <w:i w:val="0"/>
          <w:iCs w:val="0"/>
          <w:color w:val="auto"/>
          <w:szCs w:val="24"/>
          <w:highlight w:val="none"/>
          <w:u w:val="single"/>
        </w:rPr>
        <w:t>如实填写）</w:t>
      </w:r>
      <w:r>
        <w:rPr>
          <w:rFonts w:hint="eastAsia"/>
          <w:i w:val="0"/>
          <w:iCs w:val="0"/>
          <w:color w:val="auto"/>
          <w:szCs w:val="24"/>
          <w:highlight w:val="none"/>
        </w:rPr>
        <w:t>。</w:t>
      </w:r>
    </w:p>
    <w:p w14:paraId="1DB72997">
      <w:pPr>
        <w:spacing w:line="324" w:lineRule="auto"/>
        <w:ind w:firstLine="480" w:firstLineChars="200"/>
        <w:rPr>
          <w:i w:val="0"/>
          <w:iCs w:val="0"/>
          <w:color w:val="auto"/>
          <w:szCs w:val="24"/>
          <w:highlight w:val="none"/>
        </w:rPr>
      </w:pPr>
      <w:r>
        <w:rPr>
          <w:rFonts w:hint="eastAsia"/>
          <w:i w:val="0"/>
          <w:iCs w:val="0"/>
          <w:color w:val="auto"/>
          <w:szCs w:val="24"/>
          <w:highlight w:val="none"/>
        </w:rPr>
        <w:t>（备注：以上</w:t>
      </w:r>
      <w:r>
        <w:rPr>
          <w:i w:val="0"/>
          <w:iCs w:val="0"/>
          <w:color w:val="auto"/>
          <w:szCs w:val="24"/>
          <w:highlight w:val="none"/>
        </w:rPr>
        <w:t>3</w:t>
      </w:r>
      <w:r>
        <w:rPr>
          <w:rFonts w:hint="eastAsia"/>
          <w:i w:val="0"/>
          <w:iCs w:val="0"/>
          <w:color w:val="auto"/>
          <w:szCs w:val="24"/>
          <w:highlight w:val="none"/>
        </w:rPr>
        <w:t>项声明，必须如实选择，选中项用</w:t>
      </w:r>
      <w:r>
        <w:rPr>
          <w:rFonts w:hint="eastAsia"/>
          <w:i w:val="0"/>
          <w:iCs w:val="0"/>
          <w:color w:val="auto"/>
          <w:szCs w:val="24"/>
          <w:highlight w:val="none"/>
          <w:lang w:eastAsia="zh-CN"/>
        </w:rPr>
        <w:t>☑</w:t>
      </w:r>
      <w:r>
        <w:rPr>
          <w:rFonts w:hint="eastAsia"/>
          <w:i w:val="0"/>
          <w:iCs w:val="0"/>
          <w:color w:val="auto"/>
          <w:szCs w:val="24"/>
          <w:highlight w:val="none"/>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2394A5AD">
      <w:pPr>
        <w:snapToGrid w:val="0"/>
        <w:spacing w:line="324" w:lineRule="auto"/>
        <w:ind w:firstLine="480" w:firstLineChars="200"/>
        <w:rPr>
          <w:i w:val="0"/>
          <w:iCs w:val="0"/>
          <w:color w:val="auto"/>
          <w:szCs w:val="24"/>
          <w:highlight w:val="none"/>
        </w:rPr>
      </w:pPr>
      <w:r>
        <w:rPr>
          <w:rFonts w:hint="eastAsia"/>
          <w:i w:val="0"/>
          <w:iCs w:val="0"/>
          <w:color w:val="auto"/>
          <w:szCs w:val="24"/>
          <w:highlight w:val="none"/>
        </w:rPr>
        <w:t>4）我方在本</w:t>
      </w:r>
      <w:r>
        <w:rPr>
          <w:rFonts w:hint="eastAsia"/>
          <w:i w:val="0"/>
          <w:iCs w:val="0"/>
          <w:color w:val="auto"/>
          <w:szCs w:val="24"/>
          <w:highlight w:val="none"/>
          <w:lang w:val="en-US" w:eastAsia="zh-CN"/>
        </w:rPr>
        <w:t>响应</w:t>
      </w:r>
      <w:r>
        <w:rPr>
          <w:rFonts w:hint="eastAsia"/>
          <w:i w:val="0"/>
          <w:iCs w:val="0"/>
          <w:color w:val="auto"/>
          <w:szCs w:val="24"/>
          <w:highlight w:val="none"/>
        </w:rPr>
        <w:t>文件中所提供的全部资料均真实有效，我方承诺对其真实性负责并承担相应后果。</w:t>
      </w:r>
    </w:p>
    <w:p w14:paraId="4A061A8D">
      <w:pPr>
        <w:snapToGrid w:val="0"/>
        <w:spacing w:line="324" w:lineRule="auto"/>
        <w:ind w:firstLine="480" w:firstLineChars="200"/>
        <w:rPr>
          <w:i w:val="0"/>
          <w:iCs w:val="0"/>
          <w:color w:val="auto"/>
          <w:szCs w:val="24"/>
          <w:highlight w:val="none"/>
        </w:rPr>
      </w:pPr>
      <w:r>
        <w:rPr>
          <w:rFonts w:hint="eastAsia"/>
          <w:i w:val="0"/>
          <w:iCs w:val="0"/>
          <w:color w:val="auto"/>
          <w:szCs w:val="24"/>
          <w:highlight w:val="none"/>
        </w:rPr>
        <w:t>5）我方承诺本《</w:t>
      </w:r>
      <w:r>
        <w:rPr>
          <w:rFonts w:hint="eastAsia"/>
          <w:i w:val="0"/>
          <w:iCs w:val="0"/>
          <w:color w:val="auto"/>
          <w:szCs w:val="24"/>
          <w:highlight w:val="none"/>
          <w:lang w:val="en-US" w:eastAsia="zh-CN"/>
        </w:rPr>
        <w:t>响应</w:t>
      </w:r>
      <w:r>
        <w:rPr>
          <w:rFonts w:hint="eastAsia"/>
          <w:i w:val="0"/>
          <w:iCs w:val="0"/>
          <w:color w:val="auto"/>
          <w:szCs w:val="24"/>
          <w:highlight w:val="none"/>
        </w:rPr>
        <w:t>函》的签章对本</w:t>
      </w:r>
      <w:r>
        <w:rPr>
          <w:rFonts w:hint="eastAsia"/>
          <w:i w:val="0"/>
          <w:iCs w:val="0"/>
          <w:color w:val="auto"/>
          <w:szCs w:val="24"/>
          <w:highlight w:val="none"/>
          <w:lang w:val="en-US" w:eastAsia="zh-CN"/>
        </w:rPr>
        <w:t>响应</w:t>
      </w:r>
      <w:r>
        <w:rPr>
          <w:rFonts w:hint="eastAsia"/>
          <w:i w:val="0"/>
          <w:iCs w:val="0"/>
          <w:color w:val="auto"/>
          <w:szCs w:val="24"/>
          <w:highlight w:val="none"/>
        </w:rPr>
        <w:t>文件全部内容具有约束力并承担法律责任。</w:t>
      </w:r>
    </w:p>
    <w:p w14:paraId="34B14B7C">
      <w:pPr>
        <w:spacing w:line="300" w:lineRule="auto"/>
        <w:rPr>
          <w:rFonts w:cs="Arial"/>
          <w:i w:val="0"/>
          <w:iCs w:val="0"/>
          <w:color w:val="auto"/>
          <w:szCs w:val="24"/>
          <w:highlight w:val="none"/>
        </w:rPr>
      </w:pPr>
    </w:p>
    <w:p w14:paraId="2D0F4100">
      <w:pPr>
        <w:spacing w:line="300" w:lineRule="auto"/>
        <w:rPr>
          <w:rFonts w:cs="Arial"/>
          <w:i w:val="0"/>
          <w:iCs w:val="0"/>
          <w:color w:val="auto"/>
          <w:szCs w:val="24"/>
          <w:highlight w:val="none"/>
        </w:rPr>
      </w:pPr>
    </w:p>
    <w:p w14:paraId="205B4080">
      <w:pPr>
        <w:spacing w:line="300" w:lineRule="auto"/>
        <w:rPr>
          <w:rFonts w:cs="Arial"/>
          <w:i w:val="0"/>
          <w:iCs w:val="0"/>
          <w:color w:val="auto"/>
          <w:szCs w:val="24"/>
          <w:highlight w:val="none"/>
        </w:rPr>
      </w:pPr>
    </w:p>
    <w:p w14:paraId="2E358AAB">
      <w:pPr>
        <w:autoSpaceDE w:val="0"/>
        <w:autoSpaceDN w:val="0"/>
        <w:adjustRightInd w:val="0"/>
        <w:snapToGrid w:val="0"/>
        <w:ind w:firstLine="480" w:firstLineChars="200"/>
        <w:rPr>
          <w:rFonts w:cs="宋体"/>
          <w:i w:val="0"/>
          <w:iCs w:val="0"/>
          <w:color w:val="auto"/>
          <w:highlight w:val="none"/>
        </w:rPr>
      </w:pPr>
      <w:r>
        <w:rPr>
          <w:rFonts w:hint="eastAsia" w:cs="宋体"/>
          <w:i w:val="0"/>
          <w:iCs w:val="0"/>
          <w:color w:val="auto"/>
          <w:highlight w:val="none"/>
          <w:lang w:val="en-US" w:eastAsia="zh-CN"/>
        </w:rPr>
        <w:t>供应商名称</w:t>
      </w:r>
      <w:r>
        <w:rPr>
          <w:rFonts w:hint="eastAsia" w:cs="宋体"/>
          <w:i w:val="0"/>
          <w:iCs w:val="0"/>
          <w:color w:val="auto"/>
          <w:highlight w:val="none"/>
        </w:rPr>
        <w:t>（公章）：</w:t>
      </w:r>
    </w:p>
    <w:p w14:paraId="3377D950">
      <w:pPr>
        <w:autoSpaceDE w:val="0"/>
        <w:autoSpaceDN w:val="0"/>
        <w:adjustRightInd w:val="0"/>
        <w:snapToGrid w:val="0"/>
        <w:ind w:firstLine="480" w:firstLineChars="200"/>
        <w:rPr>
          <w:rFonts w:hint="eastAsia" w:cs="宋体"/>
          <w:i w:val="0"/>
          <w:iCs w:val="0"/>
          <w:color w:val="auto"/>
          <w:highlight w:val="none"/>
          <w:lang w:val="en-US" w:eastAsia="zh-CN"/>
        </w:rPr>
      </w:pPr>
      <w:r>
        <w:rPr>
          <w:rFonts w:hint="eastAsia" w:cs="宋体"/>
          <w:i w:val="0"/>
          <w:iCs w:val="0"/>
          <w:color w:val="auto"/>
          <w:highlight w:val="none"/>
          <w:lang w:val="en-US" w:eastAsia="zh-CN"/>
        </w:rPr>
        <w:t>法定代表人或授权代表（签字或印章）：</w:t>
      </w:r>
    </w:p>
    <w:p w14:paraId="58D4BEB6">
      <w:pPr>
        <w:autoSpaceDE w:val="0"/>
        <w:autoSpaceDN w:val="0"/>
        <w:adjustRightInd w:val="0"/>
        <w:snapToGrid w:val="0"/>
        <w:ind w:firstLine="480" w:firstLineChars="200"/>
        <w:rPr>
          <w:rFonts w:cs="宋体"/>
          <w:i w:val="0"/>
          <w:iCs w:val="0"/>
          <w:color w:val="auto"/>
          <w:highlight w:val="none"/>
        </w:rPr>
      </w:pPr>
      <w:r>
        <w:rPr>
          <w:rFonts w:hint="eastAsia" w:cs="宋体"/>
          <w:i w:val="0"/>
          <w:iCs w:val="0"/>
          <w:color w:val="auto"/>
          <w:highlight w:val="none"/>
        </w:rPr>
        <w:t>通  讯  地  址：</w:t>
      </w:r>
    </w:p>
    <w:p w14:paraId="29C556FB">
      <w:pPr>
        <w:autoSpaceDE w:val="0"/>
        <w:autoSpaceDN w:val="0"/>
        <w:adjustRightInd w:val="0"/>
        <w:snapToGrid w:val="0"/>
        <w:ind w:firstLine="480" w:firstLineChars="200"/>
        <w:rPr>
          <w:rFonts w:cs="宋体"/>
          <w:i w:val="0"/>
          <w:iCs w:val="0"/>
          <w:color w:val="auto"/>
          <w:highlight w:val="none"/>
        </w:rPr>
      </w:pPr>
      <w:r>
        <w:rPr>
          <w:rFonts w:hint="eastAsia" w:cs="宋体"/>
          <w:i w:val="0"/>
          <w:iCs w:val="0"/>
          <w:color w:val="auto"/>
          <w:highlight w:val="none"/>
        </w:rPr>
        <w:t xml:space="preserve">传       </w:t>
      </w:r>
      <w:r>
        <w:rPr>
          <w:rFonts w:cs="宋体"/>
          <w:i w:val="0"/>
          <w:iCs w:val="0"/>
          <w:color w:val="auto"/>
          <w:highlight w:val="none"/>
        </w:rPr>
        <w:t xml:space="preserve">   </w:t>
      </w:r>
      <w:r>
        <w:rPr>
          <w:rFonts w:hint="eastAsia" w:cs="宋体"/>
          <w:i w:val="0"/>
          <w:iCs w:val="0"/>
          <w:color w:val="auto"/>
          <w:highlight w:val="none"/>
        </w:rPr>
        <w:t>真：</w:t>
      </w:r>
    </w:p>
    <w:p w14:paraId="5319BF39">
      <w:pPr>
        <w:autoSpaceDE w:val="0"/>
        <w:autoSpaceDN w:val="0"/>
        <w:adjustRightInd w:val="0"/>
        <w:snapToGrid w:val="0"/>
        <w:ind w:firstLine="480" w:firstLineChars="200"/>
        <w:rPr>
          <w:rFonts w:cs="宋体"/>
          <w:i w:val="0"/>
          <w:iCs w:val="0"/>
          <w:color w:val="auto"/>
          <w:highlight w:val="none"/>
        </w:rPr>
      </w:pPr>
      <w:r>
        <w:rPr>
          <w:rFonts w:hint="eastAsia" w:cs="宋体"/>
          <w:i w:val="0"/>
          <w:iCs w:val="0"/>
          <w:color w:val="auto"/>
          <w:highlight w:val="none"/>
        </w:rPr>
        <w:t>电          话：</w:t>
      </w:r>
    </w:p>
    <w:p w14:paraId="3EE3DBD8">
      <w:pPr>
        <w:ind w:firstLine="480" w:firstLineChars="200"/>
        <w:rPr>
          <w:rFonts w:cs="Arial"/>
          <w:i w:val="0"/>
          <w:iCs w:val="0"/>
          <w:color w:val="auto"/>
          <w:szCs w:val="24"/>
          <w:highlight w:val="none"/>
        </w:rPr>
      </w:pPr>
      <w:r>
        <w:rPr>
          <w:rFonts w:hint="eastAsia" w:cs="宋体"/>
          <w:i w:val="0"/>
          <w:iCs w:val="0"/>
          <w:color w:val="auto"/>
          <w:highlight w:val="none"/>
        </w:rPr>
        <w:t xml:space="preserve">日    </w:t>
      </w:r>
      <w:r>
        <w:rPr>
          <w:rFonts w:cs="宋体"/>
          <w:i w:val="0"/>
          <w:iCs w:val="0"/>
          <w:color w:val="auto"/>
          <w:highlight w:val="none"/>
        </w:rPr>
        <w:t xml:space="preserve">  </w:t>
      </w:r>
      <w:r>
        <w:rPr>
          <w:rFonts w:hint="eastAsia" w:cs="宋体"/>
          <w:i w:val="0"/>
          <w:iCs w:val="0"/>
          <w:color w:val="auto"/>
          <w:highlight w:val="none"/>
        </w:rPr>
        <w:t xml:space="preserve">    期：</w:t>
      </w:r>
    </w:p>
    <w:p w14:paraId="0E731FE7">
      <w:pPr>
        <w:rPr>
          <w:rFonts w:cs="Arial"/>
          <w:i w:val="0"/>
          <w:iCs w:val="0"/>
          <w:color w:val="auto"/>
          <w:szCs w:val="24"/>
          <w:highlight w:val="none"/>
          <w:u w:val="single"/>
        </w:rPr>
      </w:pPr>
    </w:p>
    <w:p w14:paraId="7A026E3F">
      <w:pPr>
        <w:rPr>
          <w:rFonts w:cs="Arial"/>
          <w:i w:val="0"/>
          <w:iCs w:val="0"/>
          <w:color w:val="auto"/>
          <w:szCs w:val="24"/>
          <w:highlight w:val="none"/>
          <w:u w:val="single"/>
        </w:rPr>
      </w:pPr>
      <w:r>
        <w:rPr>
          <w:rFonts w:cs="Arial"/>
          <w:i w:val="0"/>
          <w:iCs w:val="0"/>
          <w:color w:val="auto"/>
          <w:szCs w:val="24"/>
          <w:highlight w:val="none"/>
          <w:u w:val="single"/>
        </w:rPr>
        <w:br w:type="page"/>
      </w:r>
    </w:p>
    <w:p w14:paraId="31A4CA06">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688" w:name="_Toc16089"/>
      <w:bookmarkStart w:id="689" w:name="_Toc155185924"/>
      <w:bookmarkStart w:id="690" w:name="_Toc163492918"/>
      <w:r>
        <w:rPr>
          <w:rFonts w:hint="eastAsia" w:cs="宋体"/>
          <w:b/>
          <w:bCs/>
          <w:i w:val="0"/>
          <w:iCs w:val="0"/>
          <w:color w:val="auto"/>
          <w:kern w:val="2"/>
          <w:sz w:val="32"/>
          <w:szCs w:val="32"/>
          <w:highlight w:val="none"/>
          <w:lang w:val="en-US" w:eastAsia="zh-CN" w:bidi="ar-SA"/>
        </w:rPr>
        <w:t>二</w:t>
      </w:r>
      <w:r>
        <w:rPr>
          <w:rFonts w:hint="eastAsia" w:ascii="等线 Light" w:hAnsi="等线 Light" w:eastAsia="宋体" w:cs="宋体"/>
          <w:b/>
          <w:bCs/>
          <w:i w:val="0"/>
          <w:iCs w:val="0"/>
          <w:color w:val="auto"/>
          <w:kern w:val="2"/>
          <w:sz w:val="32"/>
          <w:szCs w:val="32"/>
          <w:highlight w:val="none"/>
          <w:lang w:val="en-US" w:eastAsia="zh-CN" w:bidi="ar-SA"/>
        </w:rPr>
        <w:t>、法定代表人（单位负责人）身份证明</w:t>
      </w:r>
      <w:bookmarkEnd w:id="688"/>
      <w:bookmarkEnd w:id="689"/>
      <w:bookmarkEnd w:id="690"/>
    </w:p>
    <w:p w14:paraId="38F90002">
      <w:pPr>
        <w:spacing w:line="480" w:lineRule="auto"/>
        <w:ind w:firstLine="480" w:firstLineChars="200"/>
        <w:rPr>
          <w:rFonts w:hint="eastAsia" w:cs="仿宋_GB2312"/>
          <w:i w:val="0"/>
          <w:iCs w:val="0"/>
          <w:color w:val="auto"/>
          <w:szCs w:val="24"/>
          <w:highlight w:val="none"/>
        </w:rPr>
      </w:pPr>
      <w:r>
        <w:rPr>
          <w:rFonts w:hint="eastAsia" w:cs="仿宋_GB2312"/>
          <w:i w:val="0"/>
          <w:iCs w:val="0"/>
          <w:color w:val="auto"/>
          <w:szCs w:val="24"/>
          <w:highlight w:val="none"/>
          <w:lang w:val="en-US" w:eastAsia="zh-CN"/>
        </w:rPr>
        <w:t xml:space="preserve">致：（采购人或采购代理机构） </w:t>
      </w:r>
    </w:p>
    <w:p w14:paraId="0D749B3B">
      <w:pPr>
        <w:spacing w:line="480" w:lineRule="auto"/>
        <w:ind w:firstLine="960" w:firstLineChars="400"/>
        <w:rPr>
          <w:rFonts w:hint="eastAsia" w:cs="仿宋_GB2312"/>
          <w:i w:val="0"/>
          <w:iCs w:val="0"/>
          <w:color w:val="auto"/>
          <w:szCs w:val="24"/>
          <w:highlight w:val="none"/>
        </w:rPr>
      </w:pPr>
      <w:r>
        <w:rPr>
          <w:rFonts w:hint="eastAsia" w:cs="仿宋_GB2312"/>
          <w:i w:val="0"/>
          <w:iCs w:val="0"/>
          <w:color w:val="auto"/>
          <w:szCs w:val="24"/>
          <w:highlight w:val="none"/>
          <w:lang w:val="en-US" w:eastAsia="zh-CN"/>
        </w:rPr>
        <w:t xml:space="preserve">兹证明， </w:t>
      </w:r>
    </w:p>
    <w:p w14:paraId="3F9B5B04">
      <w:pPr>
        <w:spacing w:line="480" w:lineRule="auto"/>
        <w:ind w:firstLine="480" w:firstLineChars="200"/>
        <w:rPr>
          <w:rFonts w:hint="eastAsia" w:cs="仿宋_GB2312"/>
          <w:i w:val="0"/>
          <w:iCs w:val="0"/>
          <w:color w:val="auto"/>
          <w:szCs w:val="24"/>
          <w:highlight w:val="none"/>
        </w:rPr>
      </w:pPr>
      <w:r>
        <w:rPr>
          <w:rFonts w:hint="eastAsia" w:cs="仿宋_GB2312"/>
          <w:i w:val="0"/>
          <w:iCs w:val="0"/>
          <w:color w:val="auto"/>
          <w:szCs w:val="24"/>
          <w:highlight w:val="none"/>
          <w:lang w:val="en-US" w:eastAsia="zh-CN"/>
        </w:rPr>
        <w:t xml:space="preserve">姓名：____性别：____年龄：____职务：____ </w:t>
      </w:r>
    </w:p>
    <w:p w14:paraId="1227C8EB">
      <w:pPr>
        <w:spacing w:line="480" w:lineRule="auto"/>
        <w:ind w:firstLine="480" w:firstLineChars="200"/>
        <w:rPr>
          <w:rFonts w:hint="eastAsia" w:cs="仿宋_GB2312"/>
          <w:i w:val="0"/>
          <w:iCs w:val="0"/>
          <w:color w:val="auto"/>
          <w:szCs w:val="24"/>
          <w:highlight w:val="none"/>
        </w:rPr>
      </w:pPr>
      <w:r>
        <w:rPr>
          <w:rFonts w:hint="eastAsia" w:cs="仿宋_GB2312"/>
          <w:i w:val="0"/>
          <w:iCs w:val="0"/>
          <w:color w:val="auto"/>
          <w:szCs w:val="24"/>
          <w:highlight w:val="none"/>
          <w:lang w:val="en-US" w:eastAsia="zh-CN"/>
        </w:rPr>
        <w:t xml:space="preserve">系 </w:t>
      </w:r>
      <w:r>
        <w:rPr>
          <w:rFonts w:hint="eastAsia" w:cs="仿宋_GB2312"/>
          <w:i w:val="0"/>
          <w:iCs w:val="0"/>
          <w:color w:val="auto"/>
          <w:szCs w:val="24"/>
          <w:highlight w:val="none"/>
          <w:u w:val="single"/>
          <w:lang w:val="en-US" w:eastAsia="zh-CN"/>
        </w:rPr>
        <w:t xml:space="preserve">            </w:t>
      </w:r>
      <w:r>
        <w:rPr>
          <w:rFonts w:hint="eastAsia" w:cs="仿宋_GB2312"/>
          <w:i w:val="0"/>
          <w:iCs w:val="0"/>
          <w:color w:val="auto"/>
          <w:szCs w:val="24"/>
          <w:highlight w:val="none"/>
          <w:lang w:val="en-US" w:eastAsia="zh-CN"/>
        </w:rPr>
        <w:t xml:space="preserve">（供应商名称）的法定代表人（单位负责人）。 </w:t>
      </w:r>
    </w:p>
    <w:p w14:paraId="01B8CF8C">
      <w:pPr>
        <w:spacing w:line="480" w:lineRule="auto"/>
        <w:ind w:firstLine="480" w:firstLineChars="200"/>
        <w:rPr>
          <w:rFonts w:hint="eastAsia" w:cs="仿宋_GB2312"/>
          <w:i w:val="0"/>
          <w:iCs w:val="0"/>
          <w:color w:val="auto"/>
          <w:szCs w:val="24"/>
          <w:highlight w:val="none"/>
        </w:rPr>
      </w:pPr>
      <w:r>
        <w:rPr>
          <w:rFonts w:hint="eastAsia" w:cs="仿宋_GB2312"/>
          <w:i w:val="0"/>
          <w:iCs w:val="0"/>
          <w:color w:val="auto"/>
          <w:szCs w:val="24"/>
          <w:highlight w:val="none"/>
          <w:lang w:val="en-US" w:eastAsia="zh-CN"/>
        </w:rPr>
        <w:t xml:space="preserve">附：法定代表人（单位负责人）身份证、护照等身份证明文件电子件： </w:t>
      </w:r>
    </w:p>
    <w:p w14:paraId="289CC908">
      <w:pPr>
        <w:spacing w:line="480" w:lineRule="auto"/>
        <w:ind w:firstLine="480" w:firstLineChars="200"/>
        <w:rPr>
          <w:rFonts w:cs="仿宋_GB2312"/>
          <w:i w:val="0"/>
          <w:iCs w:val="0"/>
          <w:color w:val="auto"/>
          <w:szCs w:val="24"/>
          <w:highlight w:val="none"/>
        </w:rPr>
      </w:pPr>
    </w:p>
    <w:p w14:paraId="6454B510">
      <w:pPr>
        <w:rPr>
          <w:rFonts w:cs="Arial"/>
          <w:i w:val="0"/>
          <w:iCs w:val="0"/>
          <w:color w:val="auto"/>
          <w:sz w:val="21"/>
          <w:szCs w:val="21"/>
          <w:highlight w:val="none"/>
        </w:rPr>
      </w:pPr>
    </w:p>
    <w:tbl>
      <w:tblPr>
        <w:tblStyle w:val="31"/>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AAB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1" w:hRule="atLeast"/>
        </w:trPr>
        <w:tc>
          <w:tcPr>
            <w:tcW w:w="8527" w:type="dxa"/>
          </w:tcPr>
          <w:p w14:paraId="526A10F1">
            <w:pPr>
              <w:rPr>
                <w:rFonts w:cs="Arial"/>
                <w:i w:val="0"/>
                <w:iCs w:val="0"/>
                <w:color w:val="auto"/>
                <w:highlight w:val="none"/>
              </w:rPr>
            </w:pPr>
          </w:p>
        </w:tc>
      </w:tr>
    </w:tbl>
    <w:p w14:paraId="62282338">
      <w:pPr>
        <w:ind w:firstLine="840" w:firstLineChars="350"/>
        <w:jc w:val="center"/>
        <w:rPr>
          <w:rFonts w:cs="Arial"/>
          <w:i w:val="0"/>
          <w:iCs w:val="0"/>
          <w:color w:val="auto"/>
          <w:highlight w:val="none"/>
        </w:rPr>
      </w:pPr>
    </w:p>
    <w:p w14:paraId="31261F62">
      <w:pPr>
        <w:keepNext w:val="0"/>
        <w:keepLines w:val="0"/>
        <w:widowControl/>
        <w:suppressLineNumbers w:val="0"/>
        <w:jc w:val="left"/>
        <w:rPr>
          <w:i w:val="0"/>
          <w:iCs w:val="0"/>
          <w:color w:val="auto"/>
          <w:highlight w:val="none"/>
        </w:rPr>
      </w:pPr>
      <w:r>
        <w:rPr>
          <w:rFonts w:hint="eastAsia" w:cs="宋体"/>
          <w:i w:val="0"/>
          <w:iCs w:val="0"/>
          <w:color w:val="auto"/>
          <w:kern w:val="0"/>
          <w:sz w:val="24"/>
          <w:szCs w:val="24"/>
          <w:highlight w:val="none"/>
          <w:lang w:val="en-US" w:eastAsia="zh-CN"/>
        </w:rPr>
        <w:t>供应商</w:t>
      </w:r>
      <w:r>
        <w:rPr>
          <w:rFonts w:hint="eastAsia" w:ascii="宋体" w:hAnsi="宋体" w:eastAsia="宋体" w:cs="宋体"/>
          <w:i w:val="0"/>
          <w:iCs w:val="0"/>
          <w:color w:val="auto"/>
          <w:kern w:val="0"/>
          <w:sz w:val="24"/>
          <w:szCs w:val="24"/>
          <w:highlight w:val="none"/>
          <w:lang w:val="en-US" w:eastAsia="zh-CN"/>
        </w:rPr>
        <w:t>名称（加盖公章）：</w:t>
      </w:r>
      <w:r>
        <w:rPr>
          <w:rFonts w:ascii="DejaVuSans" w:hAnsi="DejaVuSans" w:eastAsia="DejaVuSans" w:cs="DejaVuSans"/>
          <w:i w:val="0"/>
          <w:iCs w:val="0"/>
          <w:color w:val="auto"/>
          <w:kern w:val="0"/>
          <w:sz w:val="24"/>
          <w:szCs w:val="24"/>
          <w:highlight w:val="none"/>
          <w:lang w:val="en-US" w:eastAsia="zh-CN"/>
        </w:rPr>
        <w:t xml:space="preserve">________________ </w:t>
      </w:r>
    </w:p>
    <w:p w14:paraId="7B647B1F">
      <w:pPr>
        <w:keepNext w:val="0"/>
        <w:keepLines w:val="0"/>
        <w:widowControl/>
        <w:suppressLineNumbers w:val="0"/>
        <w:jc w:val="left"/>
        <w:rPr>
          <w:i w:val="0"/>
          <w:iCs w:val="0"/>
          <w:color w:val="auto"/>
          <w:highlight w:val="none"/>
        </w:rPr>
      </w:pPr>
      <w:r>
        <w:rPr>
          <w:rFonts w:hint="eastAsia" w:ascii="宋体" w:hAnsi="宋体" w:eastAsia="宋体" w:cs="宋体"/>
          <w:i w:val="0"/>
          <w:iCs w:val="0"/>
          <w:color w:val="auto"/>
          <w:kern w:val="0"/>
          <w:sz w:val="24"/>
          <w:szCs w:val="24"/>
          <w:highlight w:val="none"/>
          <w:lang w:val="en-US" w:eastAsia="zh-CN"/>
        </w:rPr>
        <w:t>法定代表人（单位负责人）（签字或签章）：</w:t>
      </w:r>
      <w:r>
        <w:rPr>
          <w:rFonts w:hint="default" w:ascii="DejaVuSans" w:hAnsi="DejaVuSans" w:eastAsia="DejaVuSans" w:cs="DejaVuSans"/>
          <w:i w:val="0"/>
          <w:iCs w:val="0"/>
          <w:color w:val="auto"/>
          <w:kern w:val="0"/>
          <w:sz w:val="24"/>
          <w:szCs w:val="24"/>
          <w:highlight w:val="none"/>
          <w:lang w:val="en-US" w:eastAsia="zh-CN"/>
        </w:rPr>
        <w:t xml:space="preserve">_______ </w:t>
      </w:r>
    </w:p>
    <w:p w14:paraId="5240B129">
      <w:pPr>
        <w:keepNext w:val="0"/>
        <w:keepLines w:val="0"/>
        <w:widowControl/>
        <w:suppressLineNumbers w:val="0"/>
        <w:jc w:val="left"/>
        <w:rPr>
          <w:rFonts w:hint="eastAsia" w:ascii="宋体" w:hAnsi="宋体" w:eastAsia="宋体" w:cs="宋体"/>
          <w:i w:val="0"/>
          <w:iCs w:val="0"/>
          <w:color w:val="auto"/>
          <w:kern w:val="0"/>
          <w:sz w:val="24"/>
          <w:szCs w:val="24"/>
          <w:highlight w:val="none"/>
          <w:lang w:val="en-US" w:eastAsia="zh-CN"/>
        </w:rPr>
      </w:pPr>
    </w:p>
    <w:p w14:paraId="5CF87C21">
      <w:pPr>
        <w:keepNext w:val="0"/>
        <w:keepLines w:val="0"/>
        <w:widowControl/>
        <w:suppressLineNumbers w:val="0"/>
        <w:jc w:val="left"/>
        <w:rPr>
          <w:i w:val="0"/>
          <w:iCs w:val="0"/>
          <w:color w:val="auto"/>
          <w:highlight w:val="none"/>
        </w:rPr>
      </w:pPr>
      <w:r>
        <w:rPr>
          <w:rFonts w:hint="eastAsia" w:ascii="宋体" w:hAnsi="宋体" w:eastAsia="宋体" w:cs="宋体"/>
          <w:i w:val="0"/>
          <w:iCs w:val="0"/>
          <w:color w:val="auto"/>
          <w:kern w:val="0"/>
          <w:sz w:val="24"/>
          <w:szCs w:val="24"/>
          <w:highlight w:val="none"/>
          <w:lang w:val="en-US" w:eastAsia="zh-CN"/>
        </w:rPr>
        <w:t>日期：</w:t>
      </w:r>
      <w:r>
        <w:rPr>
          <w:rFonts w:hint="default" w:ascii="DejaVuSans" w:hAnsi="DejaVuSans" w:eastAsia="DejaVuSans" w:cs="DejaVuSans"/>
          <w:i w:val="0"/>
          <w:iCs w:val="0"/>
          <w:color w:val="auto"/>
          <w:kern w:val="0"/>
          <w:sz w:val="24"/>
          <w:szCs w:val="24"/>
          <w:highlight w:val="none"/>
          <w:lang w:val="en-US" w:eastAsia="zh-CN"/>
        </w:rPr>
        <w:t>_____</w:t>
      </w:r>
      <w:r>
        <w:rPr>
          <w:rFonts w:hint="eastAsia" w:ascii="宋体" w:hAnsi="宋体" w:eastAsia="宋体" w:cs="宋体"/>
          <w:i w:val="0"/>
          <w:iCs w:val="0"/>
          <w:color w:val="auto"/>
          <w:kern w:val="0"/>
          <w:sz w:val="24"/>
          <w:szCs w:val="24"/>
          <w:highlight w:val="none"/>
          <w:lang w:val="en-US" w:eastAsia="zh-CN"/>
        </w:rPr>
        <w:t>年</w:t>
      </w:r>
      <w:r>
        <w:rPr>
          <w:rFonts w:hint="default" w:ascii="DejaVuSans" w:hAnsi="DejaVuSans" w:eastAsia="DejaVuSans" w:cs="DejaVuSans"/>
          <w:i w:val="0"/>
          <w:iCs w:val="0"/>
          <w:color w:val="auto"/>
          <w:kern w:val="0"/>
          <w:sz w:val="24"/>
          <w:szCs w:val="24"/>
          <w:highlight w:val="none"/>
          <w:lang w:val="en-US" w:eastAsia="zh-CN"/>
        </w:rPr>
        <w:t>______</w:t>
      </w:r>
      <w:r>
        <w:rPr>
          <w:rFonts w:hint="eastAsia" w:ascii="宋体" w:hAnsi="宋体" w:eastAsia="宋体" w:cs="宋体"/>
          <w:i w:val="0"/>
          <w:iCs w:val="0"/>
          <w:color w:val="auto"/>
          <w:kern w:val="0"/>
          <w:sz w:val="24"/>
          <w:szCs w:val="24"/>
          <w:highlight w:val="none"/>
          <w:lang w:val="en-US" w:eastAsia="zh-CN"/>
        </w:rPr>
        <w:t>月</w:t>
      </w:r>
      <w:r>
        <w:rPr>
          <w:rFonts w:hint="default" w:ascii="DejaVuSans" w:hAnsi="DejaVuSans" w:eastAsia="DejaVuSans" w:cs="DejaVuSans"/>
          <w:i w:val="0"/>
          <w:iCs w:val="0"/>
          <w:color w:val="auto"/>
          <w:kern w:val="0"/>
          <w:sz w:val="24"/>
          <w:szCs w:val="24"/>
          <w:highlight w:val="none"/>
          <w:lang w:val="en-US" w:eastAsia="zh-CN"/>
        </w:rPr>
        <w:t>______</w:t>
      </w:r>
      <w:r>
        <w:rPr>
          <w:rFonts w:hint="eastAsia" w:ascii="宋体" w:hAnsi="宋体" w:eastAsia="宋体" w:cs="宋体"/>
          <w:i w:val="0"/>
          <w:iCs w:val="0"/>
          <w:color w:val="auto"/>
          <w:kern w:val="0"/>
          <w:sz w:val="24"/>
          <w:szCs w:val="24"/>
          <w:highlight w:val="none"/>
          <w:lang w:val="en-US" w:eastAsia="zh-CN"/>
        </w:rPr>
        <w:t>日</w:t>
      </w:r>
    </w:p>
    <w:p w14:paraId="1AE48FE9">
      <w:pPr>
        <w:rPr>
          <w:b/>
          <w:i w:val="0"/>
          <w:iCs w:val="0"/>
          <w:color w:val="auto"/>
          <w:sz w:val="28"/>
          <w:szCs w:val="28"/>
          <w:highlight w:val="none"/>
        </w:rPr>
      </w:pPr>
    </w:p>
    <w:p w14:paraId="12C97A79">
      <w:pPr>
        <w:rPr>
          <w:b/>
          <w:i w:val="0"/>
          <w:iCs w:val="0"/>
          <w:color w:val="auto"/>
          <w:sz w:val="28"/>
          <w:szCs w:val="28"/>
          <w:highlight w:val="none"/>
        </w:rPr>
      </w:pPr>
      <w:r>
        <w:rPr>
          <w:b/>
          <w:i w:val="0"/>
          <w:iCs w:val="0"/>
          <w:color w:val="auto"/>
          <w:sz w:val="28"/>
          <w:szCs w:val="28"/>
          <w:highlight w:val="none"/>
        </w:rPr>
        <w:br w:type="page"/>
      </w:r>
    </w:p>
    <w:p w14:paraId="2D4E4A2E">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691" w:name="_Toc6864"/>
      <w:bookmarkStart w:id="692" w:name="_Toc155185925"/>
      <w:bookmarkStart w:id="693" w:name="_Toc163492919"/>
      <w:r>
        <w:rPr>
          <w:rFonts w:hint="eastAsia" w:cs="宋体"/>
          <w:b/>
          <w:bCs/>
          <w:i w:val="0"/>
          <w:iCs w:val="0"/>
          <w:color w:val="auto"/>
          <w:kern w:val="2"/>
          <w:sz w:val="32"/>
          <w:szCs w:val="32"/>
          <w:highlight w:val="none"/>
          <w:lang w:val="en-US" w:eastAsia="zh-CN" w:bidi="ar-SA"/>
        </w:rPr>
        <w:t>三</w:t>
      </w:r>
      <w:r>
        <w:rPr>
          <w:rFonts w:hint="eastAsia" w:ascii="等线 Light" w:hAnsi="等线 Light" w:eastAsia="宋体" w:cs="宋体"/>
          <w:b/>
          <w:bCs/>
          <w:i w:val="0"/>
          <w:iCs w:val="0"/>
          <w:color w:val="auto"/>
          <w:kern w:val="2"/>
          <w:sz w:val="32"/>
          <w:szCs w:val="32"/>
          <w:highlight w:val="none"/>
          <w:lang w:val="en-US" w:eastAsia="zh-CN" w:bidi="ar-SA"/>
        </w:rPr>
        <w:t>、授权委托书</w:t>
      </w:r>
      <w:bookmarkEnd w:id="691"/>
      <w:bookmarkEnd w:id="692"/>
      <w:bookmarkEnd w:id="693"/>
    </w:p>
    <w:p w14:paraId="49997415">
      <w:pPr>
        <w:ind w:firstLine="480" w:firstLineChars="200"/>
        <w:rPr>
          <w:rFonts w:cs="仿宋_GB2312"/>
          <w:i w:val="0"/>
          <w:iCs w:val="0"/>
          <w:color w:val="auto"/>
          <w:szCs w:val="24"/>
          <w:highlight w:val="none"/>
        </w:rPr>
      </w:pPr>
      <w:r>
        <w:rPr>
          <w:rFonts w:hint="eastAsia" w:cs="仿宋_GB2312"/>
          <w:i w:val="0"/>
          <w:iCs w:val="0"/>
          <w:color w:val="auto"/>
          <w:szCs w:val="24"/>
          <w:highlight w:val="none"/>
        </w:rPr>
        <w:t>本人</w:t>
      </w:r>
      <w:r>
        <w:rPr>
          <w:rFonts w:cs="仿宋_GB2312"/>
          <w:i w:val="0"/>
          <w:iCs w:val="0"/>
          <w:color w:val="auto"/>
          <w:szCs w:val="24"/>
          <w:highlight w:val="none"/>
          <w:u w:val="single"/>
        </w:rPr>
        <w:t xml:space="preserve">     </w:t>
      </w:r>
      <w:r>
        <w:rPr>
          <w:rFonts w:hint="eastAsia" w:cs="仿宋_GB2312"/>
          <w:i w:val="0"/>
          <w:iCs w:val="0"/>
          <w:color w:val="auto"/>
          <w:szCs w:val="24"/>
          <w:highlight w:val="none"/>
          <w:u w:val="none"/>
        </w:rPr>
        <w:t>（姓名）</w:t>
      </w:r>
      <w:r>
        <w:rPr>
          <w:rFonts w:hint="eastAsia" w:cs="仿宋_GB2312"/>
          <w:i w:val="0"/>
          <w:iCs w:val="0"/>
          <w:color w:val="auto"/>
          <w:szCs w:val="24"/>
          <w:highlight w:val="none"/>
        </w:rPr>
        <w:t>系</w:t>
      </w:r>
      <w:r>
        <w:rPr>
          <w:rFonts w:hint="eastAsia" w:cs="仿宋_GB2312"/>
          <w:i w:val="0"/>
          <w:iCs w:val="0"/>
          <w:color w:val="auto"/>
          <w:szCs w:val="24"/>
          <w:highlight w:val="none"/>
          <w:u w:val="single"/>
        </w:rPr>
        <w:t xml:space="preserve">   </w:t>
      </w:r>
      <w:r>
        <w:rPr>
          <w:rFonts w:hint="eastAsia" w:cs="仿宋_GB2312"/>
          <w:i w:val="0"/>
          <w:iCs w:val="0"/>
          <w:color w:val="auto"/>
          <w:szCs w:val="24"/>
          <w:highlight w:val="none"/>
          <w:u w:val="single"/>
          <w:lang w:val="en-US" w:eastAsia="zh-CN"/>
        </w:rPr>
        <w:t xml:space="preserve">     </w:t>
      </w:r>
      <w:r>
        <w:rPr>
          <w:rFonts w:hint="eastAsia" w:cs="仿宋_GB2312"/>
          <w:i w:val="0"/>
          <w:iCs w:val="0"/>
          <w:color w:val="auto"/>
          <w:szCs w:val="24"/>
          <w:highlight w:val="none"/>
          <w:u w:val="single"/>
        </w:rPr>
        <w:t xml:space="preserve">  </w:t>
      </w:r>
      <w:r>
        <w:rPr>
          <w:rFonts w:hint="eastAsia" w:cs="仿宋_GB2312"/>
          <w:i w:val="0"/>
          <w:iCs w:val="0"/>
          <w:color w:val="auto"/>
          <w:szCs w:val="24"/>
          <w:highlight w:val="none"/>
          <w:u w:val="none"/>
        </w:rPr>
        <w:t>（</w:t>
      </w:r>
      <w:r>
        <w:rPr>
          <w:rFonts w:hint="eastAsia" w:cs="仿宋_GB2312"/>
          <w:i w:val="0"/>
          <w:iCs w:val="0"/>
          <w:color w:val="auto"/>
          <w:szCs w:val="24"/>
          <w:highlight w:val="none"/>
          <w:u w:val="none"/>
          <w:lang w:val="en-US" w:eastAsia="zh-CN"/>
        </w:rPr>
        <w:t>供应商</w:t>
      </w:r>
      <w:r>
        <w:rPr>
          <w:rFonts w:hint="eastAsia" w:cs="仿宋_GB2312"/>
          <w:i w:val="0"/>
          <w:iCs w:val="0"/>
          <w:color w:val="auto"/>
          <w:szCs w:val="24"/>
          <w:highlight w:val="none"/>
          <w:u w:val="none"/>
        </w:rPr>
        <w:t>名称）</w:t>
      </w:r>
      <w:r>
        <w:rPr>
          <w:rFonts w:hint="eastAsia" w:cs="仿宋_GB2312"/>
          <w:i w:val="0"/>
          <w:iCs w:val="0"/>
          <w:color w:val="auto"/>
          <w:szCs w:val="24"/>
          <w:highlight w:val="none"/>
        </w:rPr>
        <w:t>的法定代表人</w:t>
      </w:r>
      <w:r>
        <w:rPr>
          <w:rFonts w:hint="eastAsia"/>
          <w:i w:val="0"/>
          <w:iCs w:val="0"/>
          <w:color w:val="auto"/>
          <w:highlight w:val="none"/>
        </w:rPr>
        <w:t>（</w:t>
      </w:r>
      <w:r>
        <w:rPr>
          <w:rFonts w:hint="eastAsia"/>
          <w:i w:val="0"/>
          <w:iCs w:val="0"/>
          <w:color w:val="auto"/>
          <w:highlight w:val="none"/>
          <w:lang w:val="en-US" w:eastAsia="zh-CN"/>
        </w:rPr>
        <w:t>单位</w:t>
      </w:r>
      <w:r>
        <w:rPr>
          <w:rFonts w:hint="eastAsia"/>
          <w:i w:val="0"/>
          <w:iCs w:val="0"/>
          <w:color w:val="auto"/>
          <w:highlight w:val="none"/>
        </w:rPr>
        <w:t>负责人）</w:t>
      </w:r>
      <w:r>
        <w:rPr>
          <w:rFonts w:hint="eastAsia" w:cs="仿宋_GB2312"/>
          <w:i w:val="0"/>
          <w:iCs w:val="0"/>
          <w:color w:val="auto"/>
          <w:szCs w:val="24"/>
          <w:highlight w:val="none"/>
        </w:rPr>
        <w:t>，现委托</w:t>
      </w:r>
      <w:r>
        <w:rPr>
          <w:rFonts w:hint="eastAsia" w:cs="仿宋_GB2312"/>
          <w:i w:val="0"/>
          <w:iCs w:val="0"/>
          <w:color w:val="auto"/>
          <w:szCs w:val="24"/>
          <w:highlight w:val="none"/>
          <w:u w:val="single"/>
        </w:rPr>
        <w:t xml:space="preserve">     </w:t>
      </w:r>
      <w:r>
        <w:rPr>
          <w:rFonts w:hint="eastAsia" w:cs="仿宋_GB2312"/>
          <w:i w:val="0"/>
          <w:iCs w:val="0"/>
          <w:color w:val="auto"/>
          <w:szCs w:val="24"/>
          <w:highlight w:val="none"/>
        </w:rPr>
        <w:t>（姓名）为我方代理人。代理人根据授权，以我方名义签署、澄清</w:t>
      </w:r>
      <w:r>
        <w:rPr>
          <w:rFonts w:hint="eastAsia" w:cs="仿宋_GB2312"/>
          <w:i w:val="0"/>
          <w:iCs w:val="0"/>
          <w:color w:val="auto"/>
          <w:szCs w:val="24"/>
          <w:highlight w:val="none"/>
          <w:lang w:val="en-US" w:eastAsia="zh-CN"/>
        </w:rPr>
        <w:t>确认</w:t>
      </w:r>
      <w:r>
        <w:rPr>
          <w:rFonts w:hint="eastAsia" w:cs="仿宋_GB2312"/>
          <w:i w:val="0"/>
          <w:iCs w:val="0"/>
          <w:color w:val="auto"/>
          <w:szCs w:val="24"/>
          <w:highlight w:val="none"/>
        </w:rPr>
        <w:t>、说明、补正、递交、撤回、修改</w:t>
      </w:r>
      <w:r>
        <w:rPr>
          <w:rFonts w:hint="eastAsia" w:cs="仿宋_GB2312"/>
          <w:i w:val="0"/>
          <w:iCs w:val="0"/>
          <w:color w:val="auto"/>
          <w:szCs w:val="24"/>
          <w:highlight w:val="none"/>
          <w:u w:val="single"/>
        </w:rPr>
        <w:t xml:space="preserve">   </w:t>
      </w:r>
      <w:r>
        <w:rPr>
          <w:rFonts w:hint="eastAsia" w:cs="仿宋_GB2312"/>
          <w:i w:val="0"/>
          <w:iCs w:val="0"/>
          <w:color w:val="auto"/>
          <w:szCs w:val="24"/>
          <w:highlight w:val="none"/>
          <w:u w:val="single"/>
          <w:lang w:val="en-US" w:eastAsia="zh-CN"/>
        </w:rPr>
        <w:t xml:space="preserve">      </w:t>
      </w:r>
      <w:r>
        <w:rPr>
          <w:rFonts w:hint="eastAsia" w:cs="仿宋_GB2312"/>
          <w:i w:val="0"/>
          <w:iCs w:val="0"/>
          <w:color w:val="auto"/>
          <w:szCs w:val="24"/>
          <w:highlight w:val="none"/>
          <w:u w:val="single"/>
        </w:rPr>
        <w:t xml:space="preserve">  </w:t>
      </w:r>
      <w:r>
        <w:rPr>
          <w:rFonts w:hint="eastAsia" w:cs="仿宋_GB2312"/>
          <w:i w:val="0"/>
          <w:iCs w:val="0"/>
          <w:color w:val="auto"/>
          <w:szCs w:val="24"/>
          <w:highlight w:val="none"/>
        </w:rPr>
        <w:t>（项目名称）</w:t>
      </w:r>
      <w:r>
        <w:rPr>
          <w:rFonts w:hint="eastAsia" w:cs="仿宋_GB2312"/>
          <w:i w:val="0"/>
          <w:iCs w:val="0"/>
          <w:color w:val="auto"/>
          <w:szCs w:val="24"/>
          <w:highlight w:val="none"/>
          <w:lang w:val="en-US" w:eastAsia="zh-CN"/>
        </w:rPr>
        <w:t>响应</w:t>
      </w:r>
      <w:r>
        <w:rPr>
          <w:rFonts w:hint="eastAsia" w:cs="仿宋_GB2312"/>
          <w:i w:val="0"/>
          <w:iCs w:val="0"/>
          <w:color w:val="auto"/>
          <w:szCs w:val="24"/>
          <w:highlight w:val="none"/>
        </w:rPr>
        <w:t>文件、签订合同和处理有关事宜，其法律后果由我方承担。</w:t>
      </w:r>
    </w:p>
    <w:p w14:paraId="6C23DB3D">
      <w:pPr>
        <w:ind w:firstLine="480" w:firstLineChars="200"/>
        <w:rPr>
          <w:rFonts w:hint="eastAsia" w:cs="仿宋_GB2312"/>
          <w:i w:val="0"/>
          <w:iCs w:val="0"/>
          <w:color w:val="auto"/>
          <w:szCs w:val="24"/>
          <w:highlight w:val="none"/>
        </w:rPr>
      </w:pPr>
      <w:r>
        <w:rPr>
          <w:rFonts w:hint="eastAsia" w:cs="仿宋_GB2312"/>
          <w:i w:val="0"/>
          <w:iCs w:val="0"/>
          <w:color w:val="auto"/>
          <w:szCs w:val="24"/>
          <w:highlight w:val="none"/>
        </w:rPr>
        <w:t>委托期限：</w:t>
      </w:r>
      <w:r>
        <w:rPr>
          <w:rFonts w:hint="eastAsia" w:cs="仿宋_GB2312"/>
          <w:i w:val="0"/>
          <w:iCs w:val="0"/>
          <w:color w:val="auto"/>
          <w:szCs w:val="24"/>
          <w:highlight w:val="none"/>
          <w:lang w:val="en-US" w:eastAsia="zh-CN"/>
        </w:rPr>
        <w:t>自本授权委托书签署之日起至响应文件有效期届满之日止。</w:t>
      </w:r>
    </w:p>
    <w:p w14:paraId="702814C2">
      <w:pPr>
        <w:ind w:firstLine="480" w:firstLineChars="200"/>
        <w:rPr>
          <w:rFonts w:cs="仿宋_GB2312"/>
          <w:i w:val="0"/>
          <w:iCs w:val="0"/>
          <w:color w:val="auto"/>
          <w:szCs w:val="24"/>
          <w:highlight w:val="none"/>
        </w:rPr>
      </w:pPr>
      <w:r>
        <w:rPr>
          <w:rFonts w:hint="eastAsia" w:cs="仿宋_GB2312"/>
          <w:i w:val="0"/>
          <w:iCs w:val="0"/>
          <w:color w:val="auto"/>
          <w:szCs w:val="24"/>
          <w:highlight w:val="none"/>
        </w:rPr>
        <w:t>代理人无转委托权。</w:t>
      </w:r>
    </w:p>
    <w:p w14:paraId="6FC9DA2D">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cs="仿宋_GB2312"/>
          <w:i w:val="0"/>
          <w:iCs w:val="0"/>
          <w:color w:val="auto"/>
          <w:szCs w:val="24"/>
          <w:highlight w:val="none"/>
        </w:rPr>
      </w:pPr>
    </w:p>
    <w:p w14:paraId="45916A72">
      <w:pPr>
        <w:keepNext w:val="0"/>
        <w:keepLines w:val="0"/>
        <w:pageBreakBefore w:val="0"/>
        <w:widowControl/>
        <w:suppressLineNumbers w:val="0"/>
        <w:kinsoku/>
        <w:wordWrap/>
        <w:overflowPunct/>
        <w:topLinePunct w:val="0"/>
        <w:autoSpaceDE/>
        <w:autoSpaceDN/>
        <w:bidi w:val="0"/>
        <w:adjustRightInd/>
        <w:snapToGrid/>
        <w:jc w:val="left"/>
        <w:textAlignment w:val="auto"/>
        <w:rPr>
          <w:i w:val="0"/>
          <w:iCs w:val="0"/>
          <w:color w:val="auto"/>
          <w:highlight w:val="none"/>
        </w:rPr>
      </w:pPr>
      <w:r>
        <w:rPr>
          <w:rFonts w:hint="eastAsia" w:cs="宋体"/>
          <w:i w:val="0"/>
          <w:iCs w:val="0"/>
          <w:color w:val="auto"/>
          <w:kern w:val="0"/>
          <w:sz w:val="24"/>
          <w:szCs w:val="24"/>
          <w:highlight w:val="none"/>
          <w:lang w:val="en-US" w:eastAsia="zh-CN"/>
        </w:rPr>
        <w:t>供应商</w:t>
      </w:r>
      <w:r>
        <w:rPr>
          <w:rFonts w:hint="eastAsia" w:ascii="宋体" w:hAnsi="宋体" w:eastAsia="宋体" w:cs="宋体"/>
          <w:i w:val="0"/>
          <w:iCs w:val="0"/>
          <w:color w:val="auto"/>
          <w:kern w:val="0"/>
          <w:sz w:val="24"/>
          <w:szCs w:val="24"/>
          <w:highlight w:val="none"/>
          <w:lang w:val="en-US" w:eastAsia="zh-CN"/>
        </w:rPr>
        <w:t>名称（加盖公章）：</w:t>
      </w:r>
      <w:r>
        <w:rPr>
          <w:rFonts w:ascii="DejaVuSans" w:hAnsi="DejaVuSans" w:eastAsia="DejaVuSans" w:cs="DejaVuSans"/>
          <w:i w:val="0"/>
          <w:iCs w:val="0"/>
          <w:color w:val="auto"/>
          <w:kern w:val="0"/>
          <w:sz w:val="24"/>
          <w:szCs w:val="24"/>
          <w:highlight w:val="none"/>
          <w:lang w:val="en-US" w:eastAsia="zh-CN"/>
        </w:rPr>
        <w:t xml:space="preserve">________________ </w:t>
      </w:r>
    </w:p>
    <w:p w14:paraId="42862178">
      <w:pPr>
        <w:keepNext w:val="0"/>
        <w:keepLines w:val="0"/>
        <w:pageBreakBefore w:val="0"/>
        <w:widowControl/>
        <w:suppressLineNumbers w:val="0"/>
        <w:kinsoku/>
        <w:wordWrap/>
        <w:overflowPunct/>
        <w:topLinePunct w:val="0"/>
        <w:autoSpaceDE/>
        <w:autoSpaceDN/>
        <w:bidi w:val="0"/>
        <w:adjustRightInd/>
        <w:snapToGrid/>
        <w:jc w:val="left"/>
        <w:textAlignment w:val="auto"/>
        <w:rPr>
          <w:i w:val="0"/>
          <w:iCs w:val="0"/>
          <w:color w:val="auto"/>
          <w:highlight w:val="none"/>
        </w:rPr>
      </w:pPr>
      <w:r>
        <w:rPr>
          <w:rFonts w:hint="eastAsia" w:ascii="宋体" w:hAnsi="宋体" w:eastAsia="宋体" w:cs="宋体"/>
          <w:i w:val="0"/>
          <w:iCs w:val="0"/>
          <w:color w:val="auto"/>
          <w:kern w:val="0"/>
          <w:sz w:val="24"/>
          <w:szCs w:val="24"/>
          <w:highlight w:val="none"/>
          <w:lang w:val="en-US" w:eastAsia="zh-CN"/>
        </w:rPr>
        <w:t>法定代表人（单位负责人）（签字或签章）：</w:t>
      </w:r>
      <w:r>
        <w:rPr>
          <w:rFonts w:hint="default" w:ascii="DejaVuSans" w:hAnsi="DejaVuSans" w:eastAsia="DejaVuSans" w:cs="DejaVuSans"/>
          <w:i w:val="0"/>
          <w:iCs w:val="0"/>
          <w:color w:val="auto"/>
          <w:kern w:val="0"/>
          <w:sz w:val="24"/>
          <w:szCs w:val="24"/>
          <w:highlight w:val="none"/>
          <w:lang w:val="en-US" w:eastAsia="zh-CN"/>
        </w:rPr>
        <w:t xml:space="preserve">________________ </w:t>
      </w:r>
    </w:p>
    <w:p w14:paraId="52FB4D1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i w:val="0"/>
          <w:iCs w:val="0"/>
          <w:color w:val="auto"/>
          <w:highlight w:val="none"/>
          <w:u w:val="single"/>
          <w:lang w:val="en-US"/>
        </w:rPr>
      </w:pPr>
      <w:r>
        <w:rPr>
          <w:rFonts w:hint="eastAsia" w:ascii="宋体" w:hAnsi="宋体" w:eastAsia="宋体" w:cs="宋体"/>
          <w:i w:val="0"/>
          <w:iCs w:val="0"/>
          <w:color w:val="auto"/>
          <w:kern w:val="0"/>
          <w:sz w:val="24"/>
          <w:szCs w:val="24"/>
          <w:highlight w:val="none"/>
          <w:lang w:val="en-US" w:eastAsia="zh-CN"/>
        </w:rPr>
        <w:t>委托代理人（签字或签章）：</w:t>
      </w:r>
      <w:r>
        <w:rPr>
          <w:rFonts w:hint="default" w:ascii="DejaVuSans" w:hAnsi="DejaVuSans" w:eastAsia="DejaVuSans" w:cs="DejaVuSans"/>
          <w:i w:val="0"/>
          <w:iCs w:val="0"/>
          <w:color w:val="auto"/>
          <w:kern w:val="0"/>
          <w:sz w:val="24"/>
          <w:szCs w:val="24"/>
          <w:highlight w:val="none"/>
          <w:lang w:val="en-US" w:eastAsia="zh-CN"/>
        </w:rPr>
        <w:t xml:space="preserve">________________ </w:t>
      </w:r>
      <w:r>
        <w:rPr>
          <w:rFonts w:hint="eastAsia" w:ascii="DejaVuSans" w:hAnsi="DejaVuSans" w:eastAsia="DejaVuSans" w:cs="DejaVuSans"/>
          <w:i w:val="0"/>
          <w:iCs w:val="0"/>
          <w:color w:val="auto"/>
          <w:kern w:val="0"/>
          <w:sz w:val="24"/>
          <w:szCs w:val="24"/>
          <w:highlight w:val="none"/>
          <w:lang w:val="en-US" w:eastAsia="zh-CN"/>
        </w:rPr>
        <w:t xml:space="preserve">  联系电话：</w:t>
      </w:r>
      <w:r>
        <w:rPr>
          <w:rFonts w:hint="eastAsia" w:ascii="DejaVuSans" w:hAnsi="DejaVuSans" w:eastAsia="DejaVuSans" w:cs="DejaVuSans"/>
          <w:i w:val="0"/>
          <w:iCs w:val="0"/>
          <w:color w:val="auto"/>
          <w:kern w:val="0"/>
          <w:sz w:val="24"/>
          <w:szCs w:val="24"/>
          <w:highlight w:val="none"/>
          <w:u w:val="single"/>
          <w:lang w:val="en-US" w:eastAsia="zh-CN"/>
        </w:rPr>
        <w:t xml:space="preserve">              </w:t>
      </w:r>
    </w:p>
    <w:p w14:paraId="45E30DD9">
      <w:pPr>
        <w:keepNext w:val="0"/>
        <w:keepLines w:val="0"/>
        <w:pageBreakBefore w:val="0"/>
        <w:widowControl/>
        <w:suppressLineNumbers w:val="0"/>
        <w:kinsoku/>
        <w:wordWrap/>
        <w:overflowPunct/>
        <w:topLinePunct w:val="0"/>
        <w:autoSpaceDE/>
        <w:autoSpaceDN/>
        <w:bidi w:val="0"/>
        <w:adjustRightInd/>
        <w:snapToGrid/>
        <w:jc w:val="left"/>
        <w:textAlignment w:val="auto"/>
        <w:rPr>
          <w:i w:val="0"/>
          <w:iCs w:val="0"/>
          <w:color w:val="auto"/>
          <w:highlight w:val="none"/>
        </w:rPr>
      </w:pPr>
      <w:r>
        <w:rPr>
          <w:rFonts w:hint="eastAsia" w:ascii="宋体" w:hAnsi="宋体" w:eastAsia="宋体" w:cs="宋体"/>
          <w:i w:val="0"/>
          <w:iCs w:val="0"/>
          <w:color w:val="auto"/>
          <w:kern w:val="0"/>
          <w:sz w:val="24"/>
          <w:szCs w:val="24"/>
          <w:highlight w:val="none"/>
          <w:lang w:val="en-US" w:eastAsia="zh-CN"/>
        </w:rPr>
        <w:t>日期：</w:t>
      </w:r>
      <w:r>
        <w:rPr>
          <w:rFonts w:hint="default" w:ascii="DejaVuSans" w:hAnsi="DejaVuSans" w:eastAsia="DejaVuSans" w:cs="DejaVuSans"/>
          <w:i w:val="0"/>
          <w:iCs w:val="0"/>
          <w:color w:val="auto"/>
          <w:kern w:val="0"/>
          <w:sz w:val="24"/>
          <w:szCs w:val="24"/>
          <w:highlight w:val="none"/>
          <w:lang w:val="en-US" w:eastAsia="zh-CN"/>
        </w:rPr>
        <w:t>_____</w:t>
      </w:r>
      <w:r>
        <w:rPr>
          <w:rFonts w:hint="eastAsia" w:ascii="宋体" w:hAnsi="宋体" w:eastAsia="宋体" w:cs="宋体"/>
          <w:i w:val="0"/>
          <w:iCs w:val="0"/>
          <w:color w:val="auto"/>
          <w:kern w:val="0"/>
          <w:sz w:val="24"/>
          <w:szCs w:val="24"/>
          <w:highlight w:val="none"/>
          <w:lang w:val="en-US" w:eastAsia="zh-CN"/>
        </w:rPr>
        <w:t>年</w:t>
      </w:r>
      <w:r>
        <w:rPr>
          <w:rFonts w:hint="default" w:ascii="DejaVuSans" w:hAnsi="DejaVuSans" w:eastAsia="DejaVuSans" w:cs="DejaVuSans"/>
          <w:i w:val="0"/>
          <w:iCs w:val="0"/>
          <w:color w:val="auto"/>
          <w:kern w:val="0"/>
          <w:sz w:val="24"/>
          <w:szCs w:val="24"/>
          <w:highlight w:val="none"/>
          <w:lang w:val="en-US" w:eastAsia="zh-CN"/>
        </w:rPr>
        <w:t>______</w:t>
      </w:r>
      <w:r>
        <w:rPr>
          <w:rFonts w:hint="eastAsia" w:ascii="宋体" w:hAnsi="宋体" w:eastAsia="宋体" w:cs="宋体"/>
          <w:i w:val="0"/>
          <w:iCs w:val="0"/>
          <w:color w:val="auto"/>
          <w:kern w:val="0"/>
          <w:sz w:val="24"/>
          <w:szCs w:val="24"/>
          <w:highlight w:val="none"/>
          <w:lang w:val="en-US" w:eastAsia="zh-CN"/>
        </w:rPr>
        <w:t>月</w:t>
      </w:r>
      <w:r>
        <w:rPr>
          <w:rFonts w:hint="default" w:ascii="DejaVuSans" w:hAnsi="DejaVuSans" w:eastAsia="DejaVuSans" w:cs="DejaVuSans"/>
          <w:i w:val="0"/>
          <w:iCs w:val="0"/>
          <w:color w:val="auto"/>
          <w:kern w:val="0"/>
          <w:sz w:val="24"/>
          <w:szCs w:val="24"/>
          <w:highlight w:val="none"/>
          <w:lang w:val="en-US" w:eastAsia="zh-CN"/>
        </w:rPr>
        <w:t>______</w:t>
      </w:r>
      <w:r>
        <w:rPr>
          <w:rFonts w:hint="eastAsia" w:ascii="宋体" w:hAnsi="宋体" w:eastAsia="宋体" w:cs="宋体"/>
          <w:i w:val="0"/>
          <w:iCs w:val="0"/>
          <w:color w:val="auto"/>
          <w:kern w:val="0"/>
          <w:sz w:val="24"/>
          <w:szCs w:val="24"/>
          <w:highlight w:val="none"/>
          <w:lang w:val="en-US" w:eastAsia="zh-CN"/>
        </w:rPr>
        <w:t xml:space="preserve">日 </w:t>
      </w:r>
    </w:p>
    <w:p w14:paraId="277ECF4F">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cs="仿宋_GB2312"/>
          <w:i w:val="0"/>
          <w:iCs w:val="0"/>
          <w:color w:val="auto"/>
          <w:szCs w:val="24"/>
          <w:highlight w:val="none"/>
          <w:lang w:val="en-US" w:eastAsia="zh-CN"/>
        </w:rPr>
      </w:pPr>
    </w:p>
    <w:p w14:paraId="541B8244">
      <w:pPr>
        <w:keepNext w:val="0"/>
        <w:keepLines w:val="0"/>
        <w:pageBreakBefore w:val="0"/>
        <w:widowControl/>
        <w:suppressLineNumbers w:val="0"/>
        <w:kinsoku/>
        <w:wordWrap/>
        <w:overflowPunct/>
        <w:topLinePunct w:val="0"/>
        <w:autoSpaceDE/>
        <w:autoSpaceDN/>
        <w:bidi w:val="0"/>
        <w:adjustRightInd/>
        <w:snapToGrid/>
        <w:jc w:val="left"/>
        <w:textAlignment w:val="auto"/>
        <w:rPr>
          <w:i w:val="0"/>
          <w:iCs w:val="0"/>
          <w:color w:val="auto"/>
          <w:highlight w:val="none"/>
        </w:rPr>
      </w:pPr>
      <w:r>
        <w:rPr>
          <w:rFonts w:hint="eastAsia" w:ascii="宋体" w:hAnsi="宋体" w:eastAsia="宋体" w:cs="宋体"/>
          <w:i w:val="0"/>
          <w:iCs w:val="0"/>
          <w:color w:val="auto"/>
          <w:kern w:val="0"/>
          <w:sz w:val="24"/>
          <w:szCs w:val="24"/>
          <w:highlight w:val="none"/>
          <w:lang w:val="en-US" w:eastAsia="zh-CN"/>
        </w:rPr>
        <w:t xml:space="preserve">附：法定代表人及委托代理人身份证明文件电子件： </w:t>
      </w:r>
    </w:p>
    <w:tbl>
      <w:tblPr>
        <w:tblStyle w:val="31"/>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4E47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trPr>
        <w:tc>
          <w:tcPr>
            <w:tcW w:w="8527" w:type="dxa"/>
          </w:tcPr>
          <w:p w14:paraId="39B4CA13">
            <w:pPr>
              <w:rPr>
                <w:rFonts w:cs="Arial"/>
                <w:i w:val="0"/>
                <w:iCs w:val="0"/>
                <w:color w:val="auto"/>
                <w:highlight w:val="none"/>
              </w:rPr>
            </w:pPr>
          </w:p>
        </w:tc>
      </w:tr>
    </w:tbl>
    <w:p w14:paraId="16800979">
      <w:pPr>
        <w:ind w:firstLine="480" w:firstLineChars="200"/>
        <w:rPr>
          <w:rFonts w:hint="eastAsia" w:cs="仿宋_GB2312"/>
          <w:i w:val="0"/>
          <w:iCs w:val="0"/>
          <w:color w:val="auto"/>
          <w:szCs w:val="24"/>
          <w:highlight w:val="none"/>
        </w:rPr>
      </w:pPr>
      <w:r>
        <w:rPr>
          <w:rFonts w:hint="eastAsia" w:cs="仿宋_GB2312"/>
          <w:i w:val="0"/>
          <w:iCs w:val="0"/>
          <w:color w:val="auto"/>
          <w:szCs w:val="24"/>
          <w:highlight w:val="none"/>
          <w:lang w:val="en-US" w:eastAsia="zh-CN"/>
        </w:rPr>
        <w:t xml:space="preserve">说明： </w:t>
      </w:r>
    </w:p>
    <w:p w14:paraId="7E5055BD">
      <w:pPr>
        <w:ind w:firstLine="480" w:firstLineChars="200"/>
        <w:rPr>
          <w:rFonts w:hint="eastAsia" w:cs="仿宋_GB2312"/>
          <w:i w:val="0"/>
          <w:iCs w:val="0"/>
          <w:color w:val="auto"/>
          <w:szCs w:val="24"/>
          <w:highlight w:val="none"/>
        </w:rPr>
      </w:pPr>
      <w:r>
        <w:rPr>
          <w:rFonts w:hint="eastAsia" w:cs="仿宋_GB2312"/>
          <w:i w:val="0"/>
          <w:iCs w:val="0"/>
          <w:color w:val="auto"/>
          <w:szCs w:val="24"/>
          <w:highlight w:val="none"/>
          <w:lang w:val="en-US" w:eastAsia="zh-CN"/>
        </w:rPr>
        <w:t xml:space="preserve">1.若供应商为事业单位或其他组织或分支机构，则法定代表人（单位负责人）处的签署人可为单位负责人。 </w:t>
      </w:r>
    </w:p>
    <w:p w14:paraId="0117381D">
      <w:pPr>
        <w:ind w:firstLine="480" w:firstLineChars="200"/>
        <w:rPr>
          <w:rFonts w:hint="eastAsia" w:cs="仿宋_GB2312"/>
          <w:i w:val="0"/>
          <w:iCs w:val="0"/>
          <w:color w:val="auto"/>
          <w:szCs w:val="24"/>
          <w:highlight w:val="none"/>
        </w:rPr>
      </w:pPr>
      <w:r>
        <w:rPr>
          <w:rFonts w:hint="default" w:cs="仿宋_GB2312"/>
          <w:i w:val="0"/>
          <w:iCs w:val="0"/>
          <w:color w:val="auto"/>
          <w:szCs w:val="24"/>
          <w:highlight w:val="none"/>
          <w:lang w:val="en-US" w:eastAsia="zh-CN"/>
        </w:rPr>
        <w:t>2.</w:t>
      </w:r>
      <w:r>
        <w:rPr>
          <w:rFonts w:hint="eastAsia" w:cs="仿宋_GB2312"/>
          <w:i w:val="0"/>
          <w:iCs w:val="0"/>
          <w:color w:val="auto"/>
          <w:szCs w:val="24"/>
          <w:highlight w:val="none"/>
          <w:lang w:val="en-US" w:eastAsia="zh-CN"/>
        </w:rPr>
        <w:t xml:space="preserve">若响应文件中签字之处均为法定代表人（单位负责人）本人签署，则可不提供本《授权委托书》，但须提供《法定代表人（单位负责人）身份证明》。 </w:t>
      </w:r>
    </w:p>
    <w:p w14:paraId="6369D3C4">
      <w:pPr>
        <w:ind w:firstLine="480" w:firstLineChars="200"/>
        <w:rPr>
          <w:rFonts w:hint="eastAsia" w:cs="仿宋_GB2312"/>
          <w:i w:val="0"/>
          <w:iCs w:val="0"/>
          <w:color w:val="auto"/>
          <w:szCs w:val="24"/>
          <w:highlight w:val="none"/>
        </w:rPr>
      </w:pPr>
      <w:r>
        <w:rPr>
          <w:rFonts w:hint="default" w:cs="仿宋_GB2312"/>
          <w:i w:val="0"/>
          <w:iCs w:val="0"/>
          <w:color w:val="auto"/>
          <w:szCs w:val="24"/>
          <w:highlight w:val="none"/>
          <w:lang w:val="en-US" w:eastAsia="zh-CN"/>
        </w:rPr>
        <w:t>3.</w:t>
      </w:r>
      <w:r>
        <w:rPr>
          <w:rFonts w:hint="eastAsia" w:cs="仿宋_GB2312"/>
          <w:i w:val="0"/>
          <w:iCs w:val="0"/>
          <w:color w:val="auto"/>
          <w:szCs w:val="24"/>
          <w:highlight w:val="none"/>
          <w:lang w:val="en-US" w:eastAsia="zh-CN"/>
        </w:rPr>
        <w:t xml:space="preserve">供应商为自然人的情形，可不提供本《授权委托书》。 </w:t>
      </w:r>
    </w:p>
    <w:p w14:paraId="37EEA59D">
      <w:pPr>
        <w:ind w:firstLine="480" w:firstLineChars="200"/>
        <w:rPr>
          <w:rFonts w:hint="eastAsia" w:cs="仿宋_GB2312"/>
          <w:i w:val="0"/>
          <w:iCs w:val="0"/>
          <w:color w:val="auto"/>
          <w:szCs w:val="24"/>
          <w:highlight w:val="none"/>
        </w:rPr>
      </w:pPr>
      <w:r>
        <w:rPr>
          <w:rFonts w:hint="default" w:cs="仿宋_GB2312"/>
          <w:i w:val="0"/>
          <w:iCs w:val="0"/>
          <w:color w:val="auto"/>
          <w:szCs w:val="24"/>
          <w:highlight w:val="none"/>
          <w:lang w:val="en-US" w:eastAsia="zh-CN"/>
        </w:rPr>
        <w:t>4.</w:t>
      </w:r>
      <w:r>
        <w:rPr>
          <w:rFonts w:hint="eastAsia" w:cs="仿宋_GB2312"/>
          <w:i w:val="0"/>
          <w:iCs w:val="0"/>
          <w:color w:val="auto"/>
          <w:szCs w:val="24"/>
          <w:highlight w:val="none"/>
          <w:lang w:val="en-US" w:eastAsia="zh-CN"/>
        </w:rPr>
        <w:t>供应商应随本《授权委托书》同时提供法定代表人（单位负责人）及委托代理人的有效的身份证、护照等身份证明文件电子件。提供身份证的，应同时提供身份证</w:t>
      </w:r>
      <w:r>
        <w:rPr>
          <w:rFonts w:hint="eastAsia" w:cs="仿宋_GB2312"/>
          <w:b/>
          <w:bCs/>
          <w:i w:val="0"/>
          <w:iCs w:val="0"/>
          <w:color w:val="auto"/>
          <w:szCs w:val="24"/>
          <w:highlight w:val="none"/>
          <w:lang w:val="en-US" w:eastAsia="zh-CN"/>
        </w:rPr>
        <w:t>双面</w:t>
      </w:r>
      <w:r>
        <w:rPr>
          <w:rFonts w:hint="eastAsia" w:cs="仿宋_GB2312"/>
          <w:i w:val="0"/>
          <w:iCs w:val="0"/>
          <w:color w:val="auto"/>
          <w:szCs w:val="24"/>
          <w:highlight w:val="none"/>
          <w:lang w:val="en-US" w:eastAsia="zh-CN"/>
        </w:rPr>
        <w:t>电子件。</w:t>
      </w:r>
    </w:p>
    <w:p w14:paraId="695B5A27">
      <w:pPr>
        <w:rPr>
          <w:i w:val="0"/>
          <w:iCs w:val="0"/>
          <w:color w:val="auto"/>
          <w:highlight w:val="none"/>
        </w:rPr>
      </w:pPr>
      <w:r>
        <w:rPr>
          <w:i w:val="0"/>
          <w:iCs w:val="0"/>
          <w:color w:val="auto"/>
          <w:highlight w:val="none"/>
        </w:rPr>
        <w:br w:type="page"/>
      </w:r>
    </w:p>
    <w:p w14:paraId="576F5D02">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694" w:name="_Toc163492928"/>
      <w:bookmarkStart w:id="695" w:name="_Toc155185934"/>
      <w:bookmarkStart w:id="696" w:name="_Toc18359"/>
      <w:bookmarkStart w:id="697" w:name="_Toc163492929"/>
      <w:r>
        <w:rPr>
          <w:rFonts w:hint="eastAsia" w:cs="宋体"/>
          <w:b/>
          <w:bCs/>
          <w:i w:val="0"/>
          <w:iCs w:val="0"/>
          <w:color w:val="auto"/>
          <w:kern w:val="2"/>
          <w:sz w:val="32"/>
          <w:szCs w:val="32"/>
          <w:highlight w:val="none"/>
          <w:lang w:val="en-US" w:eastAsia="zh-CN" w:bidi="ar-SA"/>
        </w:rPr>
        <w:t>四</w:t>
      </w:r>
      <w:r>
        <w:rPr>
          <w:rFonts w:hint="eastAsia" w:ascii="等线 Light" w:hAnsi="等线 Light" w:eastAsia="宋体" w:cs="宋体"/>
          <w:b/>
          <w:bCs/>
          <w:i w:val="0"/>
          <w:iCs w:val="0"/>
          <w:color w:val="auto"/>
          <w:kern w:val="2"/>
          <w:sz w:val="32"/>
          <w:szCs w:val="32"/>
          <w:highlight w:val="none"/>
          <w:lang w:val="en-US" w:eastAsia="zh-CN" w:bidi="ar-SA"/>
        </w:rPr>
        <w:t>、</w:t>
      </w:r>
      <w:bookmarkEnd w:id="694"/>
      <w:bookmarkEnd w:id="695"/>
      <w:r>
        <w:rPr>
          <w:rFonts w:hint="eastAsia" w:ascii="等线 Light" w:hAnsi="等线 Light" w:eastAsia="宋体" w:cs="宋体"/>
          <w:b/>
          <w:bCs/>
          <w:i w:val="0"/>
          <w:iCs w:val="0"/>
          <w:color w:val="auto"/>
          <w:kern w:val="2"/>
          <w:sz w:val="32"/>
          <w:szCs w:val="32"/>
          <w:highlight w:val="none"/>
          <w:lang w:val="zh-CN" w:eastAsia="zh-CN" w:bidi="ar-SA"/>
        </w:rPr>
        <w:t>政府采购供应商廉洁自律承诺书</w:t>
      </w:r>
      <w:bookmarkEnd w:id="696"/>
    </w:p>
    <w:p w14:paraId="51107CB6">
      <w:pPr>
        <w:pStyle w:val="15"/>
        <w:rPr>
          <w:i w:val="0"/>
          <w:iCs w:val="0"/>
          <w:color w:val="auto"/>
          <w:highlight w:val="none"/>
        </w:rPr>
      </w:pPr>
    </w:p>
    <w:p w14:paraId="6AD4BCB9">
      <w:pPr>
        <w:snapToGrid w:val="0"/>
        <w:spacing w:line="360" w:lineRule="auto"/>
        <w:rPr>
          <w:rFonts w:ascii="宋体" w:hAnsi="宋体" w:cs="宋体"/>
          <w:i w:val="0"/>
          <w:iCs w:val="0"/>
          <w:color w:val="auto"/>
          <w:kern w:val="0"/>
          <w:sz w:val="24"/>
          <w:szCs w:val="24"/>
          <w:highlight w:val="none"/>
        </w:rPr>
      </w:pPr>
      <w:r>
        <w:rPr>
          <w:rFonts w:hint="eastAsia" w:ascii="宋体" w:hAnsi="宋体" w:cs="宋体"/>
          <w:i w:val="0"/>
          <w:iCs w:val="0"/>
          <w:color w:val="auto"/>
          <w:sz w:val="24"/>
          <w:szCs w:val="24"/>
          <w:highlight w:val="none"/>
        </w:rPr>
        <w:t>（采购人）、（采购代理机构）</w:t>
      </w:r>
      <w:r>
        <w:rPr>
          <w:rFonts w:hint="eastAsia" w:ascii="宋体" w:hAnsi="宋体" w:cs="宋体"/>
          <w:i w:val="0"/>
          <w:iCs w:val="0"/>
          <w:color w:val="auto"/>
          <w:kern w:val="0"/>
          <w:sz w:val="24"/>
          <w:szCs w:val="24"/>
          <w:highlight w:val="none"/>
          <w:lang w:val="zh-CN"/>
        </w:rPr>
        <w:t>：</w:t>
      </w:r>
    </w:p>
    <w:p w14:paraId="72181B02">
      <w:pPr>
        <w:autoSpaceDE w:val="0"/>
        <w:autoSpaceDN w:val="0"/>
        <w:spacing w:line="360" w:lineRule="auto"/>
        <w:ind w:left="2" w:leftChars="1" w:firstLine="480" w:firstLineChars="200"/>
        <w:jc w:val="left"/>
        <w:rPr>
          <w:rFonts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我单位响应你</w:t>
      </w:r>
      <w:r>
        <w:rPr>
          <w:rFonts w:hint="eastAsia" w:ascii="宋体" w:hAnsi="宋体" w:cs="宋体"/>
          <w:i w:val="0"/>
          <w:iCs w:val="0"/>
          <w:color w:val="auto"/>
          <w:sz w:val="24"/>
          <w:szCs w:val="24"/>
          <w:highlight w:val="none"/>
        </w:rPr>
        <w:t>单位</w:t>
      </w:r>
      <w:r>
        <w:rPr>
          <w:rFonts w:hint="eastAsia" w:ascii="宋体" w:hAnsi="宋体" w:cs="宋体"/>
          <w:i w:val="0"/>
          <w:iCs w:val="0"/>
          <w:color w:val="auto"/>
          <w:kern w:val="0"/>
          <w:sz w:val="24"/>
          <w:szCs w:val="24"/>
          <w:highlight w:val="none"/>
          <w:lang w:val="zh-CN"/>
        </w:rPr>
        <w:t>项目</w:t>
      </w:r>
      <w:r>
        <w:rPr>
          <w:rFonts w:hint="eastAsia" w:cs="宋体"/>
          <w:i w:val="0"/>
          <w:iCs w:val="0"/>
          <w:color w:val="auto"/>
          <w:kern w:val="0"/>
          <w:sz w:val="24"/>
          <w:szCs w:val="24"/>
          <w:highlight w:val="none"/>
          <w:lang w:val="en-US" w:eastAsia="zh-CN"/>
        </w:rPr>
        <w:t>竞争性磋商</w:t>
      </w:r>
      <w:r>
        <w:rPr>
          <w:rFonts w:hint="eastAsia" w:ascii="宋体" w:hAnsi="宋体" w:cs="宋体"/>
          <w:i w:val="0"/>
          <w:iCs w:val="0"/>
          <w:color w:val="auto"/>
          <w:kern w:val="0"/>
          <w:sz w:val="24"/>
          <w:szCs w:val="24"/>
          <w:highlight w:val="none"/>
          <w:lang w:val="en-US" w:eastAsia="zh-CN"/>
        </w:rPr>
        <w:t>文件</w:t>
      </w:r>
      <w:r>
        <w:rPr>
          <w:rFonts w:hint="eastAsia" w:ascii="宋体" w:hAnsi="宋体" w:cs="宋体"/>
          <w:i w:val="0"/>
          <w:iCs w:val="0"/>
          <w:color w:val="auto"/>
          <w:kern w:val="0"/>
          <w:sz w:val="24"/>
          <w:szCs w:val="24"/>
          <w:highlight w:val="none"/>
          <w:lang w:val="zh-CN"/>
        </w:rPr>
        <w:t>要求参加</w:t>
      </w:r>
      <w:r>
        <w:rPr>
          <w:rFonts w:hint="eastAsia" w:cs="宋体"/>
          <w:i w:val="0"/>
          <w:iCs w:val="0"/>
          <w:color w:val="auto"/>
          <w:kern w:val="0"/>
          <w:sz w:val="24"/>
          <w:szCs w:val="24"/>
          <w:highlight w:val="none"/>
          <w:lang w:val="en-US" w:eastAsia="zh-CN"/>
        </w:rPr>
        <w:t>磋商响应</w:t>
      </w:r>
      <w:r>
        <w:rPr>
          <w:rFonts w:hint="eastAsia" w:ascii="宋体" w:hAnsi="宋体" w:cs="宋体"/>
          <w:i w:val="0"/>
          <w:iCs w:val="0"/>
          <w:color w:val="auto"/>
          <w:kern w:val="0"/>
          <w:sz w:val="24"/>
          <w:szCs w:val="24"/>
          <w:highlight w:val="none"/>
          <w:lang w:val="zh-CN"/>
        </w:rPr>
        <w:t>。在这次</w:t>
      </w:r>
      <w:r>
        <w:rPr>
          <w:rFonts w:hint="eastAsia" w:cs="宋体"/>
          <w:i w:val="0"/>
          <w:iCs w:val="0"/>
          <w:color w:val="auto"/>
          <w:kern w:val="0"/>
          <w:sz w:val="24"/>
          <w:szCs w:val="24"/>
          <w:highlight w:val="none"/>
          <w:lang w:val="en-US" w:eastAsia="zh-CN"/>
        </w:rPr>
        <w:t>磋商响应</w:t>
      </w:r>
      <w:r>
        <w:rPr>
          <w:rFonts w:hint="eastAsia" w:ascii="宋体" w:hAnsi="宋体" w:cs="宋体"/>
          <w:i w:val="0"/>
          <w:iCs w:val="0"/>
          <w:color w:val="auto"/>
          <w:kern w:val="0"/>
          <w:sz w:val="24"/>
          <w:szCs w:val="24"/>
          <w:highlight w:val="none"/>
          <w:lang w:val="zh-CN"/>
        </w:rPr>
        <w:t>过程中和</w:t>
      </w:r>
      <w:r>
        <w:rPr>
          <w:rFonts w:hint="eastAsia" w:cs="宋体"/>
          <w:i w:val="0"/>
          <w:iCs w:val="0"/>
          <w:color w:val="auto"/>
          <w:kern w:val="0"/>
          <w:sz w:val="24"/>
          <w:szCs w:val="24"/>
          <w:highlight w:val="none"/>
          <w:lang w:val="en-US" w:eastAsia="zh-CN"/>
        </w:rPr>
        <w:t>成交</w:t>
      </w:r>
      <w:r>
        <w:rPr>
          <w:rFonts w:hint="eastAsia" w:ascii="宋体" w:hAnsi="宋体" w:cs="宋体"/>
          <w:i w:val="0"/>
          <w:iCs w:val="0"/>
          <w:color w:val="auto"/>
          <w:kern w:val="0"/>
          <w:sz w:val="24"/>
          <w:szCs w:val="24"/>
          <w:highlight w:val="none"/>
          <w:lang w:val="zh-CN"/>
        </w:rPr>
        <w:t>后，我们将严格遵守国家法律法规要求，并郑重承诺：</w:t>
      </w:r>
    </w:p>
    <w:p w14:paraId="75936D59">
      <w:pPr>
        <w:autoSpaceDE w:val="0"/>
        <w:autoSpaceDN w:val="0"/>
        <w:spacing w:line="360" w:lineRule="auto"/>
        <w:ind w:left="2" w:leftChars="1" w:firstLine="480" w:firstLineChars="200"/>
        <w:jc w:val="left"/>
        <w:rPr>
          <w:rFonts w:hint="eastAsia"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 xml:space="preserve">一、不向项目有关人员及部门赠送礼金礼物、有价证券、回扣以及中介费、介绍费、咨询费等好处费； </w:t>
      </w:r>
    </w:p>
    <w:p w14:paraId="1628F827">
      <w:pPr>
        <w:autoSpaceDE w:val="0"/>
        <w:autoSpaceDN w:val="0"/>
        <w:spacing w:line="360" w:lineRule="auto"/>
        <w:ind w:left="2" w:leftChars="1" w:firstLine="480" w:firstLineChars="200"/>
        <w:jc w:val="left"/>
        <w:rPr>
          <w:rFonts w:hint="eastAsia"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 xml:space="preserve">二、不为项目有关人员及部门报销应由你方单位或个人支付的费用； </w:t>
      </w:r>
    </w:p>
    <w:p w14:paraId="4A132DA6">
      <w:pPr>
        <w:autoSpaceDE w:val="0"/>
        <w:autoSpaceDN w:val="0"/>
        <w:spacing w:line="360" w:lineRule="auto"/>
        <w:ind w:left="2" w:leftChars="1" w:firstLine="480" w:firstLineChars="200"/>
        <w:jc w:val="left"/>
        <w:rPr>
          <w:rFonts w:hint="eastAsia"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三、不向项目有关人员及部门提供有可能影响公正的宴请和健身娱乐等活动；</w:t>
      </w:r>
    </w:p>
    <w:p w14:paraId="359F5819">
      <w:pPr>
        <w:autoSpaceDE w:val="0"/>
        <w:autoSpaceDN w:val="0"/>
        <w:spacing w:line="360" w:lineRule="auto"/>
        <w:ind w:left="2" w:leftChars="1" w:firstLine="480" w:firstLineChars="200"/>
        <w:jc w:val="left"/>
        <w:rPr>
          <w:rFonts w:hint="eastAsia"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四、不为项目有关人员及部门出国（境）、旅游等提供方便；</w:t>
      </w:r>
    </w:p>
    <w:p w14:paraId="5FAB402E">
      <w:pPr>
        <w:autoSpaceDE w:val="0"/>
        <w:autoSpaceDN w:val="0"/>
        <w:spacing w:line="360" w:lineRule="auto"/>
        <w:ind w:left="2" w:leftChars="1" w:firstLine="480" w:firstLineChars="200"/>
        <w:jc w:val="left"/>
        <w:rPr>
          <w:rFonts w:hint="eastAsia"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五、不为项目有关人员个人装修住房、婚丧嫁娶、配偶子女工作安排等提供好处；</w:t>
      </w:r>
    </w:p>
    <w:p w14:paraId="029D30F6">
      <w:pPr>
        <w:autoSpaceDE w:val="0"/>
        <w:autoSpaceDN w:val="0"/>
        <w:spacing w:line="360" w:lineRule="auto"/>
        <w:ind w:left="2" w:leftChars="1" w:firstLine="480" w:firstLineChars="200"/>
        <w:jc w:val="left"/>
        <w:rPr>
          <w:rFonts w:hint="eastAsia"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 xml:space="preserve">六、严格遵守《中华人民共和国政府采购法》《中华人民共和国招标投标法》《中华人民共和国民法典》等法律法规，诚实守信，合法经营，坚决抵制各种违法违纪行为。 </w:t>
      </w:r>
    </w:p>
    <w:p w14:paraId="022017F3">
      <w:pPr>
        <w:autoSpaceDE w:val="0"/>
        <w:autoSpaceDN w:val="0"/>
        <w:spacing w:line="360" w:lineRule="auto"/>
        <w:ind w:left="2" w:leftChars="1" w:firstLine="480" w:firstLineChars="200"/>
        <w:jc w:val="left"/>
        <w:rPr>
          <w:rFonts w:hint="eastAsia" w:ascii="宋体" w:hAnsi="宋体" w:cs="宋体"/>
          <w:i w:val="0"/>
          <w:iCs w:val="0"/>
          <w:color w:val="auto"/>
          <w:kern w:val="0"/>
          <w:sz w:val="24"/>
          <w:szCs w:val="24"/>
          <w:highlight w:val="none"/>
          <w:lang w:val="zh-CN"/>
        </w:rPr>
      </w:pPr>
      <w:r>
        <w:rPr>
          <w:rFonts w:hint="eastAsia" w:ascii="宋体" w:hAnsi="宋体" w:cs="宋体"/>
          <w:i w:val="0"/>
          <w:iCs w:val="0"/>
          <w:color w:val="auto"/>
          <w:kern w:val="0"/>
          <w:sz w:val="24"/>
          <w:szCs w:val="24"/>
          <w:highlight w:val="none"/>
          <w:lang w:val="zh-CN"/>
        </w:rPr>
        <w:t>如违反上述承诺，你单位有权立即取消我单位</w:t>
      </w:r>
      <w:r>
        <w:rPr>
          <w:rFonts w:hint="eastAsia" w:cs="宋体"/>
          <w:i w:val="0"/>
          <w:iCs w:val="0"/>
          <w:color w:val="auto"/>
          <w:kern w:val="0"/>
          <w:sz w:val="24"/>
          <w:szCs w:val="24"/>
          <w:highlight w:val="none"/>
          <w:lang w:val="en-US" w:eastAsia="zh-CN"/>
        </w:rPr>
        <w:t>磋商响应</w:t>
      </w:r>
      <w:r>
        <w:rPr>
          <w:rFonts w:hint="eastAsia" w:ascii="宋体" w:hAnsi="宋体" w:cs="宋体"/>
          <w:i w:val="0"/>
          <w:iCs w:val="0"/>
          <w:color w:val="auto"/>
          <w:kern w:val="0"/>
          <w:sz w:val="24"/>
          <w:szCs w:val="24"/>
          <w:highlight w:val="none"/>
          <w:lang w:val="zh-CN"/>
        </w:rPr>
        <w:t>、</w:t>
      </w:r>
      <w:r>
        <w:rPr>
          <w:rFonts w:hint="eastAsia" w:cs="宋体"/>
          <w:i w:val="0"/>
          <w:iCs w:val="0"/>
          <w:color w:val="auto"/>
          <w:kern w:val="0"/>
          <w:sz w:val="24"/>
          <w:szCs w:val="24"/>
          <w:highlight w:val="none"/>
          <w:lang w:val="en-US" w:eastAsia="zh-CN"/>
        </w:rPr>
        <w:t>成交</w:t>
      </w:r>
      <w:r>
        <w:rPr>
          <w:rFonts w:hint="eastAsia" w:ascii="宋体" w:hAnsi="宋体" w:cs="宋体"/>
          <w:i w:val="0"/>
          <w:iCs w:val="0"/>
          <w:color w:val="auto"/>
          <w:kern w:val="0"/>
          <w:sz w:val="24"/>
          <w:szCs w:val="24"/>
          <w:highlight w:val="none"/>
          <w:lang w:val="zh-CN"/>
        </w:rPr>
        <w:t>或在建项目的建设资格，有权拒绝我单位在一定时期内进入你单位进行项目建设或其他经营活动，并通报</w:t>
      </w:r>
      <w:r>
        <w:rPr>
          <w:rFonts w:hint="eastAsia" w:cs="宋体"/>
          <w:i w:val="0"/>
          <w:iCs w:val="0"/>
          <w:color w:val="auto"/>
          <w:kern w:val="0"/>
          <w:sz w:val="24"/>
          <w:szCs w:val="24"/>
          <w:highlight w:val="none"/>
          <w:lang w:val="zh-CN"/>
        </w:rPr>
        <w:t>财政厅</w:t>
      </w:r>
      <w:r>
        <w:rPr>
          <w:rFonts w:hint="eastAsia" w:ascii="宋体" w:hAnsi="宋体" w:cs="宋体"/>
          <w:i w:val="0"/>
          <w:iCs w:val="0"/>
          <w:color w:val="auto"/>
          <w:kern w:val="0"/>
          <w:sz w:val="24"/>
          <w:szCs w:val="24"/>
          <w:highlight w:val="none"/>
          <w:lang w:val="zh-CN"/>
        </w:rPr>
        <w:t>。由此引起的相应损失均由我单位承担。</w:t>
      </w:r>
    </w:p>
    <w:p w14:paraId="6D262AEE">
      <w:pPr>
        <w:autoSpaceDE w:val="0"/>
        <w:autoSpaceDN w:val="0"/>
        <w:spacing w:line="360" w:lineRule="auto"/>
        <w:ind w:left="2"/>
        <w:jc w:val="left"/>
        <w:rPr>
          <w:rFonts w:ascii="宋体" w:hAnsi="宋体" w:cs="宋体"/>
          <w:i w:val="0"/>
          <w:iCs w:val="0"/>
          <w:color w:val="auto"/>
          <w:kern w:val="0"/>
          <w:sz w:val="24"/>
          <w:szCs w:val="24"/>
          <w:highlight w:val="none"/>
          <w:lang w:val="zh-CN"/>
        </w:rPr>
      </w:pPr>
    </w:p>
    <w:p w14:paraId="1AE002BF">
      <w:pPr>
        <w:autoSpaceDE w:val="0"/>
        <w:autoSpaceDN w:val="0"/>
        <w:spacing w:line="360" w:lineRule="auto"/>
        <w:ind w:left="2"/>
        <w:jc w:val="left"/>
        <w:rPr>
          <w:rFonts w:ascii="宋体" w:hAnsi="宋体" w:cs="宋体"/>
          <w:i w:val="0"/>
          <w:iCs w:val="0"/>
          <w:color w:val="auto"/>
          <w:kern w:val="0"/>
          <w:sz w:val="24"/>
          <w:szCs w:val="24"/>
          <w:highlight w:val="none"/>
          <w:lang w:val="zh-CN"/>
        </w:rPr>
      </w:pPr>
    </w:p>
    <w:p w14:paraId="7EC47070">
      <w:pPr>
        <w:autoSpaceDE w:val="0"/>
        <w:autoSpaceDN w:val="0"/>
        <w:spacing w:line="360" w:lineRule="auto"/>
        <w:ind w:left="2"/>
        <w:jc w:val="left"/>
        <w:rPr>
          <w:rFonts w:ascii="宋体" w:hAnsi="宋体" w:cs="宋体"/>
          <w:i w:val="0"/>
          <w:iCs w:val="0"/>
          <w:color w:val="auto"/>
          <w:kern w:val="0"/>
          <w:sz w:val="24"/>
          <w:szCs w:val="24"/>
          <w:highlight w:val="none"/>
          <w:lang w:val="zh-CN"/>
        </w:rPr>
      </w:pPr>
    </w:p>
    <w:p w14:paraId="5B2D863A">
      <w:pPr>
        <w:autoSpaceDE w:val="0"/>
        <w:autoSpaceDN w:val="0"/>
        <w:spacing w:line="360" w:lineRule="auto"/>
        <w:ind w:left="2" w:leftChars="1" w:right="1120" w:firstLine="4560" w:firstLineChars="1900"/>
        <w:jc w:val="left"/>
        <w:rPr>
          <w:rFonts w:ascii="宋体" w:hAnsi="宋体" w:cs="宋体"/>
          <w:i w:val="0"/>
          <w:iCs w:val="0"/>
          <w:color w:val="auto"/>
          <w:kern w:val="0"/>
          <w:sz w:val="24"/>
          <w:szCs w:val="24"/>
          <w:highlight w:val="none"/>
          <w:lang w:val="zh-CN"/>
        </w:rPr>
      </w:pPr>
      <w:r>
        <w:rPr>
          <w:rFonts w:hint="eastAsia" w:cs="宋体"/>
          <w:i w:val="0"/>
          <w:iCs w:val="0"/>
          <w:color w:val="auto"/>
          <w:kern w:val="0"/>
          <w:sz w:val="24"/>
          <w:szCs w:val="24"/>
          <w:highlight w:val="none"/>
          <w:lang w:val="en-US" w:eastAsia="zh-CN"/>
        </w:rPr>
        <w:t>供应商</w:t>
      </w:r>
      <w:r>
        <w:rPr>
          <w:rFonts w:hint="eastAsia" w:ascii="宋体" w:hAnsi="宋体" w:cs="宋体"/>
          <w:i w:val="0"/>
          <w:iCs w:val="0"/>
          <w:color w:val="auto"/>
          <w:kern w:val="0"/>
          <w:sz w:val="24"/>
          <w:szCs w:val="24"/>
          <w:highlight w:val="none"/>
          <w:lang w:val="zh-CN"/>
        </w:rPr>
        <w:t>名称（</w:t>
      </w:r>
      <w:r>
        <w:rPr>
          <w:rFonts w:hint="eastAsia" w:cs="宋体"/>
          <w:i w:val="0"/>
          <w:iCs w:val="0"/>
          <w:color w:val="auto"/>
          <w:sz w:val="24"/>
          <w:szCs w:val="24"/>
          <w:highlight w:val="none"/>
          <w:lang w:eastAsia="zh-CN"/>
        </w:rPr>
        <w:t>公章</w:t>
      </w:r>
      <w:r>
        <w:rPr>
          <w:rFonts w:hint="eastAsia" w:ascii="宋体" w:hAnsi="宋体" w:cs="宋体"/>
          <w:i w:val="0"/>
          <w:iCs w:val="0"/>
          <w:color w:val="auto"/>
          <w:kern w:val="0"/>
          <w:sz w:val="24"/>
          <w:szCs w:val="24"/>
          <w:highlight w:val="none"/>
          <w:lang w:val="zh-CN"/>
        </w:rPr>
        <w:t xml:space="preserve">）：  </w:t>
      </w:r>
      <w:r>
        <w:rPr>
          <w:rFonts w:hint="eastAsia" w:cs="宋体"/>
          <w:i w:val="0"/>
          <w:iCs w:val="0"/>
          <w:color w:val="auto"/>
          <w:kern w:val="0"/>
          <w:sz w:val="24"/>
          <w:szCs w:val="24"/>
          <w:highlight w:val="none"/>
          <w:lang w:val="en-US" w:eastAsia="zh-CN"/>
        </w:rPr>
        <w:t xml:space="preserve">   </w:t>
      </w:r>
      <w:r>
        <w:rPr>
          <w:rFonts w:hint="eastAsia" w:ascii="宋体" w:hAnsi="宋体" w:cs="宋体"/>
          <w:i w:val="0"/>
          <w:iCs w:val="0"/>
          <w:color w:val="auto"/>
          <w:kern w:val="0"/>
          <w:sz w:val="24"/>
          <w:szCs w:val="24"/>
          <w:highlight w:val="none"/>
          <w:lang w:val="zh-CN"/>
        </w:rPr>
        <w:t xml:space="preserve">      </w:t>
      </w:r>
    </w:p>
    <w:p w14:paraId="38A8D95C">
      <w:pPr>
        <w:ind w:firstLine="4560" w:firstLineChars="1900"/>
        <w:rPr>
          <w:rFonts w:hint="eastAsia" w:ascii="等线 Light" w:hAnsi="等线 Light" w:eastAsia="宋体" w:cs="宋体"/>
          <w:b/>
          <w:bCs/>
          <w:i w:val="0"/>
          <w:iCs w:val="0"/>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lang w:val="zh-CN"/>
        </w:rPr>
        <w:t>日期</w:t>
      </w:r>
      <w:r>
        <w:rPr>
          <w:rFonts w:hint="eastAsia" w:ascii="宋体" w:hAnsi="宋体" w:cs="宋体"/>
          <w:i w:val="0"/>
          <w:iCs w:val="0"/>
          <w:color w:val="auto"/>
          <w:kern w:val="0"/>
          <w:sz w:val="24"/>
          <w:szCs w:val="24"/>
          <w:highlight w:val="none"/>
        </w:rPr>
        <w:t>：</w:t>
      </w:r>
      <w:r>
        <w:rPr>
          <w:rFonts w:hint="eastAsia" w:ascii="宋体" w:hAnsi="宋体" w:cs="宋体"/>
          <w:i w:val="0"/>
          <w:iCs w:val="0"/>
          <w:color w:val="auto"/>
          <w:kern w:val="0"/>
          <w:sz w:val="24"/>
          <w:szCs w:val="24"/>
          <w:highlight w:val="none"/>
          <w:lang w:val="zh-CN"/>
        </w:rPr>
        <w:t xml:space="preserve">   年   月   日</w:t>
      </w:r>
    </w:p>
    <w:p w14:paraId="667AF6EC">
      <w:pPr>
        <w:rPr>
          <w:rFonts w:hint="eastAsia" w:ascii="等线 Light" w:hAnsi="等线 Light" w:eastAsia="宋体" w:cs="宋体"/>
          <w:b/>
          <w:bCs/>
          <w:i w:val="0"/>
          <w:iCs w:val="0"/>
          <w:color w:val="auto"/>
          <w:kern w:val="2"/>
          <w:sz w:val="24"/>
          <w:szCs w:val="24"/>
          <w:highlight w:val="none"/>
          <w:lang w:val="en-US" w:eastAsia="zh-CN" w:bidi="ar-SA"/>
        </w:rPr>
      </w:pPr>
    </w:p>
    <w:p w14:paraId="6B7E87AA">
      <w:pPr>
        <w:pStyle w:val="15"/>
        <w:rPr>
          <w:rFonts w:hint="eastAsia" w:ascii="等线 Light" w:hAnsi="等线 Light" w:eastAsia="宋体" w:cs="宋体"/>
          <w:b/>
          <w:bCs/>
          <w:i w:val="0"/>
          <w:iCs w:val="0"/>
          <w:color w:val="auto"/>
          <w:kern w:val="2"/>
          <w:sz w:val="24"/>
          <w:szCs w:val="24"/>
          <w:highlight w:val="none"/>
          <w:lang w:val="en-US" w:eastAsia="zh-CN" w:bidi="ar-SA"/>
        </w:rPr>
      </w:pPr>
    </w:p>
    <w:p w14:paraId="78B6225E">
      <w:pPr>
        <w:pStyle w:val="15"/>
        <w:rPr>
          <w:rFonts w:hint="eastAsia" w:ascii="等线 Light" w:hAnsi="等线 Light" w:eastAsia="宋体" w:cs="宋体"/>
          <w:b/>
          <w:bCs/>
          <w:i w:val="0"/>
          <w:iCs w:val="0"/>
          <w:color w:val="auto"/>
          <w:kern w:val="2"/>
          <w:sz w:val="24"/>
          <w:szCs w:val="24"/>
          <w:highlight w:val="none"/>
          <w:lang w:val="en-US" w:eastAsia="zh-CN" w:bidi="ar-SA"/>
        </w:rPr>
      </w:pPr>
    </w:p>
    <w:p w14:paraId="16175D09">
      <w:pPr>
        <w:pStyle w:val="15"/>
        <w:rPr>
          <w:rFonts w:hint="eastAsia" w:ascii="等线 Light" w:hAnsi="等线 Light" w:eastAsia="宋体" w:cs="宋体"/>
          <w:b/>
          <w:bCs/>
          <w:i w:val="0"/>
          <w:iCs w:val="0"/>
          <w:color w:val="auto"/>
          <w:kern w:val="2"/>
          <w:sz w:val="24"/>
          <w:szCs w:val="24"/>
          <w:highlight w:val="none"/>
          <w:lang w:val="en-US" w:eastAsia="zh-CN" w:bidi="ar-SA"/>
        </w:rPr>
      </w:pPr>
    </w:p>
    <w:p w14:paraId="1E1C5396">
      <w:pPr>
        <w:rPr>
          <w:rFonts w:hint="eastAsia" w:ascii="等线 Light" w:hAnsi="等线 Light" w:eastAsia="宋体" w:cs="宋体"/>
          <w:b/>
          <w:bCs/>
          <w:color w:val="auto"/>
          <w:kern w:val="2"/>
          <w:sz w:val="32"/>
          <w:szCs w:val="32"/>
          <w:highlight w:val="none"/>
          <w:lang w:val="en-US" w:eastAsia="zh-CN" w:bidi="ar-SA"/>
        </w:rPr>
      </w:pPr>
      <w:bookmarkStart w:id="698" w:name="_Toc11276"/>
      <w:r>
        <w:rPr>
          <w:rFonts w:hint="eastAsia" w:ascii="等线 Light" w:hAnsi="等线 Light" w:eastAsia="宋体" w:cs="宋体"/>
          <w:b/>
          <w:bCs/>
          <w:color w:val="auto"/>
          <w:kern w:val="2"/>
          <w:sz w:val="32"/>
          <w:szCs w:val="32"/>
          <w:highlight w:val="none"/>
          <w:lang w:val="en-US" w:eastAsia="zh-CN" w:bidi="ar-SA"/>
        </w:rPr>
        <w:br w:type="page"/>
      </w:r>
    </w:p>
    <w:bookmarkEnd w:id="698"/>
    <w:p w14:paraId="4A9FC1FE">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699" w:name="_Toc30110"/>
      <w:r>
        <w:rPr>
          <w:rFonts w:hint="eastAsia" w:cs="宋体"/>
          <w:b/>
          <w:bCs/>
          <w:i w:val="0"/>
          <w:iCs w:val="0"/>
          <w:color w:val="auto"/>
          <w:kern w:val="2"/>
          <w:sz w:val="32"/>
          <w:szCs w:val="32"/>
          <w:highlight w:val="none"/>
          <w:lang w:val="en-US" w:eastAsia="zh-CN" w:bidi="ar-SA"/>
        </w:rPr>
        <w:t>五、商务响应偏离表</w:t>
      </w:r>
      <w:bookmarkEnd w:id="697"/>
      <w:bookmarkEnd w:id="699"/>
    </w:p>
    <w:p w14:paraId="04CF1D7A">
      <w:pPr>
        <w:rPr>
          <w:rFonts w:cs="仿宋_GB2312"/>
          <w:i w:val="0"/>
          <w:iCs w:val="0"/>
          <w:color w:val="auto"/>
          <w:szCs w:val="24"/>
          <w:highlight w:val="none"/>
        </w:rPr>
      </w:pPr>
      <w:r>
        <w:rPr>
          <w:rFonts w:hint="eastAsia" w:cs="仿宋_GB2312"/>
          <w:i w:val="0"/>
          <w:iCs w:val="0"/>
          <w:color w:val="auto"/>
          <w:szCs w:val="24"/>
          <w:highlight w:val="none"/>
        </w:rPr>
        <w:t xml:space="preserve">项目名称：                                         </w:t>
      </w:r>
    </w:p>
    <w:p w14:paraId="35E68A8F">
      <w:pPr>
        <w:rPr>
          <w:rFonts w:cs="仿宋_GB2312"/>
          <w:i w:val="0"/>
          <w:iCs w:val="0"/>
          <w:color w:val="auto"/>
          <w:szCs w:val="24"/>
          <w:highlight w:val="none"/>
        </w:rPr>
      </w:pPr>
      <w:r>
        <w:rPr>
          <w:rFonts w:hint="eastAsia" w:cs="仿宋_GB2312"/>
          <w:i w:val="0"/>
          <w:iCs w:val="0"/>
          <w:color w:val="auto"/>
          <w:szCs w:val="24"/>
          <w:highlight w:val="none"/>
        </w:rPr>
        <w:t>项目编号</w:t>
      </w:r>
      <w:r>
        <w:rPr>
          <w:rFonts w:hint="eastAsia"/>
          <w:b w:val="0"/>
          <w:bCs/>
          <w:i w:val="0"/>
          <w:iCs w:val="0"/>
          <w:color w:val="auto"/>
          <w:szCs w:val="21"/>
          <w:highlight w:val="none"/>
          <w:lang w:val="en-US" w:eastAsia="zh-CN"/>
        </w:rPr>
        <w:t>/</w:t>
      </w:r>
      <w:r>
        <w:rPr>
          <w:rFonts w:hint="eastAsia"/>
          <w:b w:val="0"/>
          <w:bCs/>
          <w:i w:val="0"/>
          <w:iCs w:val="0"/>
          <w:color w:val="auto"/>
          <w:szCs w:val="21"/>
          <w:highlight w:val="none"/>
          <w:lang w:val="zh-CN"/>
        </w:rPr>
        <w:t>包号</w:t>
      </w:r>
      <w:r>
        <w:rPr>
          <w:rFonts w:hint="eastAsia" w:cs="仿宋_GB2312"/>
          <w:i w:val="0"/>
          <w:iCs w:val="0"/>
          <w:color w:val="auto"/>
          <w:szCs w:val="24"/>
          <w:highlight w:val="none"/>
        </w:rPr>
        <w:t xml:space="preserve">：        </w:t>
      </w:r>
    </w:p>
    <w:tbl>
      <w:tblPr>
        <w:tblStyle w:val="31"/>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394"/>
        <w:gridCol w:w="1720"/>
        <w:gridCol w:w="1871"/>
        <w:gridCol w:w="2356"/>
      </w:tblGrid>
      <w:tr w14:paraId="51B3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21" w:type="dxa"/>
            <w:vAlign w:val="center"/>
          </w:tcPr>
          <w:p w14:paraId="71D65612">
            <w:pPr>
              <w:pStyle w:val="49"/>
              <w:jc w:val="center"/>
              <w:rPr>
                <w:i w:val="0"/>
                <w:iCs w:val="0"/>
                <w:color w:val="auto"/>
                <w:highlight w:val="none"/>
              </w:rPr>
            </w:pPr>
            <w:r>
              <w:rPr>
                <w:rFonts w:hint="eastAsia"/>
                <w:i w:val="0"/>
                <w:iCs w:val="0"/>
                <w:color w:val="auto"/>
                <w:highlight w:val="none"/>
              </w:rPr>
              <w:t>序号</w:t>
            </w:r>
          </w:p>
        </w:tc>
        <w:tc>
          <w:tcPr>
            <w:tcW w:w="2394" w:type="dxa"/>
            <w:vAlign w:val="center"/>
          </w:tcPr>
          <w:p w14:paraId="7EF3A97B">
            <w:pPr>
              <w:pStyle w:val="49"/>
              <w:jc w:val="center"/>
              <w:rPr>
                <w:i w:val="0"/>
                <w:iCs w:val="0"/>
                <w:color w:val="auto"/>
                <w:highlight w:val="none"/>
              </w:rPr>
            </w:pPr>
            <w:r>
              <w:rPr>
                <w:rFonts w:hint="eastAsia"/>
                <w:i w:val="0"/>
                <w:iCs w:val="0"/>
                <w:color w:val="auto"/>
                <w:highlight w:val="none"/>
                <w:lang w:val="en-US" w:eastAsia="zh-CN"/>
              </w:rPr>
              <w:t>竞争性磋商</w:t>
            </w:r>
            <w:r>
              <w:rPr>
                <w:rFonts w:hint="eastAsia"/>
                <w:i w:val="0"/>
                <w:iCs w:val="0"/>
                <w:color w:val="auto"/>
                <w:highlight w:val="none"/>
              </w:rPr>
              <w:t>文件的商务条款</w:t>
            </w:r>
          </w:p>
        </w:tc>
        <w:tc>
          <w:tcPr>
            <w:tcW w:w="1720" w:type="dxa"/>
            <w:vAlign w:val="center"/>
          </w:tcPr>
          <w:p w14:paraId="3A152B10">
            <w:pPr>
              <w:pStyle w:val="49"/>
              <w:jc w:val="center"/>
              <w:rPr>
                <w:i w:val="0"/>
                <w:iCs w:val="0"/>
                <w:color w:val="auto"/>
                <w:highlight w:val="none"/>
              </w:rPr>
            </w:pPr>
            <w:r>
              <w:rPr>
                <w:rFonts w:hint="eastAsia"/>
                <w:i w:val="0"/>
                <w:iCs w:val="0"/>
                <w:color w:val="auto"/>
                <w:highlight w:val="none"/>
                <w:lang w:val="en-US" w:eastAsia="zh-CN"/>
              </w:rPr>
              <w:t>响应</w:t>
            </w:r>
            <w:r>
              <w:rPr>
                <w:rFonts w:hint="eastAsia"/>
                <w:i w:val="0"/>
                <w:iCs w:val="0"/>
                <w:color w:val="auto"/>
                <w:highlight w:val="none"/>
              </w:rPr>
              <w:t>文件的响应内容</w:t>
            </w:r>
          </w:p>
        </w:tc>
        <w:tc>
          <w:tcPr>
            <w:tcW w:w="1871" w:type="dxa"/>
            <w:vAlign w:val="center"/>
          </w:tcPr>
          <w:p w14:paraId="17F715F5">
            <w:pPr>
              <w:pStyle w:val="49"/>
              <w:jc w:val="center"/>
              <w:rPr>
                <w:i w:val="0"/>
                <w:iCs w:val="0"/>
                <w:color w:val="auto"/>
                <w:highlight w:val="none"/>
              </w:rPr>
            </w:pPr>
            <w:r>
              <w:rPr>
                <w:rFonts w:hint="eastAsia"/>
                <w:i w:val="0"/>
                <w:iCs w:val="0"/>
                <w:color w:val="auto"/>
                <w:highlight w:val="none"/>
              </w:rPr>
              <w:t>响应情况</w:t>
            </w:r>
          </w:p>
        </w:tc>
        <w:tc>
          <w:tcPr>
            <w:tcW w:w="2356" w:type="dxa"/>
            <w:vAlign w:val="center"/>
          </w:tcPr>
          <w:p w14:paraId="40786F4A">
            <w:pPr>
              <w:pStyle w:val="49"/>
              <w:jc w:val="center"/>
              <w:rPr>
                <w:i w:val="0"/>
                <w:iCs w:val="0"/>
                <w:color w:val="auto"/>
                <w:highlight w:val="none"/>
              </w:rPr>
            </w:pPr>
            <w:r>
              <w:rPr>
                <w:rFonts w:hint="eastAsia"/>
                <w:i w:val="0"/>
                <w:iCs w:val="0"/>
                <w:color w:val="auto"/>
                <w:highlight w:val="none"/>
                <w:lang w:val="en-US" w:eastAsia="zh-CN"/>
              </w:rPr>
              <w:t>备注</w:t>
            </w:r>
          </w:p>
        </w:tc>
      </w:tr>
      <w:tr w14:paraId="2C58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788C1A9C">
            <w:pPr>
              <w:pStyle w:val="49"/>
              <w:jc w:val="center"/>
              <w:rPr>
                <w:i w:val="0"/>
                <w:iCs w:val="0"/>
                <w:color w:val="auto"/>
                <w:highlight w:val="none"/>
              </w:rPr>
            </w:pPr>
            <w:r>
              <w:rPr>
                <w:rFonts w:hint="eastAsia"/>
                <w:i w:val="0"/>
                <w:iCs w:val="0"/>
                <w:color w:val="auto"/>
                <w:highlight w:val="none"/>
              </w:rPr>
              <w:t>1</w:t>
            </w:r>
          </w:p>
        </w:tc>
        <w:tc>
          <w:tcPr>
            <w:tcW w:w="2394" w:type="dxa"/>
            <w:vAlign w:val="center"/>
          </w:tcPr>
          <w:p w14:paraId="16C4F541">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720" w:type="dxa"/>
            <w:vAlign w:val="center"/>
          </w:tcPr>
          <w:p w14:paraId="48A69951">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871" w:type="dxa"/>
            <w:vAlign w:val="center"/>
          </w:tcPr>
          <w:p w14:paraId="22316F76">
            <w:pPr>
              <w:pStyle w:val="49"/>
              <w:jc w:val="center"/>
              <w:rPr>
                <w:i w:val="0"/>
                <w:iCs w:val="0"/>
                <w:color w:val="auto"/>
                <w:highlight w:val="none"/>
              </w:rPr>
            </w:pPr>
            <w:r>
              <w:rPr>
                <w:rFonts w:hint="eastAsia"/>
                <w:i w:val="0"/>
                <w:iCs w:val="0"/>
                <w:color w:val="auto"/>
                <w:highlight w:val="none"/>
              </w:rPr>
              <w:t>响应/正偏离/负偏离</w:t>
            </w:r>
          </w:p>
        </w:tc>
        <w:tc>
          <w:tcPr>
            <w:tcW w:w="2356" w:type="dxa"/>
            <w:vAlign w:val="center"/>
          </w:tcPr>
          <w:p w14:paraId="0AEB7152">
            <w:pPr>
              <w:pStyle w:val="49"/>
              <w:jc w:val="center"/>
              <w:rPr>
                <w:i w:val="0"/>
                <w:iCs w:val="0"/>
                <w:color w:val="auto"/>
                <w:highlight w:val="none"/>
              </w:rPr>
            </w:pPr>
          </w:p>
        </w:tc>
      </w:tr>
      <w:tr w14:paraId="6E2E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7FB9D243">
            <w:pPr>
              <w:pStyle w:val="49"/>
              <w:jc w:val="center"/>
              <w:rPr>
                <w:i w:val="0"/>
                <w:iCs w:val="0"/>
                <w:color w:val="auto"/>
                <w:highlight w:val="none"/>
              </w:rPr>
            </w:pPr>
            <w:r>
              <w:rPr>
                <w:rFonts w:hint="eastAsia"/>
                <w:i w:val="0"/>
                <w:iCs w:val="0"/>
                <w:color w:val="auto"/>
                <w:highlight w:val="none"/>
              </w:rPr>
              <w:t>2</w:t>
            </w:r>
          </w:p>
        </w:tc>
        <w:tc>
          <w:tcPr>
            <w:tcW w:w="2394" w:type="dxa"/>
            <w:vAlign w:val="center"/>
          </w:tcPr>
          <w:p w14:paraId="4A57EE91">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720" w:type="dxa"/>
            <w:vAlign w:val="center"/>
          </w:tcPr>
          <w:p w14:paraId="44140B7D">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871" w:type="dxa"/>
            <w:vAlign w:val="center"/>
          </w:tcPr>
          <w:p w14:paraId="7F17C7FF">
            <w:pPr>
              <w:pStyle w:val="49"/>
              <w:jc w:val="center"/>
              <w:rPr>
                <w:i w:val="0"/>
                <w:iCs w:val="0"/>
                <w:color w:val="auto"/>
                <w:highlight w:val="none"/>
              </w:rPr>
            </w:pPr>
          </w:p>
        </w:tc>
        <w:tc>
          <w:tcPr>
            <w:tcW w:w="2356" w:type="dxa"/>
            <w:vAlign w:val="center"/>
          </w:tcPr>
          <w:p w14:paraId="1C698B8D">
            <w:pPr>
              <w:pStyle w:val="49"/>
              <w:jc w:val="center"/>
              <w:rPr>
                <w:i w:val="0"/>
                <w:iCs w:val="0"/>
                <w:color w:val="auto"/>
                <w:highlight w:val="none"/>
              </w:rPr>
            </w:pPr>
          </w:p>
        </w:tc>
      </w:tr>
      <w:tr w14:paraId="4B88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2B83269F">
            <w:pPr>
              <w:pStyle w:val="49"/>
              <w:jc w:val="center"/>
              <w:rPr>
                <w:i w:val="0"/>
                <w:iCs w:val="0"/>
                <w:color w:val="auto"/>
                <w:highlight w:val="none"/>
              </w:rPr>
            </w:pPr>
            <w:r>
              <w:rPr>
                <w:rFonts w:hint="eastAsia"/>
                <w:i w:val="0"/>
                <w:iCs w:val="0"/>
                <w:color w:val="auto"/>
                <w:highlight w:val="none"/>
              </w:rPr>
              <w:t>3</w:t>
            </w:r>
          </w:p>
        </w:tc>
        <w:tc>
          <w:tcPr>
            <w:tcW w:w="2394" w:type="dxa"/>
            <w:vAlign w:val="center"/>
          </w:tcPr>
          <w:p w14:paraId="5F3A980F">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720" w:type="dxa"/>
            <w:vAlign w:val="center"/>
          </w:tcPr>
          <w:p w14:paraId="4BBB972F">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871" w:type="dxa"/>
            <w:vAlign w:val="center"/>
          </w:tcPr>
          <w:p w14:paraId="3CD5C56C">
            <w:pPr>
              <w:pStyle w:val="49"/>
              <w:jc w:val="center"/>
              <w:rPr>
                <w:i w:val="0"/>
                <w:iCs w:val="0"/>
                <w:color w:val="auto"/>
                <w:highlight w:val="none"/>
              </w:rPr>
            </w:pPr>
          </w:p>
        </w:tc>
        <w:tc>
          <w:tcPr>
            <w:tcW w:w="2356" w:type="dxa"/>
            <w:vAlign w:val="center"/>
          </w:tcPr>
          <w:p w14:paraId="1A496064">
            <w:pPr>
              <w:pStyle w:val="49"/>
              <w:jc w:val="center"/>
              <w:rPr>
                <w:i w:val="0"/>
                <w:iCs w:val="0"/>
                <w:color w:val="auto"/>
                <w:highlight w:val="none"/>
              </w:rPr>
            </w:pPr>
          </w:p>
        </w:tc>
      </w:tr>
      <w:tr w14:paraId="0A70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5F4000F3">
            <w:pPr>
              <w:pStyle w:val="49"/>
              <w:jc w:val="center"/>
              <w:rPr>
                <w:i w:val="0"/>
                <w:iCs w:val="0"/>
                <w:color w:val="auto"/>
                <w:highlight w:val="none"/>
              </w:rPr>
            </w:pPr>
          </w:p>
        </w:tc>
        <w:tc>
          <w:tcPr>
            <w:tcW w:w="2394" w:type="dxa"/>
            <w:vAlign w:val="center"/>
          </w:tcPr>
          <w:p w14:paraId="4526A9DD">
            <w:pPr>
              <w:pStyle w:val="49"/>
              <w:jc w:val="center"/>
              <w:rPr>
                <w:i w:val="0"/>
                <w:iCs w:val="0"/>
                <w:color w:val="auto"/>
                <w:highlight w:val="none"/>
              </w:rPr>
            </w:pPr>
          </w:p>
        </w:tc>
        <w:tc>
          <w:tcPr>
            <w:tcW w:w="1720" w:type="dxa"/>
            <w:vAlign w:val="center"/>
          </w:tcPr>
          <w:p w14:paraId="1A0C5AA5">
            <w:pPr>
              <w:pStyle w:val="49"/>
              <w:jc w:val="center"/>
              <w:rPr>
                <w:i w:val="0"/>
                <w:iCs w:val="0"/>
                <w:color w:val="auto"/>
                <w:highlight w:val="none"/>
              </w:rPr>
            </w:pPr>
          </w:p>
        </w:tc>
        <w:tc>
          <w:tcPr>
            <w:tcW w:w="1871" w:type="dxa"/>
            <w:vAlign w:val="center"/>
          </w:tcPr>
          <w:p w14:paraId="146FBA7B">
            <w:pPr>
              <w:pStyle w:val="49"/>
              <w:jc w:val="center"/>
              <w:rPr>
                <w:i w:val="0"/>
                <w:iCs w:val="0"/>
                <w:color w:val="auto"/>
                <w:highlight w:val="none"/>
              </w:rPr>
            </w:pPr>
          </w:p>
        </w:tc>
        <w:tc>
          <w:tcPr>
            <w:tcW w:w="2356" w:type="dxa"/>
            <w:vAlign w:val="center"/>
          </w:tcPr>
          <w:p w14:paraId="4E53E177">
            <w:pPr>
              <w:pStyle w:val="49"/>
              <w:jc w:val="center"/>
              <w:rPr>
                <w:i w:val="0"/>
                <w:iCs w:val="0"/>
                <w:color w:val="auto"/>
                <w:highlight w:val="none"/>
              </w:rPr>
            </w:pPr>
          </w:p>
        </w:tc>
      </w:tr>
      <w:tr w14:paraId="5F1E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1646EB55">
            <w:pPr>
              <w:pStyle w:val="49"/>
              <w:jc w:val="center"/>
              <w:rPr>
                <w:i w:val="0"/>
                <w:iCs w:val="0"/>
                <w:color w:val="auto"/>
                <w:highlight w:val="none"/>
              </w:rPr>
            </w:pPr>
          </w:p>
        </w:tc>
        <w:tc>
          <w:tcPr>
            <w:tcW w:w="2394" w:type="dxa"/>
            <w:vAlign w:val="center"/>
          </w:tcPr>
          <w:p w14:paraId="0D772230">
            <w:pPr>
              <w:pStyle w:val="49"/>
              <w:jc w:val="center"/>
              <w:rPr>
                <w:i w:val="0"/>
                <w:iCs w:val="0"/>
                <w:color w:val="auto"/>
                <w:highlight w:val="none"/>
              </w:rPr>
            </w:pPr>
          </w:p>
        </w:tc>
        <w:tc>
          <w:tcPr>
            <w:tcW w:w="1720" w:type="dxa"/>
            <w:vAlign w:val="center"/>
          </w:tcPr>
          <w:p w14:paraId="1764D05E">
            <w:pPr>
              <w:pStyle w:val="49"/>
              <w:jc w:val="center"/>
              <w:rPr>
                <w:i w:val="0"/>
                <w:iCs w:val="0"/>
                <w:color w:val="auto"/>
                <w:highlight w:val="none"/>
              </w:rPr>
            </w:pPr>
          </w:p>
        </w:tc>
        <w:tc>
          <w:tcPr>
            <w:tcW w:w="1871" w:type="dxa"/>
            <w:vAlign w:val="center"/>
          </w:tcPr>
          <w:p w14:paraId="116ABEA9">
            <w:pPr>
              <w:pStyle w:val="49"/>
              <w:jc w:val="center"/>
              <w:rPr>
                <w:i w:val="0"/>
                <w:iCs w:val="0"/>
                <w:color w:val="auto"/>
                <w:highlight w:val="none"/>
              </w:rPr>
            </w:pPr>
          </w:p>
        </w:tc>
        <w:tc>
          <w:tcPr>
            <w:tcW w:w="2356" w:type="dxa"/>
            <w:vAlign w:val="center"/>
          </w:tcPr>
          <w:p w14:paraId="63541A37">
            <w:pPr>
              <w:pStyle w:val="49"/>
              <w:jc w:val="center"/>
              <w:rPr>
                <w:i w:val="0"/>
                <w:iCs w:val="0"/>
                <w:color w:val="auto"/>
                <w:highlight w:val="none"/>
              </w:rPr>
            </w:pPr>
          </w:p>
        </w:tc>
      </w:tr>
      <w:tr w14:paraId="740D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2292416B">
            <w:pPr>
              <w:pStyle w:val="49"/>
              <w:jc w:val="center"/>
              <w:rPr>
                <w:i w:val="0"/>
                <w:iCs w:val="0"/>
                <w:color w:val="auto"/>
                <w:highlight w:val="none"/>
              </w:rPr>
            </w:pPr>
          </w:p>
        </w:tc>
        <w:tc>
          <w:tcPr>
            <w:tcW w:w="2394" w:type="dxa"/>
            <w:vAlign w:val="center"/>
          </w:tcPr>
          <w:p w14:paraId="1A4FC916">
            <w:pPr>
              <w:pStyle w:val="49"/>
              <w:jc w:val="center"/>
              <w:rPr>
                <w:i w:val="0"/>
                <w:iCs w:val="0"/>
                <w:color w:val="auto"/>
                <w:highlight w:val="none"/>
              </w:rPr>
            </w:pPr>
          </w:p>
        </w:tc>
        <w:tc>
          <w:tcPr>
            <w:tcW w:w="1720" w:type="dxa"/>
            <w:vAlign w:val="center"/>
          </w:tcPr>
          <w:p w14:paraId="602995E9">
            <w:pPr>
              <w:pStyle w:val="49"/>
              <w:jc w:val="center"/>
              <w:rPr>
                <w:i w:val="0"/>
                <w:iCs w:val="0"/>
                <w:color w:val="auto"/>
                <w:highlight w:val="none"/>
              </w:rPr>
            </w:pPr>
          </w:p>
        </w:tc>
        <w:tc>
          <w:tcPr>
            <w:tcW w:w="1871" w:type="dxa"/>
            <w:vAlign w:val="center"/>
          </w:tcPr>
          <w:p w14:paraId="249DD1B1">
            <w:pPr>
              <w:pStyle w:val="49"/>
              <w:jc w:val="center"/>
              <w:rPr>
                <w:i w:val="0"/>
                <w:iCs w:val="0"/>
                <w:color w:val="auto"/>
                <w:highlight w:val="none"/>
              </w:rPr>
            </w:pPr>
          </w:p>
        </w:tc>
        <w:tc>
          <w:tcPr>
            <w:tcW w:w="2356" w:type="dxa"/>
            <w:vAlign w:val="center"/>
          </w:tcPr>
          <w:p w14:paraId="2E0482FC">
            <w:pPr>
              <w:pStyle w:val="49"/>
              <w:jc w:val="center"/>
              <w:rPr>
                <w:i w:val="0"/>
                <w:iCs w:val="0"/>
                <w:color w:val="auto"/>
                <w:highlight w:val="none"/>
              </w:rPr>
            </w:pPr>
          </w:p>
        </w:tc>
      </w:tr>
      <w:tr w14:paraId="731F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712931EF">
            <w:pPr>
              <w:pStyle w:val="49"/>
              <w:jc w:val="center"/>
              <w:rPr>
                <w:i w:val="0"/>
                <w:iCs w:val="0"/>
                <w:color w:val="auto"/>
                <w:highlight w:val="none"/>
              </w:rPr>
            </w:pPr>
          </w:p>
        </w:tc>
        <w:tc>
          <w:tcPr>
            <w:tcW w:w="2394" w:type="dxa"/>
            <w:vAlign w:val="center"/>
          </w:tcPr>
          <w:p w14:paraId="737F3E60">
            <w:pPr>
              <w:pStyle w:val="49"/>
              <w:jc w:val="center"/>
              <w:rPr>
                <w:i w:val="0"/>
                <w:iCs w:val="0"/>
                <w:color w:val="auto"/>
                <w:highlight w:val="none"/>
              </w:rPr>
            </w:pPr>
          </w:p>
        </w:tc>
        <w:tc>
          <w:tcPr>
            <w:tcW w:w="1720" w:type="dxa"/>
            <w:vAlign w:val="center"/>
          </w:tcPr>
          <w:p w14:paraId="0BA3C9AB">
            <w:pPr>
              <w:pStyle w:val="49"/>
              <w:jc w:val="center"/>
              <w:rPr>
                <w:i w:val="0"/>
                <w:iCs w:val="0"/>
                <w:color w:val="auto"/>
                <w:highlight w:val="none"/>
              </w:rPr>
            </w:pPr>
          </w:p>
        </w:tc>
        <w:tc>
          <w:tcPr>
            <w:tcW w:w="1871" w:type="dxa"/>
            <w:vAlign w:val="center"/>
          </w:tcPr>
          <w:p w14:paraId="34BAD790">
            <w:pPr>
              <w:pStyle w:val="49"/>
              <w:jc w:val="center"/>
              <w:rPr>
                <w:i w:val="0"/>
                <w:iCs w:val="0"/>
                <w:color w:val="auto"/>
                <w:highlight w:val="none"/>
              </w:rPr>
            </w:pPr>
          </w:p>
        </w:tc>
        <w:tc>
          <w:tcPr>
            <w:tcW w:w="2356" w:type="dxa"/>
            <w:vAlign w:val="center"/>
          </w:tcPr>
          <w:p w14:paraId="6484685B">
            <w:pPr>
              <w:pStyle w:val="49"/>
              <w:jc w:val="center"/>
              <w:rPr>
                <w:i w:val="0"/>
                <w:iCs w:val="0"/>
                <w:color w:val="auto"/>
                <w:highlight w:val="none"/>
              </w:rPr>
            </w:pPr>
          </w:p>
        </w:tc>
      </w:tr>
      <w:tr w14:paraId="16F1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7DB47328">
            <w:pPr>
              <w:pStyle w:val="49"/>
              <w:jc w:val="center"/>
              <w:rPr>
                <w:i w:val="0"/>
                <w:iCs w:val="0"/>
                <w:color w:val="auto"/>
                <w:highlight w:val="none"/>
              </w:rPr>
            </w:pPr>
          </w:p>
        </w:tc>
        <w:tc>
          <w:tcPr>
            <w:tcW w:w="2394" w:type="dxa"/>
            <w:vAlign w:val="center"/>
          </w:tcPr>
          <w:p w14:paraId="3DF6B729">
            <w:pPr>
              <w:pStyle w:val="49"/>
              <w:jc w:val="center"/>
              <w:rPr>
                <w:i w:val="0"/>
                <w:iCs w:val="0"/>
                <w:color w:val="auto"/>
                <w:highlight w:val="none"/>
              </w:rPr>
            </w:pPr>
          </w:p>
        </w:tc>
        <w:tc>
          <w:tcPr>
            <w:tcW w:w="1720" w:type="dxa"/>
            <w:vAlign w:val="center"/>
          </w:tcPr>
          <w:p w14:paraId="4E9BEDE4">
            <w:pPr>
              <w:pStyle w:val="49"/>
              <w:jc w:val="center"/>
              <w:rPr>
                <w:i w:val="0"/>
                <w:iCs w:val="0"/>
                <w:color w:val="auto"/>
                <w:highlight w:val="none"/>
              </w:rPr>
            </w:pPr>
          </w:p>
        </w:tc>
        <w:tc>
          <w:tcPr>
            <w:tcW w:w="1871" w:type="dxa"/>
            <w:vAlign w:val="center"/>
          </w:tcPr>
          <w:p w14:paraId="46312BF4">
            <w:pPr>
              <w:pStyle w:val="49"/>
              <w:jc w:val="center"/>
              <w:rPr>
                <w:i w:val="0"/>
                <w:iCs w:val="0"/>
                <w:color w:val="auto"/>
                <w:highlight w:val="none"/>
              </w:rPr>
            </w:pPr>
          </w:p>
        </w:tc>
        <w:tc>
          <w:tcPr>
            <w:tcW w:w="2356" w:type="dxa"/>
            <w:vAlign w:val="center"/>
          </w:tcPr>
          <w:p w14:paraId="51CBC91C">
            <w:pPr>
              <w:pStyle w:val="49"/>
              <w:jc w:val="center"/>
              <w:rPr>
                <w:i w:val="0"/>
                <w:iCs w:val="0"/>
                <w:color w:val="auto"/>
                <w:highlight w:val="none"/>
              </w:rPr>
            </w:pPr>
          </w:p>
        </w:tc>
      </w:tr>
      <w:tr w14:paraId="1D67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21" w:type="dxa"/>
            <w:vAlign w:val="center"/>
          </w:tcPr>
          <w:p w14:paraId="2EB1D933">
            <w:pPr>
              <w:pStyle w:val="49"/>
              <w:jc w:val="center"/>
              <w:rPr>
                <w:i w:val="0"/>
                <w:iCs w:val="0"/>
                <w:color w:val="auto"/>
                <w:highlight w:val="none"/>
              </w:rPr>
            </w:pPr>
          </w:p>
        </w:tc>
        <w:tc>
          <w:tcPr>
            <w:tcW w:w="2394" w:type="dxa"/>
            <w:vAlign w:val="center"/>
          </w:tcPr>
          <w:p w14:paraId="3CC2B3C8">
            <w:pPr>
              <w:pStyle w:val="49"/>
              <w:jc w:val="center"/>
              <w:rPr>
                <w:i w:val="0"/>
                <w:iCs w:val="0"/>
                <w:color w:val="auto"/>
                <w:highlight w:val="none"/>
              </w:rPr>
            </w:pPr>
          </w:p>
        </w:tc>
        <w:tc>
          <w:tcPr>
            <w:tcW w:w="1720" w:type="dxa"/>
            <w:vAlign w:val="center"/>
          </w:tcPr>
          <w:p w14:paraId="453EB5EE">
            <w:pPr>
              <w:pStyle w:val="49"/>
              <w:jc w:val="center"/>
              <w:rPr>
                <w:i w:val="0"/>
                <w:iCs w:val="0"/>
                <w:color w:val="auto"/>
                <w:highlight w:val="none"/>
              </w:rPr>
            </w:pPr>
          </w:p>
        </w:tc>
        <w:tc>
          <w:tcPr>
            <w:tcW w:w="1871" w:type="dxa"/>
            <w:vAlign w:val="center"/>
          </w:tcPr>
          <w:p w14:paraId="6D8ED861">
            <w:pPr>
              <w:pStyle w:val="49"/>
              <w:jc w:val="center"/>
              <w:rPr>
                <w:i w:val="0"/>
                <w:iCs w:val="0"/>
                <w:color w:val="auto"/>
                <w:highlight w:val="none"/>
              </w:rPr>
            </w:pPr>
          </w:p>
        </w:tc>
        <w:tc>
          <w:tcPr>
            <w:tcW w:w="2356" w:type="dxa"/>
            <w:vAlign w:val="center"/>
          </w:tcPr>
          <w:p w14:paraId="4F3408D0">
            <w:pPr>
              <w:pStyle w:val="49"/>
              <w:jc w:val="center"/>
              <w:rPr>
                <w:i w:val="0"/>
                <w:iCs w:val="0"/>
                <w:color w:val="auto"/>
                <w:highlight w:val="none"/>
              </w:rPr>
            </w:pPr>
          </w:p>
        </w:tc>
      </w:tr>
      <w:tr w14:paraId="07A9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1" w:type="dxa"/>
            <w:vAlign w:val="center"/>
          </w:tcPr>
          <w:p w14:paraId="675D711F">
            <w:pPr>
              <w:pStyle w:val="49"/>
              <w:jc w:val="center"/>
              <w:rPr>
                <w:i w:val="0"/>
                <w:iCs w:val="0"/>
                <w:color w:val="auto"/>
                <w:highlight w:val="none"/>
              </w:rPr>
            </w:pPr>
            <w:r>
              <w:rPr>
                <w:rFonts w:hint="eastAsia"/>
                <w:i w:val="0"/>
                <w:iCs w:val="0"/>
                <w:color w:val="auto"/>
                <w:highlight w:val="none"/>
              </w:rPr>
              <w:t>……</w:t>
            </w:r>
          </w:p>
        </w:tc>
        <w:tc>
          <w:tcPr>
            <w:tcW w:w="2394" w:type="dxa"/>
            <w:vAlign w:val="center"/>
          </w:tcPr>
          <w:p w14:paraId="4AD7AB8A">
            <w:pPr>
              <w:pStyle w:val="49"/>
              <w:jc w:val="center"/>
              <w:rPr>
                <w:i w:val="0"/>
                <w:iCs w:val="0"/>
                <w:color w:val="auto"/>
                <w:highlight w:val="none"/>
              </w:rPr>
            </w:pPr>
            <w:r>
              <w:rPr>
                <w:rFonts w:hint="eastAsia"/>
                <w:i w:val="0"/>
                <w:iCs w:val="0"/>
                <w:color w:val="auto"/>
                <w:highlight w:val="none"/>
              </w:rPr>
              <w:t>…………</w:t>
            </w:r>
          </w:p>
        </w:tc>
        <w:tc>
          <w:tcPr>
            <w:tcW w:w="1720" w:type="dxa"/>
            <w:vAlign w:val="center"/>
          </w:tcPr>
          <w:p w14:paraId="3C42FC3F">
            <w:pPr>
              <w:pStyle w:val="49"/>
              <w:jc w:val="center"/>
              <w:rPr>
                <w:i w:val="0"/>
                <w:iCs w:val="0"/>
                <w:color w:val="auto"/>
                <w:highlight w:val="none"/>
              </w:rPr>
            </w:pPr>
            <w:r>
              <w:rPr>
                <w:rFonts w:hint="eastAsia"/>
                <w:i w:val="0"/>
                <w:iCs w:val="0"/>
                <w:color w:val="auto"/>
                <w:highlight w:val="none"/>
              </w:rPr>
              <w:t>…………</w:t>
            </w:r>
          </w:p>
        </w:tc>
        <w:tc>
          <w:tcPr>
            <w:tcW w:w="1871" w:type="dxa"/>
            <w:vAlign w:val="center"/>
          </w:tcPr>
          <w:p w14:paraId="4E10611C">
            <w:pPr>
              <w:pStyle w:val="49"/>
              <w:jc w:val="center"/>
              <w:rPr>
                <w:i w:val="0"/>
                <w:iCs w:val="0"/>
                <w:color w:val="auto"/>
                <w:highlight w:val="none"/>
              </w:rPr>
            </w:pPr>
            <w:r>
              <w:rPr>
                <w:rFonts w:hint="eastAsia"/>
                <w:i w:val="0"/>
                <w:iCs w:val="0"/>
                <w:color w:val="auto"/>
                <w:highlight w:val="none"/>
              </w:rPr>
              <w:t>……</w:t>
            </w:r>
          </w:p>
        </w:tc>
        <w:tc>
          <w:tcPr>
            <w:tcW w:w="2356" w:type="dxa"/>
            <w:vAlign w:val="center"/>
          </w:tcPr>
          <w:p w14:paraId="6655E82E">
            <w:pPr>
              <w:pStyle w:val="49"/>
              <w:jc w:val="center"/>
              <w:rPr>
                <w:i w:val="0"/>
                <w:iCs w:val="0"/>
                <w:color w:val="auto"/>
                <w:highlight w:val="none"/>
              </w:rPr>
            </w:pPr>
          </w:p>
        </w:tc>
      </w:tr>
    </w:tbl>
    <w:p w14:paraId="13ABC7C7">
      <w:pPr>
        <w:ind w:firstLine="480" w:firstLineChars="200"/>
        <w:rPr>
          <w:rFonts w:hint="eastAsia" w:cs="仿宋_GB2312"/>
          <w:i w:val="0"/>
          <w:iCs w:val="0"/>
          <w:color w:val="auto"/>
          <w:szCs w:val="24"/>
          <w:highlight w:val="none"/>
        </w:rPr>
      </w:pPr>
    </w:p>
    <w:p w14:paraId="75881A16">
      <w:pPr>
        <w:ind w:firstLine="480" w:firstLineChars="200"/>
        <w:rPr>
          <w:rFonts w:cs="仿宋_GB2312"/>
          <w:i w:val="0"/>
          <w:iCs w:val="0"/>
          <w:color w:val="auto"/>
          <w:szCs w:val="24"/>
          <w:highlight w:val="none"/>
        </w:rPr>
      </w:pPr>
    </w:p>
    <w:p w14:paraId="3DA5CE0A">
      <w:pPr>
        <w:ind w:right="1008" w:firstLine="4284" w:firstLineChars="17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4A3DAF98">
      <w:pPr>
        <w:ind w:right="1008" w:firstLine="4284" w:firstLineChars="17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4B0F3B1C">
      <w:pPr>
        <w:ind w:firstLine="420"/>
        <w:rPr>
          <w:rFonts w:cs="仿宋_GB2312"/>
          <w:i w:val="0"/>
          <w:iCs w:val="0"/>
          <w:color w:val="auto"/>
          <w:szCs w:val="24"/>
          <w:highlight w:val="none"/>
        </w:rPr>
      </w:pPr>
    </w:p>
    <w:p w14:paraId="0E86B6EB">
      <w:pPr>
        <w:ind w:firstLine="420" w:firstLineChars="200"/>
        <w:rPr>
          <w:rFonts w:cs="仿宋_GB2312"/>
          <w:color w:val="auto"/>
          <w:szCs w:val="24"/>
          <w:highlight w:val="none"/>
        </w:rPr>
      </w:pPr>
      <w:r>
        <w:rPr>
          <w:rFonts w:hint="eastAsia" w:cs="仿宋_GB2312"/>
          <w:color w:val="auto"/>
          <w:sz w:val="21"/>
          <w:szCs w:val="21"/>
          <w:highlight w:val="none"/>
        </w:rPr>
        <w:t>注：</w:t>
      </w:r>
      <w:r>
        <w:rPr>
          <w:rFonts w:hint="eastAsia" w:cs="仿宋_GB2312"/>
          <w:color w:val="auto"/>
          <w:sz w:val="21"/>
          <w:szCs w:val="21"/>
          <w:highlight w:val="none"/>
          <w:lang w:val="en-US" w:eastAsia="zh-CN"/>
        </w:rPr>
        <w:t>供应商</w:t>
      </w:r>
      <w:r>
        <w:rPr>
          <w:rFonts w:hint="eastAsia" w:cs="仿宋_GB2312"/>
          <w:color w:val="auto"/>
          <w:sz w:val="21"/>
          <w:szCs w:val="21"/>
          <w:highlight w:val="none"/>
        </w:rPr>
        <w:t>应按照</w:t>
      </w:r>
      <w:r>
        <w:rPr>
          <w:rFonts w:hint="eastAsia" w:cs="仿宋_GB2312"/>
          <w:color w:val="auto"/>
          <w:sz w:val="21"/>
          <w:szCs w:val="21"/>
          <w:highlight w:val="none"/>
          <w:lang w:val="en-US" w:eastAsia="zh-CN"/>
        </w:rPr>
        <w:t>竞争性磋商</w:t>
      </w:r>
      <w:r>
        <w:rPr>
          <w:rFonts w:hint="eastAsia" w:cs="仿宋_GB2312"/>
          <w:color w:val="auto"/>
          <w:sz w:val="21"/>
          <w:szCs w:val="21"/>
          <w:highlight w:val="none"/>
        </w:rPr>
        <w:t>文件“第三章 采购需求”</w:t>
      </w:r>
      <w:r>
        <w:rPr>
          <w:rFonts w:hint="eastAsia" w:cs="仿宋_GB2312"/>
          <w:color w:val="auto"/>
          <w:sz w:val="21"/>
          <w:szCs w:val="21"/>
          <w:highlight w:val="none"/>
          <w:lang w:val="en-US" w:eastAsia="zh-CN"/>
        </w:rPr>
        <w:t>中的商务要求</w:t>
      </w:r>
      <w:r>
        <w:rPr>
          <w:rFonts w:hint="eastAsia" w:cs="仿宋_GB2312"/>
          <w:color w:val="auto"/>
          <w:sz w:val="21"/>
          <w:szCs w:val="21"/>
          <w:highlight w:val="none"/>
        </w:rPr>
        <w:t>填写</w:t>
      </w:r>
      <w:r>
        <w:rPr>
          <w:rFonts w:hint="eastAsia" w:cs="仿宋_GB2312"/>
          <w:color w:val="auto"/>
          <w:sz w:val="21"/>
          <w:szCs w:val="21"/>
          <w:highlight w:val="none"/>
          <w:lang w:eastAsia="zh-CN"/>
        </w:rPr>
        <w:t>：</w:t>
      </w:r>
    </w:p>
    <w:p w14:paraId="26C64704">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 xml:space="preserve">1.“竞争性磋商文件的商务条款”栏应详细列明竞争性磋商文件中的商务要求。 </w:t>
      </w:r>
    </w:p>
    <w:p w14:paraId="6E5A6676">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2.“响应文件的响应内容”栏填写供应商对竞争性磋商文件提出的商务条款作出的明确响应，并列明具体响应数值或内容，只注明符合、满足等无具体内容表述的，将视为未实质性满足竞争性磋商文件要求</w:t>
      </w:r>
      <w:r>
        <w:rPr>
          <w:rFonts w:hint="default" w:cs="仿宋_GB2312"/>
          <w:color w:val="auto"/>
          <w:sz w:val="21"/>
          <w:szCs w:val="21"/>
          <w:highlight w:val="none"/>
          <w:lang w:val="en-US" w:eastAsia="zh-CN"/>
        </w:rPr>
        <w:t>，</w:t>
      </w:r>
      <w:r>
        <w:rPr>
          <w:rFonts w:hint="eastAsia" w:cs="仿宋_GB2312"/>
          <w:b/>
          <w:bCs/>
          <w:color w:val="auto"/>
          <w:sz w:val="21"/>
          <w:szCs w:val="21"/>
          <w:highlight w:val="none"/>
          <w:lang w:val="en-US" w:eastAsia="zh-CN"/>
        </w:rPr>
        <w:t>响应</w:t>
      </w:r>
      <w:r>
        <w:rPr>
          <w:rFonts w:hint="default" w:cs="仿宋_GB2312"/>
          <w:b/>
          <w:bCs/>
          <w:color w:val="auto"/>
          <w:sz w:val="21"/>
          <w:szCs w:val="21"/>
          <w:highlight w:val="none"/>
          <w:lang w:val="en-US" w:eastAsia="zh-CN"/>
        </w:rPr>
        <w:t>无效</w:t>
      </w:r>
      <w:r>
        <w:rPr>
          <w:rFonts w:hint="eastAsia" w:cs="仿宋_GB2312"/>
          <w:color w:val="auto"/>
          <w:sz w:val="21"/>
          <w:szCs w:val="21"/>
          <w:highlight w:val="none"/>
          <w:lang w:val="en-US" w:eastAsia="zh-CN"/>
        </w:rPr>
        <w:t xml:space="preserve">。 </w:t>
      </w:r>
    </w:p>
    <w:p w14:paraId="30631705">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 xml:space="preserve">3.“响应情况”栏应据实填写“响应”、“正偏离”或“负偏离”。 </w:t>
      </w:r>
    </w:p>
    <w:p w14:paraId="24F8698E">
      <w:pPr>
        <w:ind w:firstLine="420"/>
        <w:rPr>
          <w:rFonts w:cs="仿宋_GB2312"/>
          <w:i w:val="0"/>
          <w:iCs w:val="0"/>
          <w:color w:val="auto"/>
          <w:szCs w:val="24"/>
          <w:highlight w:val="none"/>
        </w:rPr>
      </w:pPr>
      <w:r>
        <w:rPr>
          <w:rFonts w:hint="eastAsia" w:cs="仿宋_GB2312"/>
          <w:color w:val="auto"/>
          <w:sz w:val="21"/>
          <w:szCs w:val="21"/>
          <w:highlight w:val="none"/>
          <w:lang w:val="en-US" w:eastAsia="zh-CN"/>
        </w:rPr>
        <w:t>4.对竞争性磋商文件中的所有商务要求，除本表所列明的所有偏离外，均视作供应商</w:t>
      </w:r>
      <w:r>
        <w:rPr>
          <w:rFonts w:hint="default" w:cs="仿宋_GB2312"/>
          <w:color w:val="auto"/>
          <w:sz w:val="21"/>
          <w:szCs w:val="21"/>
          <w:highlight w:val="none"/>
          <w:lang w:val="en-US" w:eastAsia="zh-CN"/>
        </w:rPr>
        <w:t>已对之理解和响应。此表中若无任何文字说明，内容为空白的，</w:t>
      </w:r>
      <w:r>
        <w:rPr>
          <w:rFonts w:hint="eastAsia" w:cs="仿宋_GB2312"/>
          <w:b/>
          <w:bCs/>
          <w:color w:val="auto"/>
          <w:sz w:val="21"/>
          <w:szCs w:val="21"/>
          <w:highlight w:val="none"/>
          <w:lang w:val="en-US" w:eastAsia="zh-CN"/>
        </w:rPr>
        <w:t>响应</w:t>
      </w:r>
      <w:r>
        <w:rPr>
          <w:rFonts w:hint="default" w:cs="仿宋_GB2312"/>
          <w:b/>
          <w:bCs/>
          <w:color w:val="auto"/>
          <w:sz w:val="21"/>
          <w:szCs w:val="21"/>
          <w:highlight w:val="none"/>
          <w:lang w:val="en-US" w:eastAsia="zh-CN"/>
        </w:rPr>
        <w:t>无效</w:t>
      </w:r>
      <w:r>
        <w:rPr>
          <w:rFonts w:hint="default" w:cs="仿宋_GB2312"/>
          <w:color w:val="auto"/>
          <w:sz w:val="21"/>
          <w:szCs w:val="21"/>
          <w:highlight w:val="none"/>
          <w:lang w:val="en-US" w:eastAsia="zh-CN"/>
        </w:rPr>
        <w:t>。</w:t>
      </w:r>
      <w:r>
        <w:rPr>
          <w:rFonts w:cs="仿宋_GB2312"/>
          <w:i w:val="0"/>
          <w:iCs w:val="0"/>
          <w:color w:val="auto"/>
          <w:szCs w:val="24"/>
          <w:highlight w:val="none"/>
        </w:rPr>
        <w:br w:type="page"/>
      </w:r>
    </w:p>
    <w:p w14:paraId="17633095">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700" w:name="_Toc20003"/>
      <w:bookmarkStart w:id="701" w:name="_Toc163492930"/>
      <w:r>
        <w:rPr>
          <w:rFonts w:hint="eastAsia" w:cs="宋体"/>
          <w:b/>
          <w:bCs/>
          <w:i w:val="0"/>
          <w:iCs w:val="0"/>
          <w:color w:val="auto"/>
          <w:kern w:val="2"/>
          <w:sz w:val="32"/>
          <w:szCs w:val="32"/>
          <w:highlight w:val="none"/>
          <w:lang w:val="en-US" w:eastAsia="zh-CN" w:bidi="ar-SA"/>
        </w:rPr>
        <w:t>六</w:t>
      </w:r>
      <w:r>
        <w:rPr>
          <w:rFonts w:hint="eastAsia" w:ascii="等线 Light" w:hAnsi="等线 Light" w:eastAsia="宋体" w:cs="宋体"/>
          <w:b/>
          <w:bCs/>
          <w:i w:val="0"/>
          <w:iCs w:val="0"/>
          <w:color w:val="auto"/>
          <w:kern w:val="2"/>
          <w:sz w:val="32"/>
          <w:szCs w:val="32"/>
          <w:highlight w:val="none"/>
          <w:lang w:val="en-US" w:eastAsia="zh-CN" w:bidi="ar-SA"/>
        </w:rPr>
        <w:t>、业绩证明文件</w:t>
      </w:r>
      <w:bookmarkEnd w:id="700"/>
      <w:bookmarkEnd w:id="701"/>
    </w:p>
    <w:p w14:paraId="2AEEB0C8">
      <w:pPr>
        <w:rPr>
          <w:rFonts w:cs="仿宋_GB2312"/>
          <w:i w:val="0"/>
          <w:iCs w:val="0"/>
          <w:color w:val="auto"/>
          <w:szCs w:val="24"/>
          <w:highlight w:val="none"/>
        </w:rPr>
      </w:pPr>
      <w:r>
        <w:rPr>
          <w:rFonts w:cs="Arial"/>
          <w:bCs/>
          <w:i w:val="0"/>
          <w:iCs w:val="0"/>
          <w:color w:val="auto"/>
          <w:szCs w:val="21"/>
          <w:highlight w:val="none"/>
        </w:rPr>
        <w:fldChar w:fldCharType="begin"/>
      </w:r>
      <w:r>
        <w:rPr>
          <w:rFonts w:cs="Arial"/>
          <w:bCs/>
          <w:i w:val="0"/>
          <w:iCs w:val="0"/>
          <w:color w:val="auto"/>
          <w:szCs w:val="21"/>
          <w:highlight w:val="none"/>
        </w:rPr>
        <w:instrText xml:space="preserve"> LINK Word.Document.8 "D:\\音乐厅\\4通用设备\\招标文件\\音乐厅空调设备招标文件v1.0.doc" "OLE_LINK8" \r  \* MERGEFORMAT </w:instrText>
      </w:r>
      <w:r>
        <w:rPr>
          <w:rFonts w:cs="Arial"/>
          <w:bCs/>
          <w:i w:val="0"/>
          <w:iCs w:val="0"/>
          <w:color w:val="auto"/>
          <w:szCs w:val="21"/>
          <w:highlight w:val="none"/>
        </w:rPr>
        <w:fldChar w:fldCharType="separate"/>
      </w:r>
      <w:r>
        <w:rPr>
          <w:rFonts w:hint="eastAsia" w:cs="仿宋_GB2312"/>
          <w:i w:val="0"/>
          <w:iCs w:val="0"/>
          <w:color w:val="auto"/>
          <w:szCs w:val="24"/>
          <w:highlight w:val="none"/>
        </w:rPr>
        <w:t xml:space="preserve">项目名称：                                         </w:t>
      </w:r>
    </w:p>
    <w:p w14:paraId="2B203A55">
      <w:pPr>
        <w:rPr>
          <w:rFonts w:cs="Arial"/>
          <w:bCs/>
          <w:i w:val="0"/>
          <w:iCs w:val="0"/>
          <w:color w:val="auto"/>
          <w:szCs w:val="21"/>
          <w:highlight w:val="none"/>
        </w:rPr>
      </w:pPr>
      <w:r>
        <w:rPr>
          <w:rFonts w:hint="eastAsia" w:cs="仿宋_GB2312"/>
          <w:i w:val="0"/>
          <w:iCs w:val="0"/>
          <w:color w:val="auto"/>
          <w:szCs w:val="24"/>
          <w:highlight w:val="none"/>
        </w:rPr>
        <w:t>项目编号</w:t>
      </w:r>
      <w:r>
        <w:rPr>
          <w:rFonts w:hint="eastAsia" w:cs="仿宋_GB2312"/>
          <w:i w:val="0"/>
          <w:iCs w:val="0"/>
          <w:color w:val="auto"/>
          <w:szCs w:val="24"/>
          <w:highlight w:val="none"/>
          <w:lang w:val="en-US" w:eastAsia="zh-CN"/>
        </w:rPr>
        <w:t>/包号</w:t>
      </w:r>
      <w:r>
        <w:rPr>
          <w:rFonts w:hint="eastAsia" w:cs="仿宋_GB2312"/>
          <w:i w:val="0"/>
          <w:iCs w:val="0"/>
          <w:color w:val="auto"/>
          <w:szCs w:val="24"/>
          <w:highlight w:val="none"/>
        </w:rPr>
        <w:t xml:space="preserve">：      </w:t>
      </w:r>
      <w:r>
        <w:rPr>
          <w:rFonts w:cs="Arial"/>
          <w:bCs/>
          <w:i w:val="0"/>
          <w:iCs w:val="0"/>
          <w:color w:val="auto"/>
          <w:szCs w:val="21"/>
          <w:highlight w:val="none"/>
        </w:rPr>
        <w:fldChar w:fldCharType="end"/>
      </w:r>
    </w:p>
    <w:tbl>
      <w:tblPr>
        <w:tblStyle w:val="31"/>
        <w:tblW w:w="9037"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277"/>
        <w:gridCol w:w="1317"/>
        <w:gridCol w:w="1543"/>
        <w:gridCol w:w="1540"/>
        <w:gridCol w:w="1530"/>
        <w:gridCol w:w="1019"/>
      </w:tblGrid>
      <w:tr w14:paraId="6E2D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trPr>
        <w:tc>
          <w:tcPr>
            <w:tcW w:w="811" w:type="dxa"/>
            <w:vAlign w:val="center"/>
          </w:tcPr>
          <w:p w14:paraId="1987DE32">
            <w:pPr>
              <w:jc w:val="center"/>
              <w:rPr>
                <w:rFonts w:cs="仿宋_GB2312"/>
                <w:i w:val="0"/>
                <w:iCs w:val="0"/>
                <w:color w:val="auto"/>
                <w:sz w:val="24"/>
                <w:szCs w:val="24"/>
                <w:highlight w:val="none"/>
              </w:rPr>
            </w:pPr>
            <w:bookmarkStart w:id="702" w:name="_Hlk46779239"/>
            <w:r>
              <w:rPr>
                <w:rFonts w:hint="eastAsia" w:cs="仿宋_GB2312"/>
                <w:i w:val="0"/>
                <w:iCs w:val="0"/>
                <w:color w:val="auto"/>
                <w:sz w:val="24"/>
                <w:szCs w:val="24"/>
                <w:highlight w:val="none"/>
              </w:rPr>
              <w:t>序号</w:t>
            </w:r>
          </w:p>
        </w:tc>
        <w:tc>
          <w:tcPr>
            <w:tcW w:w="1277" w:type="dxa"/>
            <w:shd w:val="clear" w:color="auto" w:fill="auto"/>
            <w:vAlign w:val="center"/>
          </w:tcPr>
          <w:p w14:paraId="24477233">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项目名称</w:t>
            </w:r>
          </w:p>
        </w:tc>
        <w:tc>
          <w:tcPr>
            <w:tcW w:w="1317" w:type="dxa"/>
            <w:shd w:val="clear" w:color="auto" w:fill="auto"/>
            <w:vAlign w:val="center"/>
          </w:tcPr>
          <w:p w14:paraId="1E59FEFB">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标的</w:t>
            </w:r>
            <w:r>
              <w:rPr>
                <w:rFonts w:hint="eastAsia" w:ascii="宋体" w:hAnsi="宋体" w:eastAsia="宋体" w:cs="宋体"/>
                <w:color w:val="auto"/>
                <w:sz w:val="21"/>
                <w:szCs w:val="21"/>
                <w:highlight w:val="none"/>
              </w:rPr>
              <w:t>内容</w:t>
            </w:r>
          </w:p>
        </w:tc>
        <w:tc>
          <w:tcPr>
            <w:tcW w:w="1543" w:type="dxa"/>
            <w:shd w:val="clear" w:color="auto" w:fill="auto"/>
            <w:vAlign w:val="center"/>
          </w:tcPr>
          <w:p w14:paraId="48B47B4D">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名称</w:t>
            </w:r>
          </w:p>
        </w:tc>
        <w:tc>
          <w:tcPr>
            <w:tcW w:w="1540" w:type="dxa"/>
            <w:shd w:val="clear" w:color="auto" w:fill="auto"/>
            <w:vAlign w:val="center"/>
          </w:tcPr>
          <w:p w14:paraId="688E9298">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中标（成交）金额</w:t>
            </w:r>
          </w:p>
        </w:tc>
        <w:tc>
          <w:tcPr>
            <w:tcW w:w="1530" w:type="dxa"/>
            <w:shd w:val="clear" w:color="auto" w:fill="auto"/>
            <w:vAlign w:val="center"/>
          </w:tcPr>
          <w:p w14:paraId="29062577">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采购合同签订时间</w:t>
            </w:r>
          </w:p>
        </w:tc>
        <w:tc>
          <w:tcPr>
            <w:tcW w:w="1019" w:type="dxa"/>
            <w:shd w:val="clear" w:color="auto" w:fill="auto"/>
            <w:vAlign w:val="center"/>
          </w:tcPr>
          <w:p w14:paraId="18E1EB8B">
            <w:pPr>
              <w:jc w:val="center"/>
              <w:rPr>
                <w:rFonts w:hint="eastAsia" w:ascii="宋体" w:hAnsi="宋体" w:eastAsia="宋体" w:cs="宋体"/>
                <w:color w:val="auto"/>
                <w:kern w:val="2"/>
                <w:sz w:val="21"/>
                <w:szCs w:val="21"/>
                <w:highlight w:val="none"/>
                <w:lang w:val="en-US" w:eastAsia="zh-CN" w:bidi="ar-SA"/>
              </w:rPr>
            </w:pPr>
            <w:r>
              <w:rPr>
                <w:rFonts w:hint="eastAsia" w:cs="宋体"/>
                <w:color w:val="auto"/>
                <w:sz w:val="21"/>
                <w:szCs w:val="21"/>
                <w:highlight w:val="none"/>
                <w:lang w:val="en-US" w:eastAsia="zh-CN"/>
              </w:rPr>
              <w:t>备注</w:t>
            </w:r>
          </w:p>
        </w:tc>
      </w:tr>
      <w:tr w14:paraId="4D24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811" w:type="dxa"/>
            <w:vAlign w:val="center"/>
          </w:tcPr>
          <w:p w14:paraId="1EAC5F4B">
            <w:pPr>
              <w:jc w:val="center"/>
              <w:rPr>
                <w:rFonts w:cs="仿宋_GB2312"/>
                <w:i w:val="0"/>
                <w:iCs w:val="0"/>
                <w:color w:val="auto"/>
                <w:sz w:val="24"/>
                <w:szCs w:val="24"/>
                <w:highlight w:val="none"/>
              </w:rPr>
            </w:pPr>
            <w:r>
              <w:rPr>
                <w:rFonts w:hint="eastAsia" w:cs="仿宋_GB2312"/>
                <w:i w:val="0"/>
                <w:iCs w:val="0"/>
                <w:color w:val="auto"/>
                <w:sz w:val="24"/>
                <w:szCs w:val="24"/>
                <w:highlight w:val="none"/>
              </w:rPr>
              <w:t>1</w:t>
            </w:r>
          </w:p>
        </w:tc>
        <w:tc>
          <w:tcPr>
            <w:tcW w:w="1277" w:type="dxa"/>
            <w:vAlign w:val="center"/>
          </w:tcPr>
          <w:p w14:paraId="25343FDC">
            <w:pPr>
              <w:rPr>
                <w:rFonts w:cs="仿宋_GB2312"/>
                <w:i w:val="0"/>
                <w:iCs w:val="0"/>
                <w:color w:val="auto"/>
                <w:sz w:val="24"/>
                <w:szCs w:val="24"/>
                <w:highlight w:val="none"/>
              </w:rPr>
            </w:pPr>
          </w:p>
        </w:tc>
        <w:tc>
          <w:tcPr>
            <w:tcW w:w="1317" w:type="dxa"/>
            <w:vAlign w:val="center"/>
          </w:tcPr>
          <w:p w14:paraId="5BDC4B4F">
            <w:pPr>
              <w:rPr>
                <w:rFonts w:cs="仿宋_GB2312"/>
                <w:i w:val="0"/>
                <w:iCs w:val="0"/>
                <w:color w:val="auto"/>
                <w:sz w:val="24"/>
                <w:szCs w:val="24"/>
                <w:highlight w:val="none"/>
              </w:rPr>
            </w:pPr>
          </w:p>
        </w:tc>
        <w:tc>
          <w:tcPr>
            <w:tcW w:w="1543" w:type="dxa"/>
            <w:vAlign w:val="center"/>
          </w:tcPr>
          <w:p w14:paraId="3416C728">
            <w:pPr>
              <w:rPr>
                <w:rFonts w:cs="仿宋_GB2312"/>
                <w:i w:val="0"/>
                <w:iCs w:val="0"/>
                <w:color w:val="auto"/>
                <w:sz w:val="24"/>
                <w:szCs w:val="24"/>
                <w:highlight w:val="none"/>
              </w:rPr>
            </w:pPr>
          </w:p>
        </w:tc>
        <w:tc>
          <w:tcPr>
            <w:tcW w:w="1540" w:type="dxa"/>
            <w:vAlign w:val="center"/>
          </w:tcPr>
          <w:p w14:paraId="38F419E7">
            <w:pPr>
              <w:rPr>
                <w:rFonts w:cs="仿宋_GB2312"/>
                <w:i w:val="0"/>
                <w:iCs w:val="0"/>
                <w:color w:val="auto"/>
                <w:sz w:val="24"/>
                <w:szCs w:val="24"/>
                <w:highlight w:val="none"/>
              </w:rPr>
            </w:pPr>
          </w:p>
        </w:tc>
        <w:tc>
          <w:tcPr>
            <w:tcW w:w="1530" w:type="dxa"/>
            <w:vAlign w:val="center"/>
          </w:tcPr>
          <w:p w14:paraId="72C563C7">
            <w:pPr>
              <w:rPr>
                <w:rFonts w:cs="仿宋_GB2312"/>
                <w:i w:val="0"/>
                <w:iCs w:val="0"/>
                <w:color w:val="auto"/>
                <w:sz w:val="24"/>
                <w:szCs w:val="24"/>
                <w:highlight w:val="none"/>
              </w:rPr>
            </w:pPr>
          </w:p>
        </w:tc>
        <w:tc>
          <w:tcPr>
            <w:tcW w:w="1019" w:type="dxa"/>
            <w:vAlign w:val="center"/>
          </w:tcPr>
          <w:p w14:paraId="57BDA329">
            <w:pPr>
              <w:rPr>
                <w:rFonts w:cs="仿宋_GB2312"/>
                <w:i w:val="0"/>
                <w:iCs w:val="0"/>
                <w:color w:val="auto"/>
                <w:sz w:val="24"/>
                <w:szCs w:val="24"/>
                <w:highlight w:val="none"/>
              </w:rPr>
            </w:pPr>
          </w:p>
        </w:tc>
      </w:tr>
      <w:tr w14:paraId="4D47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811" w:type="dxa"/>
            <w:vAlign w:val="center"/>
          </w:tcPr>
          <w:p w14:paraId="2ABA40A3">
            <w:pPr>
              <w:jc w:val="center"/>
              <w:rPr>
                <w:rFonts w:cs="仿宋_GB2312"/>
                <w:i w:val="0"/>
                <w:iCs w:val="0"/>
                <w:color w:val="auto"/>
                <w:sz w:val="24"/>
                <w:szCs w:val="24"/>
                <w:highlight w:val="none"/>
              </w:rPr>
            </w:pPr>
            <w:r>
              <w:rPr>
                <w:rFonts w:hint="eastAsia" w:cs="仿宋_GB2312"/>
                <w:i w:val="0"/>
                <w:iCs w:val="0"/>
                <w:color w:val="auto"/>
                <w:sz w:val="24"/>
                <w:szCs w:val="24"/>
                <w:highlight w:val="none"/>
              </w:rPr>
              <w:t>2</w:t>
            </w:r>
          </w:p>
        </w:tc>
        <w:tc>
          <w:tcPr>
            <w:tcW w:w="1277" w:type="dxa"/>
            <w:vAlign w:val="center"/>
          </w:tcPr>
          <w:p w14:paraId="44DBDC7B">
            <w:pPr>
              <w:rPr>
                <w:rFonts w:cs="仿宋_GB2312"/>
                <w:i w:val="0"/>
                <w:iCs w:val="0"/>
                <w:color w:val="auto"/>
                <w:sz w:val="24"/>
                <w:szCs w:val="24"/>
                <w:highlight w:val="none"/>
              </w:rPr>
            </w:pPr>
          </w:p>
        </w:tc>
        <w:tc>
          <w:tcPr>
            <w:tcW w:w="1317" w:type="dxa"/>
            <w:vAlign w:val="center"/>
          </w:tcPr>
          <w:p w14:paraId="73EB179E">
            <w:pPr>
              <w:rPr>
                <w:rFonts w:cs="仿宋_GB2312"/>
                <w:i w:val="0"/>
                <w:iCs w:val="0"/>
                <w:color w:val="auto"/>
                <w:sz w:val="24"/>
                <w:szCs w:val="24"/>
                <w:highlight w:val="none"/>
              </w:rPr>
            </w:pPr>
          </w:p>
        </w:tc>
        <w:tc>
          <w:tcPr>
            <w:tcW w:w="1543" w:type="dxa"/>
            <w:vAlign w:val="center"/>
          </w:tcPr>
          <w:p w14:paraId="7C9D87C5">
            <w:pPr>
              <w:rPr>
                <w:rFonts w:cs="仿宋_GB2312"/>
                <w:i w:val="0"/>
                <w:iCs w:val="0"/>
                <w:color w:val="auto"/>
                <w:sz w:val="24"/>
                <w:szCs w:val="24"/>
                <w:highlight w:val="none"/>
              </w:rPr>
            </w:pPr>
          </w:p>
        </w:tc>
        <w:tc>
          <w:tcPr>
            <w:tcW w:w="1540" w:type="dxa"/>
            <w:vAlign w:val="center"/>
          </w:tcPr>
          <w:p w14:paraId="3807993B">
            <w:pPr>
              <w:rPr>
                <w:rFonts w:cs="仿宋_GB2312"/>
                <w:i w:val="0"/>
                <w:iCs w:val="0"/>
                <w:color w:val="auto"/>
                <w:sz w:val="24"/>
                <w:szCs w:val="24"/>
                <w:highlight w:val="none"/>
              </w:rPr>
            </w:pPr>
          </w:p>
        </w:tc>
        <w:tc>
          <w:tcPr>
            <w:tcW w:w="1530" w:type="dxa"/>
            <w:vAlign w:val="center"/>
          </w:tcPr>
          <w:p w14:paraId="7CC9172B">
            <w:pPr>
              <w:rPr>
                <w:rFonts w:cs="仿宋_GB2312"/>
                <w:i w:val="0"/>
                <w:iCs w:val="0"/>
                <w:color w:val="auto"/>
                <w:sz w:val="24"/>
                <w:szCs w:val="24"/>
                <w:highlight w:val="none"/>
              </w:rPr>
            </w:pPr>
          </w:p>
        </w:tc>
        <w:tc>
          <w:tcPr>
            <w:tcW w:w="1019" w:type="dxa"/>
            <w:vAlign w:val="center"/>
          </w:tcPr>
          <w:p w14:paraId="5DF70B1C">
            <w:pPr>
              <w:rPr>
                <w:rFonts w:cs="仿宋_GB2312"/>
                <w:i w:val="0"/>
                <w:iCs w:val="0"/>
                <w:color w:val="auto"/>
                <w:sz w:val="24"/>
                <w:szCs w:val="24"/>
                <w:highlight w:val="none"/>
              </w:rPr>
            </w:pPr>
          </w:p>
        </w:tc>
      </w:tr>
      <w:tr w14:paraId="7471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trPr>
        <w:tc>
          <w:tcPr>
            <w:tcW w:w="811" w:type="dxa"/>
            <w:vAlign w:val="center"/>
          </w:tcPr>
          <w:p w14:paraId="43ACBAE0">
            <w:pPr>
              <w:jc w:val="center"/>
              <w:rPr>
                <w:rFonts w:cs="仿宋_GB2312"/>
                <w:i w:val="0"/>
                <w:iCs w:val="0"/>
                <w:color w:val="auto"/>
                <w:sz w:val="24"/>
                <w:szCs w:val="24"/>
                <w:highlight w:val="none"/>
              </w:rPr>
            </w:pPr>
            <w:r>
              <w:rPr>
                <w:rFonts w:hint="eastAsia" w:cs="仿宋_GB2312"/>
                <w:i w:val="0"/>
                <w:iCs w:val="0"/>
                <w:color w:val="auto"/>
                <w:sz w:val="24"/>
                <w:szCs w:val="24"/>
                <w:highlight w:val="none"/>
              </w:rPr>
              <w:t>3</w:t>
            </w:r>
          </w:p>
        </w:tc>
        <w:tc>
          <w:tcPr>
            <w:tcW w:w="1277" w:type="dxa"/>
            <w:vAlign w:val="center"/>
          </w:tcPr>
          <w:p w14:paraId="1A279A93">
            <w:pPr>
              <w:rPr>
                <w:rFonts w:cs="仿宋_GB2312"/>
                <w:i w:val="0"/>
                <w:iCs w:val="0"/>
                <w:color w:val="auto"/>
                <w:sz w:val="24"/>
                <w:szCs w:val="24"/>
                <w:highlight w:val="none"/>
              </w:rPr>
            </w:pPr>
          </w:p>
        </w:tc>
        <w:tc>
          <w:tcPr>
            <w:tcW w:w="1317" w:type="dxa"/>
            <w:vAlign w:val="center"/>
          </w:tcPr>
          <w:p w14:paraId="37ACC97B">
            <w:pPr>
              <w:rPr>
                <w:rFonts w:cs="仿宋_GB2312"/>
                <w:i w:val="0"/>
                <w:iCs w:val="0"/>
                <w:color w:val="auto"/>
                <w:sz w:val="24"/>
                <w:szCs w:val="24"/>
                <w:highlight w:val="none"/>
              </w:rPr>
            </w:pPr>
          </w:p>
        </w:tc>
        <w:tc>
          <w:tcPr>
            <w:tcW w:w="1543" w:type="dxa"/>
            <w:vAlign w:val="center"/>
          </w:tcPr>
          <w:p w14:paraId="76718BD5">
            <w:pPr>
              <w:rPr>
                <w:rFonts w:cs="仿宋_GB2312"/>
                <w:i w:val="0"/>
                <w:iCs w:val="0"/>
                <w:color w:val="auto"/>
                <w:sz w:val="24"/>
                <w:szCs w:val="24"/>
                <w:highlight w:val="none"/>
              </w:rPr>
            </w:pPr>
          </w:p>
        </w:tc>
        <w:tc>
          <w:tcPr>
            <w:tcW w:w="1540" w:type="dxa"/>
            <w:vAlign w:val="center"/>
          </w:tcPr>
          <w:p w14:paraId="73C18FB0">
            <w:pPr>
              <w:rPr>
                <w:rFonts w:cs="仿宋_GB2312"/>
                <w:i w:val="0"/>
                <w:iCs w:val="0"/>
                <w:color w:val="auto"/>
                <w:sz w:val="24"/>
                <w:szCs w:val="24"/>
                <w:highlight w:val="none"/>
              </w:rPr>
            </w:pPr>
          </w:p>
        </w:tc>
        <w:tc>
          <w:tcPr>
            <w:tcW w:w="1530" w:type="dxa"/>
            <w:vAlign w:val="center"/>
          </w:tcPr>
          <w:p w14:paraId="081F4E41">
            <w:pPr>
              <w:rPr>
                <w:rFonts w:cs="仿宋_GB2312"/>
                <w:i w:val="0"/>
                <w:iCs w:val="0"/>
                <w:color w:val="auto"/>
                <w:sz w:val="24"/>
                <w:szCs w:val="24"/>
                <w:highlight w:val="none"/>
              </w:rPr>
            </w:pPr>
          </w:p>
        </w:tc>
        <w:tc>
          <w:tcPr>
            <w:tcW w:w="1019" w:type="dxa"/>
            <w:vAlign w:val="center"/>
          </w:tcPr>
          <w:p w14:paraId="5B710D0B">
            <w:pPr>
              <w:rPr>
                <w:rFonts w:cs="仿宋_GB2312"/>
                <w:i w:val="0"/>
                <w:iCs w:val="0"/>
                <w:color w:val="auto"/>
                <w:sz w:val="24"/>
                <w:szCs w:val="24"/>
                <w:highlight w:val="none"/>
              </w:rPr>
            </w:pPr>
          </w:p>
        </w:tc>
      </w:tr>
      <w:tr w14:paraId="7B91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811" w:type="dxa"/>
            <w:vAlign w:val="center"/>
          </w:tcPr>
          <w:p w14:paraId="27EB3997">
            <w:pPr>
              <w:jc w:val="center"/>
              <w:rPr>
                <w:rFonts w:hint="eastAsia" w:eastAsia="宋体" w:cs="仿宋_GB2312"/>
                <w:i w:val="0"/>
                <w:iCs w:val="0"/>
                <w:color w:val="auto"/>
                <w:sz w:val="24"/>
                <w:szCs w:val="24"/>
                <w:highlight w:val="none"/>
                <w:lang w:val="en-US" w:eastAsia="zh-CN"/>
              </w:rPr>
            </w:pPr>
            <w:r>
              <w:rPr>
                <w:rFonts w:hint="eastAsia" w:cs="仿宋_GB2312"/>
                <w:i w:val="0"/>
                <w:iCs w:val="0"/>
                <w:color w:val="auto"/>
                <w:sz w:val="24"/>
                <w:szCs w:val="24"/>
                <w:highlight w:val="none"/>
                <w:lang w:val="en-US" w:eastAsia="zh-CN"/>
              </w:rPr>
              <w:t>4</w:t>
            </w:r>
          </w:p>
        </w:tc>
        <w:tc>
          <w:tcPr>
            <w:tcW w:w="1277" w:type="dxa"/>
            <w:vAlign w:val="center"/>
          </w:tcPr>
          <w:p w14:paraId="6BCEEBD5">
            <w:pPr>
              <w:rPr>
                <w:rFonts w:cs="仿宋_GB2312"/>
                <w:i w:val="0"/>
                <w:iCs w:val="0"/>
                <w:color w:val="auto"/>
                <w:sz w:val="24"/>
                <w:szCs w:val="24"/>
                <w:highlight w:val="none"/>
              </w:rPr>
            </w:pPr>
          </w:p>
        </w:tc>
        <w:tc>
          <w:tcPr>
            <w:tcW w:w="1317" w:type="dxa"/>
            <w:vAlign w:val="center"/>
          </w:tcPr>
          <w:p w14:paraId="1953948B">
            <w:pPr>
              <w:rPr>
                <w:rFonts w:cs="仿宋_GB2312"/>
                <w:i w:val="0"/>
                <w:iCs w:val="0"/>
                <w:color w:val="auto"/>
                <w:sz w:val="24"/>
                <w:szCs w:val="24"/>
                <w:highlight w:val="none"/>
              </w:rPr>
            </w:pPr>
          </w:p>
        </w:tc>
        <w:tc>
          <w:tcPr>
            <w:tcW w:w="1543" w:type="dxa"/>
            <w:vAlign w:val="center"/>
          </w:tcPr>
          <w:p w14:paraId="70407945">
            <w:pPr>
              <w:rPr>
                <w:rFonts w:cs="仿宋_GB2312"/>
                <w:i w:val="0"/>
                <w:iCs w:val="0"/>
                <w:color w:val="auto"/>
                <w:sz w:val="24"/>
                <w:szCs w:val="24"/>
                <w:highlight w:val="none"/>
              </w:rPr>
            </w:pPr>
          </w:p>
        </w:tc>
        <w:tc>
          <w:tcPr>
            <w:tcW w:w="1540" w:type="dxa"/>
            <w:vAlign w:val="center"/>
          </w:tcPr>
          <w:p w14:paraId="536DBA84">
            <w:pPr>
              <w:rPr>
                <w:rFonts w:cs="仿宋_GB2312"/>
                <w:i w:val="0"/>
                <w:iCs w:val="0"/>
                <w:color w:val="auto"/>
                <w:sz w:val="24"/>
                <w:szCs w:val="24"/>
                <w:highlight w:val="none"/>
              </w:rPr>
            </w:pPr>
          </w:p>
        </w:tc>
        <w:tc>
          <w:tcPr>
            <w:tcW w:w="1530" w:type="dxa"/>
            <w:vAlign w:val="center"/>
          </w:tcPr>
          <w:p w14:paraId="6BF57068">
            <w:pPr>
              <w:rPr>
                <w:rFonts w:cs="仿宋_GB2312"/>
                <w:i w:val="0"/>
                <w:iCs w:val="0"/>
                <w:color w:val="auto"/>
                <w:sz w:val="24"/>
                <w:szCs w:val="24"/>
                <w:highlight w:val="none"/>
              </w:rPr>
            </w:pPr>
          </w:p>
        </w:tc>
        <w:tc>
          <w:tcPr>
            <w:tcW w:w="1019" w:type="dxa"/>
            <w:vAlign w:val="center"/>
          </w:tcPr>
          <w:p w14:paraId="2A497B8C">
            <w:pPr>
              <w:rPr>
                <w:rFonts w:cs="仿宋_GB2312"/>
                <w:i w:val="0"/>
                <w:iCs w:val="0"/>
                <w:color w:val="auto"/>
                <w:sz w:val="24"/>
                <w:szCs w:val="24"/>
                <w:highlight w:val="none"/>
              </w:rPr>
            </w:pPr>
          </w:p>
        </w:tc>
      </w:tr>
      <w:tr w14:paraId="2CCA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trPr>
        <w:tc>
          <w:tcPr>
            <w:tcW w:w="811" w:type="dxa"/>
            <w:vAlign w:val="center"/>
          </w:tcPr>
          <w:p w14:paraId="17DAA757">
            <w:pPr>
              <w:jc w:val="center"/>
              <w:rPr>
                <w:rFonts w:hint="default" w:cs="仿宋_GB2312"/>
                <w:i w:val="0"/>
                <w:iCs w:val="0"/>
                <w:color w:val="auto"/>
                <w:sz w:val="24"/>
                <w:szCs w:val="24"/>
                <w:highlight w:val="none"/>
                <w:lang w:val="en-US" w:eastAsia="zh-CN"/>
              </w:rPr>
            </w:pPr>
            <w:r>
              <w:rPr>
                <w:rFonts w:hint="eastAsia" w:cs="仿宋_GB2312"/>
                <w:i w:val="0"/>
                <w:iCs w:val="0"/>
                <w:color w:val="auto"/>
                <w:sz w:val="24"/>
                <w:szCs w:val="24"/>
                <w:highlight w:val="none"/>
                <w:lang w:val="en-US" w:eastAsia="zh-CN"/>
              </w:rPr>
              <w:t>5</w:t>
            </w:r>
          </w:p>
        </w:tc>
        <w:tc>
          <w:tcPr>
            <w:tcW w:w="1277" w:type="dxa"/>
            <w:vAlign w:val="center"/>
          </w:tcPr>
          <w:p w14:paraId="70B4D68C">
            <w:pPr>
              <w:rPr>
                <w:rFonts w:cs="仿宋_GB2312"/>
                <w:i w:val="0"/>
                <w:iCs w:val="0"/>
                <w:color w:val="auto"/>
                <w:sz w:val="24"/>
                <w:szCs w:val="24"/>
                <w:highlight w:val="none"/>
              </w:rPr>
            </w:pPr>
          </w:p>
        </w:tc>
        <w:tc>
          <w:tcPr>
            <w:tcW w:w="1317" w:type="dxa"/>
            <w:vAlign w:val="center"/>
          </w:tcPr>
          <w:p w14:paraId="0E26C0BE">
            <w:pPr>
              <w:rPr>
                <w:rFonts w:cs="仿宋_GB2312"/>
                <w:i w:val="0"/>
                <w:iCs w:val="0"/>
                <w:color w:val="auto"/>
                <w:sz w:val="24"/>
                <w:szCs w:val="24"/>
                <w:highlight w:val="none"/>
              </w:rPr>
            </w:pPr>
          </w:p>
        </w:tc>
        <w:tc>
          <w:tcPr>
            <w:tcW w:w="1543" w:type="dxa"/>
            <w:vAlign w:val="center"/>
          </w:tcPr>
          <w:p w14:paraId="21B91488">
            <w:pPr>
              <w:rPr>
                <w:rFonts w:cs="仿宋_GB2312"/>
                <w:i w:val="0"/>
                <w:iCs w:val="0"/>
                <w:color w:val="auto"/>
                <w:sz w:val="24"/>
                <w:szCs w:val="24"/>
                <w:highlight w:val="none"/>
              </w:rPr>
            </w:pPr>
          </w:p>
        </w:tc>
        <w:tc>
          <w:tcPr>
            <w:tcW w:w="1540" w:type="dxa"/>
            <w:vAlign w:val="center"/>
          </w:tcPr>
          <w:p w14:paraId="022822E5">
            <w:pPr>
              <w:rPr>
                <w:rFonts w:cs="仿宋_GB2312"/>
                <w:i w:val="0"/>
                <w:iCs w:val="0"/>
                <w:color w:val="auto"/>
                <w:sz w:val="24"/>
                <w:szCs w:val="24"/>
                <w:highlight w:val="none"/>
              </w:rPr>
            </w:pPr>
          </w:p>
        </w:tc>
        <w:tc>
          <w:tcPr>
            <w:tcW w:w="1530" w:type="dxa"/>
            <w:vAlign w:val="center"/>
          </w:tcPr>
          <w:p w14:paraId="33B7265E">
            <w:pPr>
              <w:rPr>
                <w:rFonts w:cs="仿宋_GB2312"/>
                <w:i w:val="0"/>
                <w:iCs w:val="0"/>
                <w:color w:val="auto"/>
                <w:sz w:val="24"/>
                <w:szCs w:val="24"/>
                <w:highlight w:val="none"/>
              </w:rPr>
            </w:pPr>
          </w:p>
        </w:tc>
        <w:tc>
          <w:tcPr>
            <w:tcW w:w="1019" w:type="dxa"/>
            <w:vAlign w:val="center"/>
          </w:tcPr>
          <w:p w14:paraId="3DB7C19D">
            <w:pPr>
              <w:rPr>
                <w:rFonts w:cs="仿宋_GB2312"/>
                <w:i w:val="0"/>
                <w:iCs w:val="0"/>
                <w:color w:val="auto"/>
                <w:sz w:val="24"/>
                <w:szCs w:val="24"/>
                <w:highlight w:val="none"/>
              </w:rPr>
            </w:pPr>
          </w:p>
        </w:tc>
      </w:tr>
      <w:tr w14:paraId="3B6B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811" w:type="dxa"/>
            <w:vAlign w:val="center"/>
          </w:tcPr>
          <w:p w14:paraId="2FB3FA79">
            <w:pPr>
              <w:jc w:val="center"/>
              <w:rPr>
                <w:rFonts w:cs="仿宋_GB2312"/>
                <w:i w:val="0"/>
                <w:iCs w:val="0"/>
                <w:color w:val="auto"/>
                <w:sz w:val="24"/>
                <w:szCs w:val="24"/>
                <w:highlight w:val="none"/>
              </w:rPr>
            </w:pPr>
            <w:r>
              <w:rPr>
                <w:rFonts w:hint="eastAsia" w:cs="仿宋_GB2312"/>
                <w:i w:val="0"/>
                <w:iCs w:val="0"/>
                <w:color w:val="auto"/>
                <w:sz w:val="24"/>
                <w:szCs w:val="24"/>
                <w:highlight w:val="none"/>
              </w:rPr>
              <w:t>…</w:t>
            </w:r>
          </w:p>
        </w:tc>
        <w:tc>
          <w:tcPr>
            <w:tcW w:w="1277" w:type="dxa"/>
            <w:vAlign w:val="center"/>
          </w:tcPr>
          <w:p w14:paraId="4E0BF451">
            <w:pPr>
              <w:rPr>
                <w:rFonts w:cs="仿宋_GB2312"/>
                <w:i w:val="0"/>
                <w:iCs w:val="0"/>
                <w:color w:val="auto"/>
                <w:sz w:val="24"/>
                <w:szCs w:val="24"/>
                <w:highlight w:val="none"/>
              </w:rPr>
            </w:pPr>
          </w:p>
        </w:tc>
        <w:tc>
          <w:tcPr>
            <w:tcW w:w="1317" w:type="dxa"/>
            <w:vAlign w:val="center"/>
          </w:tcPr>
          <w:p w14:paraId="0E246138">
            <w:pPr>
              <w:rPr>
                <w:rFonts w:cs="仿宋_GB2312"/>
                <w:i w:val="0"/>
                <w:iCs w:val="0"/>
                <w:color w:val="auto"/>
                <w:sz w:val="24"/>
                <w:szCs w:val="24"/>
                <w:highlight w:val="none"/>
              </w:rPr>
            </w:pPr>
          </w:p>
        </w:tc>
        <w:tc>
          <w:tcPr>
            <w:tcW w:w="1543" w:type="dxa"/>
            <w:vAlign w:val="center"/>
          </w:tcPr>
          <w:p w14:paraId="0DD507EF">
            <w:pPr>
              <w:rPr>
                <w:rFonts w:cs="仿宋_GB2312"/>
                <w:i w:val="0"/>
                <w:iCs w:val="0"/>
                <w:color w:val="auto"/>
                <w:sz w:val="24"/>
                <w:szCs w:val="24"/>
                <w:highlight w:val="none"/>
              </w:rPr>
            </w:pPr>
          </w:p>
        </w:tc>
        <w:tc>
          <w:tcPr>
            <w:tcW w:w="1540" w:type="dxa"/>
            <w:vAlign w:val="center"/>
          </w:tcPr>
          <w:p w14:paraId="1EC0B43C">
            <w:pPr>
              <w:rPr>
                <w:rFonts w:cs="仿宋_GB2312"/>
                <w:i w:val="0"/>
                <w:iCs w:val="0"/>
                <w:color w:val="auto"/>
                <w:sz w:val="24"/>
                <w:szCs w:val="24"/>
                <w:highlight w:val="none"/>
              </w:rPr>
            </w:pPr>
          </w:p>
        </w:tc>
        <w:tc>
          <w:tcPr>
            <w:tcW w:w="1530" w:type="dxa"/>
            <w:vAlign w:val="center"/>
          </w:tcPr>
          <w:p w14:paraId="066B7E28">
            <w:pPr>
              <w:rPr>
                <w:rFonts w:cs="仿宋_GB2312"/>
                <w:i w:val="0"/>
                <w:iCs w:val="0"/>
                <w:color w:val="auto"/>
                <w:sz w:val="24"/>
                <w:szCs w:val="24"/>
                <w:highlight w:val="none"/>
              </w:rPr>
            </w:pPr>
          </w:p>
        </w:tc>
        <w:tc>
          <w:tcPr>
            <w:tcW w:w="1019" w:type="dxa"/>
            <w:vAlign w:val="center"/>
          </w:tcPr>
          <w:p w14:paraId="50D6674C">
            <w:pPr>
              <w:rPr>
                <w:rFonts w:cs="仿宋_GB2312"/>
                <w:i w:val="0"/>
                <w:iCs w:val="0"/>
                <w:color w:val="auto"/>
                <w:sz w:val="24"/>
                <w:szCs w:val="24"/>
                <w:highlight w:val="none"/>
              </w:rPr>
            </w:pPr>
          </w:p>
        </w:tc>
      </w:tr>
      <w:bookmarkEnd w:id="702"/>
    </w:tbl>
    <w:p w14:paraId="2862C69D">
      <w:pPr>
        <w:rPr>
          <w:rFonts w:hint="eastAsia" w:cs="仿宋_GB2312"/>
          <w:i w:val="0"/>
          <w:iCs w:val="0"/>
          <w:color w:val="auto"/>
          <w:sz w:val="24"/>
          <w:szCs w:val="24"/>
          <w:highlight w:val="none"/>
        </w:rPr>
      </w:pPr>
    </w:p>
    <w:p w14:paraId="2CA38C14">
      <w:pPr>
        <w:rPr>
          <w:rFonts w:cs="仿宋_GB2312"/>
          <w:i w:val="0"/>
          <w:iCs w:val="0"/>
          <w:color w:val="auto"/>
          <w:sz w:val="24"/>
          <w:szCs w:val="24"/>
          <w:highlight w:val="none"/>
        </w:rPr>
      </w:pPr>
      <w:r>
        <w:rPr>
          <w:rFonts w:hint="eastAsia" w:cs="仿宋_GB2312"/>
          <w:i w:val="0"/>
          <w:iCs w:val="0"/>
          <w:color w:val="auto"/>
          <w:sz w:val="24"/>
          <w:szCs w:val="24"/>
          <w:highlight w:val="none"/>
        </w:rPr>
        <w:t>注：</w:t>
      </w:r>
      <w:r>
        <w:rPr>
          <w:rFonts w:hint="eastAsia" w:cs="仿宋_GB2312"/>
          <w:i w:val="0"/>
          <w:iCs w:val="0"/>
          <w:color w:val="auto"/>
          <w:sz w:val="24"/>
          <w:szCs w:val="24"/>
          <w:highlight w:val="none"/>
          <w:lang w:val="en-US" w:eastAsia="zh-CN"/>
        </w:rPr>
        <w:t>供应商</w:t>
      </w:r>
      <w:r>
        <w:rPr>
          <w:rFonts w:hint="eastAsia" w:cs="仿宋_GB2312"/>
          <w:i w:val="0"/>
          <w:iCs w:val="0"/>
          <w:color w:val="auto"/>
          <w:sz w:val="24"/>
          <w:szCs w:val="24"/>
          <w:highlight w:val="none"/>
        </w:rPr>
        <w:t>须按上表提供相应的</w:t>
      </w:r>
      <w:r>
        <w:rPr>
          <w:rFonts w:hint="eastAsia" w:cs="仿宋_GB2312"/>
          <w:i w:val="0"/>
          <w:iCs w:val="0"/>
          <w:color w:val="auto"/>
          <w:sz w:val="24"/>
          <w:szCs w:val="24"/>
          <w:highlight w:val="none"/>
          <w:lang w:val="en-US" w:eastAsia="zh-CN"/>
        </w:rPr>
        <w:t>采购合同等</w:t>
      </w:r>
      <w:r>
        <w:rPr>
          <w:rFonts w:hint="eastAsia" w:cs="仿宋_GB2312"/>
          <w:i w:val="0"/>
          <w:iCs w:val="0"/>
          <w:color w:val="auto"/>
          <w:sz w:val="24"/>
          <w:szCs w:val="24"/>
          <w:highlight w:val="none"/>
        </w:rPr>
        <w:t>业绩证明资料。</w:t>
      </w:r>
    </w:p>
    <w:p w14:paraId="28FAEB12">
      <w:pPr>
        <w:widowControl/>
        <w:spacing w:before="100" w:beforeAutospacing="1" w:after="100" w:afterAutospacing="1"/>
        <w:rPr>
          <w:rFonts w:cs="Arial"/>
          <w:i w:val="0"/>
          <w:iCs w:val="0"/>
          <w:color w:val="auto"/>
          <w:szCs w:val="21"/>
          <w:highlight w:val="none"/>
        </w:rPr>
      </w:pPr>
    </w:p>
    <w:p w14:paraId="3CB57A72">
      <w:pPr>
        <w:ind w:right="1008" w:firstLine="5040" w:firstLineChars="20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6C6C24CD">
      <w:pPr>
        <w:ind w:right="1008" w:firstLine="5040" w:firstLineChars="20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2EEFFF48">
      <w:pPr>
        <w:ind w:firstLine="420"/>
        <w:rPr>
          <w:rFonts w:cs="仿宋_GB2312"/>
          <w:i w:val="0"/>
          <w:iCs w:val="0"/>
          <w:color w:val="auto"/>
          <w:szCs w:val="24"/>
          <w:highlight w:val="none"/>
        </w:rPr>
      </w:pPr>
      <w:r>
        <w:rPr>
          <w:rFonts w:cs="仿宋_GB2312"/>
          <w:i w:val="0"/>
          <w:iCs w:val="0"/>
          <w:color w:val="auto"/>
          <w:szCs w:val="24"/>
          <w:highlight w:val="none"/>
        </w:rPr>
        <w:br w:type="page"/>
      </w:r>
    </w:p>
    <w:p w14:paraId="5347C768">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703" w:name="_Toc6673"/>
      <w:bookmarkStart w:id="704" w:name="_Toc163492931"/>
      <w:r>
        <w:rPr>
          <w:rFonts w:hint="eastAsia" w:cs="宋体"/>
          <w:b/>
          <w:bCs/>
          <w:i w:val="0"/>
          <w:iCs w:val="0"/>
          <w:color w:val="auto"/>
          <w:kern w:val="2"/>
          <w:sz w:val="32"/>
          <w:szCs w:val="32"/>
          <w:highlight w:val="none"/>
          <w:lang w:val="en-US" w:eastAsia="zh-CN" w:bidi="ar-SA"/>
        </w:rPr>
        <w:t>七</w:t>
      </w:r>
      <w:r>
        <w:rPr>
          <w:rFonts w:hint="eastAsia" w:ascii="等线 Light" w:hAnsi="等线 Light" w:eastAsia="宋体" w:cs="宋体"/>
          <w:b/>
          <w:bCs/>
          <w:i w:val="0"/>
          <w:iCs w:val="0"/>
          <w:color w:val="auto"/>
          <w:kern w:val="2"/>
          <w:sz w:val="32"/>
          <w:szCs w:val="32"/>
          <w:highlight w:val="none"/>
          <w:lang w:val="en-US" w:eastAsia="zh-CN" w:bidi="ar-SA"/>
        </w:rPr>
        <w:t>、拟派项目团队</w:t>
      </w:r>
      <w:bookmarkEnd w:id="703"/>
      <w:bookmarkEnd w:id="704"/>
    </w:p>
    <w:tbl>
      <w:tblPr>
        <w:tblStyle w:val="31"/>
        <w:tblW w:w="9162" w:type="dxa"/>
        <w:tblInd w:w="-3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3"/>
        <w:gridCol w:w="1143"/>
        <w:gridCol w:w="1334"/>
        <w:gridCol w:w="1188"/>
        <w:gridCol w:w="1304"/>
        <w:gridCol w:w="1327"/>
        <w:gridCol w:w="1277"/>
        <w:gridCol w:w="816"/>
      </w:tblGrid>
      <w:tr w14:paraId="30912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trPr>
        <w:tc>
          <w:tcPr>
            <w:tcW w:w="773" w:type="dxa"/>
            <w:vAlign w:val="center"/>
          </w:tcPr>
          <w:p w14:paraId="5D748825">
            <w:pPr>
              <w:pStyle w:val="49"/>
              <w:jc w:val="center"/>
              <w:rPr>
                <w:i w:val="0"/>
                <w:iCs w:val="0"/>
                <w:color w:val="auto"/>
                <w:highlight w:val="none"/>
              </w:rPr>
            </w:pPr>
            <w:r>
              <w:rPr>
                <w:rFonts w:hint="eastAsia"/>
                <w:i w:val="0"/>
                <w:iCs w:val="0"/>
                <w:color w:val="auto"/>
                <w:highlight w:val="none"/>
              </w:rPr>
              <w:t>序号</w:t>
            </w:r>
          </w:p>
        </w:tc>
        <w:tc>
          <w:tcPr>
            <w:tcW w:w="1143" w:type="dxa"/>
            <w:vAlign w:val="center"/>
          </w:tcPr>
          <w:p w14:paraId="1FE1AFFA">
            <w:pPr>
              <w:pStyle w:val="49"/>
              <w:jc w:val="center"/>
              <w:rPr>
                <w:i w:val="0"/>
                <w:iCs w:val="0"/>
                <w:color w:val="auto"/>
                <w:highlight w:val="none"/>
              </w:rPr>
            </w:pPr>
            <w:r>
              <w:rPr>
                <w:rFonts w:hint="eastAsia"/>
                <w:i w:val="0"/>
                <w:iCs w:val="0"/>
                <w:color w:val="auto"/>
                <w:highlight w:val="none"/>
                <w:lang w:val="en-US" w:eastAsia="zh-CN"/>
              </w:rPr>
              <w:t>团队成员</w:t>
            </w:r>
          </w:p>
          <w:p w14:paraId="7348AA24">
            <w:pPr>
              <w:pStyle w:val="49"/>
              <w:jc w:val="center"/>
              <w:rPr>
                <w:i w:val="0"/>
                <w:iCs w:val="0"/>
                <w:color w:val="auto"/>
                <w:highlight w:val="none"/>
              </w:rPr>
            </w:pPr>
            <w:r>
              <w:rPr>
                <w:rFonts w:hint="eastAsia"/>
                <w:i w:val="0"/>
                <w:iCs w:val="0"/>
                <w:color w:val="auto"/>
                <w:highlight w:val="none"/>
              </w:rPr>
              <w:t>姓名</w:t>
            </w:r>
          </w:p>
        </w:tc>
        <w:tc>
          <w:tcPr>
            <w:tcW w:w="1334" w:type="dxa"/>
            <w:tcBorders>
              <w:right w:val="single" w:color="auto" w:sz="4" w:space="0"/>
            </w:tcBorders>
            <w:vAlign w:val="center"/>
          </w:tcPr>
          <w:p w14:paraId="070234F7">
            <w:pPr>
              <w:pStyle w:val="49"/>
              <w:jc w:val="center"/>
              <w:rPr>
                <w:i w:val="0"/>
                <w:iCs w:val="0"/>
                <w:color w:val="auto"/>
                <w:highlight w:val="none"/>
              </w:rPr>
            </w:pPr>
            <w:r>
              <w:rPr>
                <w:rFonts w:hint="eastAsia"/>
                <w:i w:val="0"/>
                <w:iCs w:val="0"/>
                <w:color w:val="auto"/>
                <w:highlight w:val="none"/>
              </w:rPr>
              <w:t>工作单位</w:t>
            </w:r>
          </w:p>
        </w:tc>
        <w:tc>
          <w:tcPr>
            <w:tcW w:w="1188" w:type="dxa"/>
            <w:tcBorders>
              <w:left w:val="single" w:color="auto" w:sz="4" w:space="0"/>
            </w:tcBorders>
            <w:vAlign w:val="center"/>
          </w:tcPr>
          <w:p w14:paraId="188E25EC">
            <w:pPr>
              <w:pStyle w:val="49"/>
              <w:jc w:val="center"/>
              <w:rPr>
                <w:i w:val="0"/>
                <w:iCs w:val="0"/>
                <w:color w:val="auto"/>
                <w:highlight w:val="none"/>
              </w:rPr>
            </w:pPr>
            <w:r>
              <w:rPr>
                <w:rFonts w:hint="eastAsia"/>
                <w:i w:val="0"/>
                <w:iCs w:val="0"/>
                <w:color w:val="auto"/>
                <w:highlight w:val="none"/>
              </w:rPr>
              <w:t>职称</w:t>
            </w:r>
          </w:p>
        </w:tc>
        <w:tc>
          <w:tcPr>
            <w:tcW w:w="1304" w:type="dxa"/>
            <w:tcBorders>
              <w:left w:val="single" w:color="auto" w:sz="4" w:space="0"/>
            </w:tcBorders>
            <w:vAlign w:val="center"/>
          </w:tcPr>
          <w:p w14:paraId="3E8910BD">
            <w:pPr>
              <w:pStyle w:val="49"/>
              <w:jc w:val="center"/>
              <w:rPr>
                <w:i w:val="0"/>
                <w:iCs w:val="0"/>
                <w:color w:val="auto"/>
                <w:highlight w:val="none"/>
              </w:rPr>
            </w:pPr>
            <w:r>
              <w:rPr>
                <w:rFonts w:hint="eastAsia"/>
                <w:i w:val="0"/>
                <w:iCs w:val="0"/>
                <w:color w:val="auto"/>
                <w:highlight w:val="none"/>
                <w:lang w:val="en-US" w:eastAsia="zh-CN"/>
              </w:rPr>
              <w:t>注册证书（岗位证书）名称及编号</w:t>
            </w:r>
          </w:p>
        </w:tc>
        <w:tc>
          <w:tcPr>
            <w:tcW w:w="1327" w:type="dxa"/>
            <w:vAlign w:val="center"/>
          </w:tcPr>
          <w:p w14:paraId="47932B95">
            <w:pPr>
              <w:pStyle w:val="49"/>
              <w:jc w:val="center"/>
              <w:rPr>
                <w:rFonts w:hint="default" w:eastAsia="宋体"/>
                <w:i w:val="0"/>
                <w:iCs w:val="0"/>
                <w:color w:val="auto"/>
                <w:highlight w:val="none"/>
                <w:lang w:val="en-US" w:eastAsia="zh-CN"/>
              </w:rPr>
            </w:pPr>
            <w:r>
              <w:rPr>
                <w:rFonts w:hint="eastAsia" w:eastAsia="宋体"/>
                <w:i w:val="0"/>
                <w:iCs w:val="0"/>
                <w:color w:val="auto"/>
                <w:highlight w:val="none"/>
                <w:lang w:val="en-US" w:eastAsia="zh-CN"/>
              </w:rPr>
              <w:t>在团队中职务（岗位）</w:t>
            </w:r>
          </w:p>
        </w:tc>
        <w:tc>
          <w:tcPr>
            <w:tcW w:w="1277" w:type="dxa"/>
            <w:vAlign w:val="center"/>
          </w:tcPr>
          <w:p w14:paraId="0253AC5A">
            <w:pPr>
              <w:pStyle w:val="49"/>
              <w:jc w:val="center"/>
              <w:rPr>
                <w:i w:val="0"/>
                <w:iCs w:val="0"/>
                <w:color w:val="auto"/>
                <w:highlight w:val="none"/>
              </w:rPr>
            </w:pPr>
            <w:r>
              <w:rPr>
                <w:rFonts w:hint="eastAsia"/>
                <w:i w:val="0"/>
                <w:iCs w:val="0"/>
                <w:color w:val="auto"/>
                <w:highlight w:val="none"/>
              </w:rPr>
              <w:t>自有</w:t>
            </w:r>
            <w:r>
              <w:rPr>
                <w:i w:val="0"/>
                <w:iCs w:val="0"/>
                <w:color w:val="auto"/>
                <w:highlight w:val="none"/>
              </w:rPr>
              <w:t>/外聘</w:t>
            </w:r>
          </w:p>
        </w:tc>
        <w:tc>
          <w:tcPr>
            <w:tcW w:w="816" w:type="dxa"/>
            <w:vAlign w:val="center"/>
          </w:tcPr>
          <w:p w14:paraId="0B7FA769">
            <w:pPr>
              <w:pStyle w:val="49"/>
              <w:jc w:val="center"/>
              <w:rPr>
                <w:rFonts w:hint="eastAsia" w:eastAsia="宋体"/>
                <w:i w:val="0"/>
                <w:iCs w:val="0"/>
                <w:color w:val="auto"/>
                <w:highlight w:val="none"/>
                <w:lang w:val="en-US" w:eastAsia="zh-CN"/>
              </w:rPr>
            </w:pPr>
            <w:r>
              <w:rPr>
                <w:rFonts w:hint="eastAsia"/>
                <w:i w:val="0"/>
                <w:iCs w:val="0"/>
                <w:color w:val="auto"/>
                <w:highlight w:val="none"/>
                <w:lang w:val="en-US" w:eastAsia="zh-CN"/>
              </w:rPr>
              <w:t>备注</w:t>
            </w:r>
          </w:p>
        </w:tc>
      </w:tr>
      <w:tr w14:paraId="304ED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7723A265">
            <w:pPr>
              <w:pStyle w:val="49"/>
              <w:jc w:val="center"/>
              <w:rPr>
                <w:i w:val="0"/>
                <w:iCs w:val="0"/>
                <w:color w:val="auto"/>
                <w:highlight w:val="none"/>
              </w:rPr>
            </w:pPr>
            <w:bookmarkStart w:id="705" w:name="_Toc99533292"/>
            <w:bookmarkStart w:id="706" w:name="_Toc100090784"/>
            <w:r>
              <w:rPr>
                <w:rFonts w:hint="eastAsia"/>
                <w:i w:val="0"/>
                <w:iCs w:val="0"/>
                <w:color w:val="auto"/>
                <w:highlight w:val="none"/>
              </w:rPr>
              <w:t>1</w:t>
            </w:r>
            <w:bookmarkEnd w:id="705"/>
            <w:bookmarkEnd w:id="706"/>
          </w:p>
        </w:tc>
        <w:tc>
          <w:tcPr>
            <w:tcW w:w="1143" w:type="dxa"/>
            <w:vAlign w:val="center"/>
          </w:tcPr>
          <w:p w14:paraId="6C4D5149">
            <w:pPr>
              <w:pStyle w:val="49"/>
              <w:jc w:val="center"/>
              <w:rPr>
                <w:i w:val="0"/>
                <w:iCs w:val="0"/>
                <w:color w:val="auto"/>
                <w:highlight w:val="none"/>
              </w:rPr>
            </w:pPr>
          </w:p>
        </w:tc>
        <w:tc>
          <w:tcPr>
            <w:tcW w:w="1334" w:type="dxa"/>
            <w:tcBorders>
              <w:right w:val="single" w:color="auto" w:sz="4" w:space="0"/>
            </w:tcBorders>
            <w:vAlign w:val="center"/>
          </w:tcPr>
          <w:p w14:paraId="6C38B9D2">
            <w:pPr>
              <w:pStyle w:val="49"/>
              <w:jc w:val="center"/>
              <w:rPr>
                <w:i w:val="0"/>
                <w:iCs w:val="0"/>
                <w:color w:val="auto"/>
                <w:highlight w:val="none"/>
              </w:rPr>
            </w:pPr>
          </w:p>
        </w:tc>
        <w:tc>
          <w:tcPr>
            <w:tcW w:w="1188" w:type="dxa"/>
            <w:tcBorders>
              <w:left w:val="single" w:color="auto" w:sz="4" w:space="0"/>
            </w:tcBorders>
            <w:vAlign w:val="center"/>
          </w:tcPr>
          <w:p w14:paraId="6DF1E1DE">
            <w:pPr>
              <w:pStyle w:val="49"/>
              <w:jc w:val="center"/>
              <w:rPr>
                <w:i w:val="0"/>
                <w:iCs w:val="0"/>
                <w:color w:val="auto"/>
                <w:highlight w:val="none"/>
              </w:rPr>
            </w:pPr>
          </w:p>
        </w:tc>
        <w:tc>
          <w:tcPr>
            <w:tcW w:w="1304" w:type="dxa"/>
            <w:tcBorders>
              <w:left w:val="single" w:color="auto" w:sz="4" w:space="0"/>
            </w:tcBorders>
            <w:vAlign w:val="center"/>
          </w:tcPr>
          <w:p w14:paraId="7238D902">
            <w:pPr>
              <w:pStyle w:val="49"/>
              <w:jc w:val="center"/>
              <w:rPr>
                <w:i w:val="0"/>
                <w:iCs w:val="0"/>
                <w:color w:val="auto"/>
                <w:highlight w:val="none"/>
              </w:rPr>
            </w:pPr>
          </w:p>
        </w:tc>
        <w:tc>
          <w:tcPr>
            <w:tcW w:w="1327" w:type="dxa"/>
            <w:vAlign w:val="center"/>
          </w:tcPr>
          <w:p w14:paraId="695914DC">
            <w:pPr>
              <w:pStyle w:val="49"/>
              <w:jc w:val="center"/>
              <w:rPr>
                <w:i w:val="0"/>
                <w:iCs w:val="0"/>
                <w:color w:val="auto"/>
                <w:highlight w:val="none"/>
              </w:rPr>
            </w:pPr>
          </w:p>
        </w:tc>
        <w:tc>
          <w:tcPr>
            <w:tcW w:w="1277" w:type="dxa"/>
            <w:vAlign w:val="center"/>
          </w:tcPr>
          <w:p w14:paraId="0F1773FF">
            <w:pPr>
              <w:pStyle w:val="49"/>
              <w:jc w:val="center"/>
              <w:rPr>
                <w:i w:val="0"/>
                <w:iCs w:val="0"/>
                <w:color w:val="auto"/>
                <w:highlight w:val="none"/>
              </w:rPr>
            </w:pPr>
          </w:p>
        </w:tc>
        <w:tc>
          <w:tcPr>
            <w:tcW w:w="816" w:type="dxa"/>
            <w:vAlign w:val="center"/>
          </w:tcPr>
          <w:p w14:paraId="1E8E8F6E">
            <w:pPr>
              <w:pStyle w:val="49"/>
              <w:jc w:val="center"/>
              <w:rPr>
                <w:i w:val="0"/>
                <w:iCs w:val="0"/>
                <w:color w:val="auto"/>
                <w:highlight w:val="none"/>
              </w:rPr>
            </w:pPr>
          </w:p>
        </w:tc>
      </w:tr>
      <w:tr w14:paraId="4F4A7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6AB5CA21">
            <w:pPr>
              <w:pStyle w:val="49"/>
              <w:jc w:val="center"/>
              <w:rPr>
                <w:i w:val="0"/>
                <w:iCs w:val="0"/>
                <w:color w:val="auto"/>
                <w:highlight w:val="none"/>
              </w:rPr>
            </w:pPr>
            <w:bookmarkStart w:id="707" w:name="_Toc99533293"/>
            <w:bookmarkStart w:id="708" w:name="_Toc100090785"/>
            <w:r>
              <w:rPr>
                <w:rFonts w:hint="eastAsia"/>
                <w:i w:val="0"/>
                <w:iCs w:val="0"/>
                <w:color w:val="auto"/>
                <w:highlight w:val="none"/>
              </w:rPr>
              <w:t>2</w:t>
            </w:r>
            <w:bookmarkEnd w:id="707"/>
            <w:bookmarkEnd w:id="708"/>
          </w:p>
        </w:tc>
        <w:tc>
          <w:tcPr>
            <w:tcW w:w="1143" w:type="dxa"/>
            <w:vAlign w:val="center"/>
          </w:tcPr>
          <w:p w14:paraId="137E8AB1">
            <w:pPr>
              <w:pStyle w:val="49"/>
              <w:jc w:val="center"/>
              <w:rPr>
                <w:i w:val="0"/>
                <w:iCs w:val="0"/>
                <w:color w:val="auto"/>
                <w:highlight w:val="none"/>
              </w:rPr>
            </w:pPr>
          </w:p>
        </w:tc>
        <w:tc>
          <w:tcPr>
            <w:tcW w:w="1334" w:type="dxa"/>
            <w:tcBorders>
              <w:right w:val="single" w:color="auto" w:sz="4" w:space="0"/>
            </w:tcBorders>
            <w:vAlign w:val="center"/>
          </w:tcPr>
          <w:p w14:paraId="23A60ECF">
            <w:pPr>
              <w:pStyle w:val="49"/>
              <w:jc w:val="center"/>
              <w:rPr>
                <w:i w:val="0"/>
                <w:iCs w:val="0"/>
                <w:color w:val="auto"/>
                <w:highlight w:val="none"/>
              </w:rPr>
            </w:pPr>
          </w:p>
        </w:tc>
        <w:tc>
          <w:tcPr>
            <w:tcW w:w="1188" w:type="dxa"/>
            <w:tcBorders>
              <w:left w:val="single" w:color="auto" w:sz="4" w:space="0"/>
            </w:tcBorders>
            <w:vAlign w:val="center"/>
          </w:tcPr>
          <w:p w14:paraId="58DEC87B">
            <w:pPr>
              <w:pStyle w:val="49"/>
              <w:jc w:val="center"/>
              <w:rPr>
                <w:i w:val="0"/>
                <w:iCs w:val="0"/>
                <w:color w:val="auto"/>
                <w:highlight w:val="none"/>
              </w:rPr>
            </w:pPr>
          </w:p>
        </w:tc>
        <w:tc>
          <w:tcPr>
            <w:tcW w:w="1304" w:type="dxa"/>
            <w:tcBorders>
              <w:left w:val="single" w:color="auto" w:sz="4" w:space="0"/>
            </w:tcBorders>
            <w:vAlign w:val="center"/>
          </w:tcPr>
          <w:p w14:paraId="5CAE8969">
            <w:pPr>
              <w:pStyle w:val="49"/>
              <w:jc w:val="center"/>
              <w:rPr>
                <w:i w:val="0"/>
                <w:iCs w:val="0"/>
                <w:color w:val="auto"/>
                <w:highlight w:val="none"/>
              </w:rPr>
            </w:pPr>
          </w:p>
        </w:tc>
        <w:tc>
          <w:tcPr>
            <w:tcW w:w="1327" w:type="dxa"/>
            <w:vAlign w:val="center"/>
          </w:tcPr>
          <w:p w14:paraId="74CEFED3">
            <w:pPr>
              <w:pStyle w:val="49"/>
              <w:jc w:val="center"/>
              <w:rPr>
                <w:i w:val="0"/>
                <w:iCs w:val="0"/>
                <w:color w:val="auto"/>
                <w:highlight w:val="none"/>
              </w:rPr>
            </w:pPr>
          </w:p>
        </w:tc>
        <w:tc>
          <w:tcPr>
            <w:tcW w:w="1277" w:type="dxa"/>
            <w:vAlign w:val="center"/>
          </w:tcPr>
          <w:p w14:paraId="75B3E372">
            <w:pPr>
              <w:pStyle w:val="49"/>
              <w:jc w:val="center"/>
              <w:rPr>
                <w:i w:val="0"/>
                <w:iCs w:val="0"/>
                <w:color w:val="auto"/>
                <w:highlight w:val="none"/>
              </w:rPr>
            </w:pPr>
          </w:p>
        </w:tc>
        <w:tc>
          <w:tcPr>
            <w:tcW w:w="816" w:type="dxa"/>
            <w:vAlign w:val="center"/>
          </w:tcPr>
          <w:p w14:paraId="25079F99">
            <w:pPr>
              <w:pStyle w:val="49"/>
              <w:jc w:val="center"/>
              <w:rPr>
                <w:i w:val="0"/>
                <w:iCs w:val="0"/>
                <w:color w:val="auto"/>
                <w:highlight w:val="none"/>
              </w:rPr>
            </w:pPr>
          </w:p>
        </w:tc>
      </w:tr>
      <w:tr w14:paraId="01C00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4CC05F6D">
            <w:pPr>
              <w:pStyle w:val="49"/>
              <w:jc w:val="center"/>
              <w:rPr>
                <w:i w:val="0"/>
                <w:iCs w:val="0"/>
                <w:color w:val="auto"/>
                <w:highlight w:val="none"/>
              </w:rPr>
            </w:pPr>
            <w:bookmarkStart w:id="709" w:name="_Toc100090786"/>
            <w:bookmarkStart w:id="710" w:name="_Toc99533294"/>
            <w:r>
              <w:rPr>
                <w:rFonts w:hint="eastAsia"/>
                <w:i w:val="0"/>
                <w:iCs w:val="0"/>
                <w:color w:val="auto"/>
                <w:highlight w:val="none"/>
              </w:rPr>
              <w:t>3</w:t>
            </w:r>
            <w:bookmarkEnd w:id="709"/>
            <w:bookmarkEnd w:id="710"/>
          </w:p>
        </w:tc>
        <w:tc>
          <w:tcPr>
            <w:tcW w:w="1143" w:type="dxa"/>
            <w:vAlign w:val="center"/>
          </w:tcPr>
          <w:p w14:paraId="3B667631">
            <w:pPr>
              <w:pStyle w:val="49"/>
              <w:jc w:val="center"/>
              <w:rPr>
                <w:i w:val="0"/>
                <w:iCs w:val="0"/>
                <w:color w:val="auto"/>
                <w:highlight w:val="none"/>
              </w:rPr>
            </w:pPr>
          </w:p>
        </w:tc>
        <w:tc>
          <w:tcPr>
            <w:tcW w:w="1334" w:type="dxa"/>
            <w:tcBorders>
              <w:right w:val="single" w:color="auto" w:sz="4" w:space="0"/>
            </w:tcBorders>
            <w:vAlign w:val="center"/>
          </w:tcPr>
          <w:p w14:paraId="3AFEB360">
            <w:pPr>
              <w:pStyle w:val="49"/>
              <w:jc w:val="center"/>
              <w:rPr>
                <w:i w:val="0"/>
                <w:iCs w:val="0"/>
                <w:color w:val="auto"/>
                <w:highlight w:val="none"/>
              </w:rPr>
            </w:pPr>
          </w:p>
        </w:tc>
        <w:tc>
          <w:tcPr>
            <w:tcW w:w="1188" w:type="dxa"/>
            <w:tcBorders>
              <w:left w:val="single" w:color="auto" w:sz="4" w:space="0"/>
            </w:tcBorders>
            <w:vAlign w:val="center"/>
          </w:tcPr>
          <w:p w14:paraId="7DE48E19">
            <w:pPr>
              <w:pStyle w:val="49"/>
              <w:jc w:val="center"/>
              <w:rPr>
                <w:i w:val="0"/>
                <w:iCs w:val="0"/>
                <w:color w:val="auto"/>
                <w:highlight w:val="none"/>
              </w:rPr>
            </w:pPr>
          </w:p>
        </w:tc>
        <w:tc>
          <w:tcPr>
            <w:tcW w:w="1304" w:type="dxa"/>
            <w:tcBorders>
              <w:left w:val="single" w:color="auto" w:sz="4" w:space="0"/>
            </w:tcBorders>
            <w:vAlign w:val="center"/>
          </w:tcPr>
          <w:p w14:paraId="4048AFFD">
            <w:pPr>
              <w:pStyle w:val="49"/>
              <w:jc w:val="center"/>
              <w:rPr>
                <w:i w:val="0"/>
                <w:iCs w:val="0"/>
                <w:color w:val="auto"/>
                <w:highlight w:val="none"/>
              </w:rPr>
            </w:pPr>
          </w:p>
        </w:tc>
        <w:tc>
          <w:tcPr>
            <w:tcW w:w="1327" w:type="dxa"/>
            <w:vAlign w:val="center"/>
          </w:tcPr>
          <w:p w14:paraId="6B8220E3">
            <w:pPr>
              <w:pStyle w:val="49"/>
              <w:jc w:val="center"/>
              <w:rPr>
                <w:i w:val="0"/>
                <w:iCs w:val="0"/>
                <w:color w:val="auto"/>
                <w:highlight w:val="none"/>
              </w:rPr>
            </w:pPr>
          </w:p>
        </w:tc>
        <w:tc>
          <w:tcPr>
            <w:tcW w:w="1277" w:type="dxa"/>
            <w:vAlign w:val="center"/>
          </w:tcPr>
          <w:p w14:paraId="316ECF44">
            <w:pPr>
              <w:pStyle w:val="49"/>
              <w:jc w:val="center"/>
              <w:rPr>
                <w:i w:val="0"/>
                <w:iCs w:val="0"/>
                <w:color w:val="auto"/>
                <w:highlight w:val="none"/>
              </w:rPr>
            </w:pPr>
          </w:p>
        </w:tc>
        <w:tc>
          <w:tcPr>
            <w:tcW w:w="816" w:type="dxa"/>
            <w:vAlign w:val="center"/>
          </w:tcPr>
          <w:p w14:paraId="4C86870F">
            <w:pPr>
              <w:pStyle w:val="49"/>
              <w:jc w:val="center"/>
              <w:rPr>
                <w:i w:val="0"/>
                <w:iCs w:val="0"/>
                <w:color w:val="auto"/>
                <w:highlight w:val="none"/>
              </w:rPr>
            </w:pPr>
          </w:p>
        </w:tc>
      </w:tr>
      <w:tr w14:paraId="23E3A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3088A686">
            <w:pPr>
              <w:pStyle w:val="49"/>
              <w:jc w:val="center"/>
              <w:rPr>
                <w:i w:val="0"/>
                <w:iCs w:val="0"/>
                <w:color w:val="auto"/>
                <w:highlight w:val="none"/>
              </w:rPr>
            </w:pPr>
            <w:bookmarkStart w:id="711" w:name="_Toc100090787"/>
            <w:bookmarkStart w:id="712" w:name="_Toc99533295"/>
            <w:r>
              <w:rPr>
                <w:rFonts w:hint="eastAsia"/>
                <w:i w:val="0"/>
                <w:iCs w:val="0"/>
                <w:color w:val="auto"/>
                <w:highlight w:val="none"/>
              </w:rPr>
              <w:t>4</w:t>
            </w:r>
            <w:bookmarkEnd w:id="711"/>
            <w:bookmarkEnd w:id="712"/>
          </w:p>
        </w:tc>
        <w:tc>
          <w:tcPr>
            <w:tcW w:w="1143" w:type="dxa"/>
            <w:vAlign w:val="center"/>
          </w:tcPr>
          <w:p w14:paraId="18CF1709">
            <w:pPr>
              <w:pStyle w:val="49"/>
              <w:jc w:val="center"/>
              <w:rPr>
                <w:i w:val="0"/>
                <w:iCs w:val="0"/>
                <w:color w:val="auto"/>
                <w:highlight w:val="none"/>
              </w:rPr>
            </w:pPr>
          </w:p>
        </w:tc>
        <w:tc>
          <w:tcPr>
            <w:tcW w:w="1334" w:type="dxa"/>
            <w:tcBorders>
              <w:right w:val="single" w:color="auto" w:sz="4" w:space="0"/>
            </w:tcBorders>
            <w:vAlign w:val="center"/>
          </w:tcPr>
          <w:p w14:paraId="719C9512">
            <w:pPr>
              <w:pStyle w:val="49"/>
              <w:jc w:val="center"/>
              <w:rPr>
                <w:i w:val="0"/>
                <w:iCs w:val="0"/>
                <w:color w:val="auto"/>
                <w:highlight w:val="none"/>
              </w:rPr>
            </w:pPr>
          </w:p>
        </w:tc>
        <w:tc>
          <w:tcPr>
            <w:tcW w:w="1188" w:type="dxa"/>
            <w:tcBorders>
              <w:left w:val="single" w:color="auto" w:sz="4" w:space="0"/>
            </w:tcBorders>
            <w:vAlign w:val="center"/>
          </w:tcPr>
          <w:p w14:paraId="3A14EC6D">
            <w:pPr>
              <w:pStyle w:val="49"/>
              <w:jc w:val="center"/>
              <w:rPr>
                <w:i w:val="0"/>
                <w:iCs w:val="0"/>
                <w:color w:val="auto"/>
                <w:highlight w:val="none"/>
              </w:rPr>
            </w:pPr>
          </w:p>
        </w:tc>
        <w:tc>
          <w:tcPr>
            <w:tcW w:w="1304" w:type="dxa"/>
            <w:tcBorders>
              <w:left w:val="single" w:color="auto" w:sz="4" w:space="0"/>
            </w:tcBorders>
            <w:vAlign w:val="center"/>
          </w:tcPr>
          <w:p w14:paraId="78122762">
            <w:pPr>
              <w:pStyle w:val="49"/>
              <w:jc w:val="center"/>
              <w:rPr>
                <w:i w:val="0"/>
                <w:iCs w:val="0"/>
                <w:color w:val="auto"/>
                <w:highlight w:val="none"/>
              </w:rPr>
            </w:pPr>
          </w:p>
        </w:tc>
        <w:tc>
          <w:tcPr>
            <w:tcW w:w="1327" w:type="dxa"/>
            <w:vAlign w:val="center"/>
          </w:tcPr>
          <w:p w14:paraId="5DDCB392">
            <w:pPr>
              <w:pStyle w:val="49"/>
              <w:jc w:val="center"/>
              <w:rPr>
                <w:i w:val="0"/>
                <w:iCs w:val="0"/>
                <w:color w:val="auto"/>
                <w:highlight w:val="none"/>
              </w:rPr>
            </w:pPr>
          </w:p>
        </w:tc>
        <w:tc>
          <w:tcPr>
            <w:tcW w:w="1277" w:type="dxa"/>
            <w:vAlign w:val="center"/>
          </w:tcPr>
          <w:p w14:paraId="609177B2">
            <w:pPr>
              <w:pStyle w:val="49"/>
              <w:jc w:val="center"/>
              <w:rPr>
                <w:i w:val="0"/>
                <w:iCs w:val="0"/>
                <w:color w:val="auto"/>
                <w:highlight w:val="none"/>
              </w:rPr>
            </w:pPr>
          </w:p>
        </w:tc>
        <w:tc>
          <w:tcPr>
            <w:tcW w:w="816" w:type="dxa"/>
            <w:vAlign w:val="center"/>
          </w:tcPr>
          <w:p w14:paraId="30518C5B">
            <w:pPr>
              <w:pStyle w:val="49"/>
              <w:jc w:val="center"/>
              <w:rPr>
                <w:i w:val="0"/>
                <w:iCs w:val="0"/>
                <w:color w:val="auto"/>
                <w:highlight w:val="none"/>
              </w:rPr>
            </w:pPr>
          </w:p>
        </w:tc>
      </w:tr>
      <w:tr w14:paraId="3A590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5F89D4A4">
            <w:pPr>
              <w:pStyle w:val="49"/>
              <w:jc w:val="center"/>
              <w:rPr>
                <w:i w:val="0"/>
                <w:iCs w:val="0"/>
                <w:color w:val="auto"/>
                <w:highlight w:val="none"/>
              </w:rPr>
            </w:pPr>
            <w:bookmarkStart w:id="713" w:name="_Toc100090788"/>
            <w:bookmarkStart w:id="714" w:name="_Toc99533296"/>
            <w:r>
              <w:rPr>
                <w:rFonts w:hint="eastAsia"/>
                <w:i w:val="0"/>
                <w:iCs w:val="0"/>
                <w:color w:val="auto"/>
                <w:highlight w:val="none"/>
              </w:rPr>
              <w:t>5</w:t>
            </w:r>
            <w:bookmarkEnd w:id="713"/>
            <w:bookmarkEnd w:id="714"/>
          </w:p>
        </w:tc>
        <w:tc>
          <w:tcPr>
            <w:tcW w:w="1143" w:type="dxa"/>
            <w:vAlign w:val="center"/>
          </w:tcPr>
          <w:p w14:paraId="033FF939">
            <w:pPr>
              <w:pStyle w:val="49"/>
              <w:jc w:val="center"/>
              <w:rPr>
                <w:i w:val="0"/>
                <w:iCs w:val="0"/>
                <w:color w:val="auto"/>
                <w:highlight w:val="none"/>
              </w:rPr>
            </w:pPr>
          </w:p>
        </w:tc>
        <w:tc>
          <w:tcPr>
            <w:tcW w:w="1334" w:type="dxa"/>
            <w:tcBorders>
              <w:right w:val="single" w:color="auto" w:sz="4" w:space="0"/>
            </w:tcBorders>
            <w:vAlign w:val="center"/>
          </w:tcPr>
          <w:p w14:paraId="072D0D7D">
            <w:pPr>
              <w:pStyle w:val="49"/>
              <w:jc w:val="center"/>
              <w:rPr>
                <w:i w:val="0"/>
                <w:iCs w:val="0"/>
                <w:color w:val="auto"/>
                <w:highlight w:val="none"/>
              </w:rPr>
            </w:pPr>
          </w:p>
        </w:tc>
        <w:tc>
          <w:tcPr>
            <w:tcW w:w="1188" w:type="dxa"/>
            <w:tcBorders>
              <w:left w:val="single" w:color="auto" w:sz="4" w:space="0"/>
            </w:tcBorders>
            <w:vAlign w:val="center"/>
          </w:tcPr>
          <w:p w14:paraId="0D3DFA32">
            <w:pPr>
              <w:pStyle w:val="49"/>
              <w:jc w:val="center"/>
              <w:rPr>
                <w:i w:val="0"/>
                <w:iCs w:val="0"/>
                <w:color w:val="auto"/>
                <w:highlight w:val="none"/>
              </w:rPr>
            </w:pPr>
          </w:p>
        </w:tc>
        <w:tc>
          <w:tcPr>
            <w:tcW w:w="1304" w:type="dxa"/>
            <w:tcBorders>
              <w:left w:val="single" w:color="auto" w:sz="4" w:space="0"/>
            </w:tcBorders>
            <w:vAlign w:val="center"/>
          </w:tcPr>
          <w:p w14:paraId="22EA3F74">
            <w:pPr>
              <w:pStyle w:val="49"/>
              <w:jc w:val="center"/>
              <w:rPr>
                <w:i w:val="0"/>
                <w:iCs w:val="0"/>
                <w:color w:val="auto"/>
                <w:highlight w:val="none"/>
              </w:rPr>
            </w:pPr>
          </w:p>
        </w:tc>
        <w:tc>
          <w:tcPr>
            <w:tcW w:w="1327" w:type="dxa"/>
            <w:vAlign w:val="center"/>
          </w:tcPr>
          <w:p w14:paraId="59F7CB4E">
            <w:pPr>
              <w:pStyle w:val="49"/>
              <w:jc w:val="center"/>
              <w:rPr>
                <w:i w:val="0"/>
                <w:iCs w:val="0"/>
                <w:color w:val="auto"/>
                <w:highlight w:val="none"/>
              </w:rPr>
            </w:pPr>
          </w:p>
        </w:tc>
        <w:tc>
          <w:tcPr>
            <w:tcW w:w="1277" w:type="dxa"/>
            <w:vAlign w:val="center"/>
          </w:tcPr>
          <w:p w14:paraId="4082AED8">
            <w:pPr>
              <w:pStyle w:val="49"/>
              <w:jc w:val="center"/>
              <w:rPr>
                <w:i w:val="0"/>
                <w:iCs w:val="0"/>
                <w:color w:val="auto"/>
                <w:highlight w:val="none"/>
              </w:rPr>
            </w:pPr>
          </w:p>
        </w:tc>
        <w:tc>
          <w:tcPr>
            <w:tcW w:w="816" w:type="dxa"/>
            <w:vAlign w:val="center"/>
          </w:tcPr>
          <w:p w14:paraId="0A314A05">
            <w:pPr>
              <w:pStyle w:val="49"/>
              <w:jc w:val="center"/>
              <w:rPr>
                <w:i w:val="0"/>
                <w:iCs w:val="0"/>
                <w:color w:val="auto"/>
                <w:highlight w:val="none"/>
              </w:rPr>
            </w:pPr>
          </w:p>
        </w:tc>
      </w:tr>
      <w:tr w14:paraId="73735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440CA363">
            <w:pPr>
              <w:pStyle w:val="49"/>
              <w:jc w:val="center"/>
              <w:rPr>
                <w:i w:val="0"/>
                <w:iCs w:val="0"/>
                <w:color w:val="auto"/>
                <w:highlight w:val="none"/>
              </w:rPr>
            </w:pPr>
            <w:bookmarkStart w:id="715" w:name="_Toc100090789"/>
            <w:bookmarkStart w:id="716" w:name="_Toc99533297"/>
            <w:r>
              <w:rPr>
                <w:rFonts w:hint="eastAsia"/>
                <w:i w:val="0"/>
                <w:iCs w:val="0"/>
                <w:color w:val="auto"/>
                <w:highlight w:val="none"/>
              </w:rPr>
              <w:t>6</w:t>
            </w:r>
            <w:bookmarkEnd w:id="715"/>
            <w:bookmarkEnd w:id="716"/>
          </w:p>
        </w:tc>
        <w:tc>
          <w:tcPr>
            <w:tcW w:w="1143" w:type="dxa"/>
            <w:vAlign w:val="center"/>
          </w:tcPr>
          <w:p w14:paraId="55D9DC27">
            <w:pPr>
              <w:pStyle w:val="49"/>
              <w:jc w:val="center"/>
              <w:rPr>
                <w:i w:val="0"/>
                <w:iCs w:val="0"/>
                <w:color w:val="auto"/>
                <w:highlight w:val="none"/>
              </w:rPr>
            </w:pPr>
          </w:p>
        </w:tc>
        <w:tc>
          <w:tcPr>
            <w:tcW w:w="1334" w:type="dxa"/>
            <w:tcBorders>
              <w:right w:val="single" w:color="auto" w:sz="4" w:space="0"/>
            </w:tcBorders>
            <w:vAlign w:val="center"/>
          </w:tcPr>
          <w:p w14:paraId="5064627E">
            <w:pPr>
              <w:pStyle w:val="49"/>
              <w:jc w:val="center"/>
              <w:rPr>
                <w:i w:val="0"/>
                <w:iCs w:val="0"/>
                <w:color w:val="auto"/>
                <w:highlight w:val="none"/>
              </w:rPr>
            </w:pPr>
          </w:p>
        </w:tc>
        <w:tc>
          <w:tcPr>
            <w:tcW w:w="1188" w:type="dxa"/>
            <w:tcBorders>
              <w:left w:val="single" w:color="auto" w:sz="4" w:space="0"/>
            </w:tcBorders>
            <w:vAlign w:val="center"/>
          </w:tcPr>
          <w:p w14:paraId="6A609010">
            <w:pPr>
              <w:pStyle w:val="49"/>
              <w:jc w:val="center"/>
              <w:rPr>
                <w:i w:val="0"/>
                <w:iCs w:val="0"/>
                <w:color w:val="auto"/>
                <w:highlight w:val="none"/>
              </w:rPr>
            </w:pPr>
          </w:p>
        </w:tc>
        <w:tc>
          <w:tcPr>
            <w:tcW w:w="1304" w:type="dxa"/>
            <w:tcBorders>
              <w:left w:val="single" w:color="auto" w:sz="4" w:space="0"/>
            </w:tcBorders>
            <w:vAlign w:val="center"/>
          </w:tcPr>
          <w:p w14:paraId="27CC0CAC">
            <w:pPr>
              <w:pStyle w:val="49"/>
              <w:jc w:val="center"/>
              <w:rPr>
                <w:i w:val="0"/>
                <w:iCs w:val="0"/>
                <w:color w:val="auto"/>
                <w:highlight w:val="none"/>
              </w:rPr>
            </w:pPr>
          </w:p>
        </w:tc>
        <w:tc>
          <w:tcPr>
            <w:tcW w:w="1327" w:type="dxa"/>
            <w:vAlign w:val="center"/>
          </w:tcPr>
          <w:p w14:paraId="779495AA">
            <w:pPr>
              <w:pStyle w:val="49"/>
              <w:jc w:val="center"/>
              <w:rPr>
                <w:i w:val="0"/>
                <w:iCs w:val="0"/>
                <w:color w:val="auto"/>
                <w:highlight w:val="none"/>
              </w:rPr>
            </w:pPr>
          </w:p>
        </w:tc>
        <w:tc>
          <w:tcPr>
            <w:tcW w:w="1277" w:type="dxa"/>
            <w:vAlign w:val="center"/>
          </w:tcPr>
          <w:p w14:paraId="428EE373">
            <w:pPr>
              <w:pStyle w:val="49"/>
              <w:jc w:val="center"/>
              <w:rPr>
                <w:i w:val="0"/>
                <w:iCs w:val="0"/>
                <w:color w:val="auto"/>
                <w:highlight w:val="none"/>
              </w:rPr>
            </w:pPr>
          </w:p>
        </w:tc>
        <w:tc>
          <w:tcPr>
            <w:tcW w:w="816" w:type="dxa"/>
            <w:vAlign w:val="center"/>
          </w:tcPr>
          <w:p w14:paraId="7BE6C5D5">
            <w:pPr>
              <w:pStyle w:val="49"/>
              <w:jc w:val="center"/>
              <w:rPr>
                <w:i w:val="0"/>
                <w:iCs w:val="0"/>
                <w:color w:val="auto"/>
                <w:highlight w:val="none"/>
              </w:rPr>
            </w:pPr>
          </w:p>
        </w:tc>
      </w:tr>
      <w:tr w14:paraId="6F304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5F2FBDD7">
            <w:pPr>
              <w:pStyle w:val="49"/>
              <w:jc w:val="center"/>
              <w:rPr>
                <w:i w:val="0"/>
                <w:iCs w:val="0"/>
                <w:color w:val="auto"/>
                <w:highlight w:val="none"/>
              </w:rPr>
            </w:pPr>
            <w:bookmarkStart w:id="717" w:name="_Toc99533298"/>
            <w:bookmarkStart w:id="718" w:name="_Toc100090790"/>
            <w:r>
              <w:rPr>
                <w:rFonts w:hint="eastAsia"/>
                <w:i w:val="0"/>
                <w:iCs w:val="0"/>
                <w:color w:val="auto"/>
                <w:highlight w:val="none"/>
              </w:rPr>
              <w:t>7</w:t>
            </w:r>
            <w:bookmarkEnd w:id="717"/>
            <w:bookmarkEnd w:id="718"/>
          </w:p>
        </w:tc>
        <w:tc>
          <w:tcPr>
            <w:tcW w:w="1143" w:type="dxa"/>
            <w:vAlign w:val="center"/>
          </w:tcPr>
          <w:p w14:paraId="1F1A5EF3">
            <w:pPr>
              <w:pStyle w:val="49"/>
              <w:jc w:val="center"/>
              <w:rPr>
                <w:i w:val="0"/>
                <w:iCs w:val="0"/>
                <w:color w:val="auto"/>
                <w:highlight w:val="none"/>
              </w:rPr>
            </w:pPr>
          </w:p>
        </w:tc>
        <w:tc>
          <w:tcPr>
            <w:tcW w:w="1334" w:type="dxa"/>
            <w:tcBorders>
              <w:right w:val="single" w:color="auto" w:sz="4" w:space="0"/>
            </w:tcBorders>
            <w:vAlign w:val="center"/>
          </w:tcPr>
          <w:p w14:paraId="6D33CE72">
            <w:pPr>
              <w:pStyle w:val="49"/>
              <w:jc w:val="center"/>
              <w:rPr>
                <w:i w:val="0"/>
                <w:iCs w:val="0"/>
                <w:color w:val="auto"/>
                <w:highlight w:val="none"/>
              </w:rPr>
            </w:pPr>
          </w:p>
        </w:tc>
        <w:tc>
          <w:tcPr>
            <w:tcW w:w="1188" w:type="dxa"/>
            <w:tcBorders>
              <w:left w:val="single" w:color="auto" w:sz="4" w:space="0"/>
            </w:tcBorders>
            <w:vAlign w:val="center"/>
          </w:tcPr>
          <w:p w14:paraId="6EDE596A">
            <w:pPr>
              <w:pStyle w:val="49"/>
              <w:jc w:val="center"/>
              <w:rPr>
                <w:i w:val="0"/>
                <w:iCs w:val="0"/>
                <w:color w:val="auto"/>
                <w:highlight w:val="none"/>
              </w:rPr>
            </w:pPr>
          </w:p>
        </w:tc>
        <w:tc>
          <w:tcPr>
            <w:tcW w:w="1304" w:type="dxa"/>
            <w:tcBorders>
              <w:left w:val="single" w:color="auto" w:sz="4" w:space="0"/>
            </w:tcBorders>
            <w:vAlign w:val="center"/>
          </w:tcPr>
          <w:p w14:paraId="38735893">
            <w:pPr>
              <w:pStyle w:val="49"/>
              <w:jc w:val="center"/>
              <w:rPr>
                <w:i w:val="0"/>
                <w:iCs w:val="0"/>
                <w:color w:val="auto"/>
                <w:highlight w:val="none"/>
              </w:rPr>
            </w:pPr>
          </w:p>
        </w:tc>
        <w:tc>
          <w:tcPr>
            <w:tcW w:w="1327" w:type="dxa"/>
            <w:vAlign w:val="center"/>
          </w:tcPr>
          <w:p w14:paraId="07C31BEE">
            <w:pPr>
              <w:pStyle w:val="49"/>
              <w:jc w:val="center"/>
              <w:rPr>
                <w:i w:val="0"/>
                <w:iCs w:val="0"/>
                <w:color w:val="auto"/>
                <w:highlight w:val="none"/>
              </w:rPr>
            </w:pPr>
          </w:p>
        </w:tc>
        <w:tc>
          <w:tcPr>
            <w:tcW w:w="1277" w:type="dxa"/>
            <w:vAlign w:val="center"/>
          </w:tcPr>
          <w:p w14:paraId="733F511C">
            <w:pPr>
              <w:pStyle w:val="49"/>
              <w:jc w:val="center"/>
              <w:rPr>
                <w:i w:val="0"/>
                <w:iCs w:val="0"/>
                <w:color w:val="auto"/>
                <w:highlight w:val="none"/>
              </w:rPr>
            </w:pPr>
          </w:p>
        </w:tc>
        <w:tc>
          <w:tcPr>
            <w:tcW w:w="816" w:type="dxa"/>
            <w:vAlign w:val="center"/>
          </w:tcPr>
          <w:p w14:paraId="5D1603EB">
            <w:pPr>
              <w:pStyle w:val="49"/>
              <w:jc w:val="center"/>
              <w:rPr>
                <w:i w:val="0"/>
                <w:iCs w:val="0"/>
                <w:color w:val="auto"/>
                <w:highlight w:val="none"/>
              </w:rPr>
            </w:pPr>
          </w:p>
        </w:tc>
      </w:tr>
      <w:tr w14:paraId="61A56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3F6C7BEE">
            <w:pPr>
              <w:pStyle w:val="49"/>
              <w:jc w:val="center"/>
              <w:rPr>
                <w:i w:val="0"/>
                <w:iCs w:val="0"/>
                <w:color w:val="auto"/>
                <w:highlight w:val="none"/>
              </w:rPr>
            </w:pPr>
            <w:bookmarkStart w:id="719" w:name="_Toc100090791"/>
            <w:bookmarkStart w:id="720" w:name="_Toc99533299"/>
            <w:r>
              <w:rPr>
                <w:rFonts w:hint="eastAsia"/>
                <w:i w:val="0"/>
                <w:iCs w:val="0"/>
                <w:color w:val="auto"/>
                <w:highlight w:val="none"/>
              </w:rPr>
              <w:t>8</w:t>
            </w:r>
            <w:bookmarkEnd w:id="719"/>
            <w:bookmarkEnd w:id="720"/>
          </w:p>
        </w:tc>
        <w:tc>
          <w:tcPr>
            <w:tcW w:w="1143" w:type="dxa"/>
            <w:vAlign w:val="center"/>
          </w:tcPr>
          <w:p w14:paraId="799387E1">
            <w:pPr>
              <w:pStyle w:val="49"/>
              <w:jc w:val="center"/>
              <w:rPr>
                <w:i w:val="0"/>
                <w:iCs w:val="0"/>
                <w:color w:val="auto"/>
                <w:highlight w:val="none"/>
              </w:rPr>
            </w:pPr>
          </w:p>
        </w:tc>
        <w:tc>
          <w:tcPr>
            <w:tcW w:w="1334" w:type="dxa"/>
            <w:tcBorders>
              <w:right w:val="single" w:color="auto" w:sz="4" w:space="0"/>
            </w:tcBorders>
            <w:vAlign w:val="center"/>
          </w:tcPr>
          <w:p w14:paraId="2C7D786C">
            <w:pPr>
              <w:pStyle w:val="49"/>
              <w:jc w:val="center"/>
              <w:rPr>
                <w:i w:val="0"/>
                <w:iCs w:val="0"/>
                <w:color w:val="auto"/>
                <w:highlight w:val="none"/>
              </w:rPr>
            </w:pPr>
          </w:p>
        </w:tc>
        <w:tc>
          <w:tcPr>
            <w:tcW w:w="1188" w:type="dxa"/>
            <w:tcBorders>
              <w:left w:val="single" w:color="auto" w:sz="4" w:space="0"/>
            </w:tcBorders>
            <w:vAlign w:val="center"/>
          </w:tcPr>
          <w:p w14:paraId="44C80E2D">
            <w:pPr>
              <w:pStyle w:val="49"/>
              <w:jc w:val="center"/>
              <w:rPr>
                <w:i w:val="0"/>
                <w:iCs w:val="0"/>
                <w:color w:val="auto"/>
                <w:highlight w:val="none"/>
              </w:rPr>
            </w:pPr>
          </w:p>
        </w:tc>
        <w:tc>
          <w:tcPr>
            <w:tcW w:w="1304" w:type="dxa"/>
            <w:tcBorders>
              <w:left w:val="single" w:color="auto" w:sz="4" w:space="0"/>
            </w:tcBorders>
            <w:vAlign w:val="center"/>
          </w:tcPr>
          <w:p w14:paraId="49254CDC">
            <w:pPr>
              <w:pStyle w:val="49"/>
              <w:jc w:val="center"/>
              <w:rPr>
                <w:i w:val="0"/>
                <w:iCs w:val="0"/>
                <w:color w:val="auto"/>
                <w:highlight w:val="none"/>
              </w:rPr>
            </w:pPr>
          </w:p>
        </w:tc>
        <w:tc>
          <w:tcPr>
            <w:tcW w:w="1327" w:type="dxa"/>
            <w:vAlign w:val="center"/>
          </w:tcPr>
          <w:p w14:paraId="2FE997D4">
            <w:pPr>
              <w:pStyle w:val="49"/>
              <w:jc w:val="center"/>
              <w:rPr>
                <w:i w:val="0"/>
                <w:iCs w:val="0"/>
                <w:color w:val="auto"/>
                <w:highlight w:val="none"/>
              </w:rPr>
            </w:pPr>
          </w:p>
        </w:tc>
        <w:tc>
          <w:tcPr>
            <w:tcW w:w="1277" w:type="dxa"/>
            <w:vAlign w:val="center"/>
          </w:tcPr>
          <w:p w14:paraId="31EA60B5">
            <w:pPr>
              <w:pStyle w:val="49"/>
              <w:jc w:val="center"/>
              <w:rPr>
                <w:i w:val="0"/>
                <w:iCs w:val="0"/>
                <w:color w:val="auto"/>
                <w:highlight w:val="none"/>
              </w:rPr>
            </w:pPr>
          </w:p>
        </w:tc>
        <w:tc>
          <w:tcPr>
            <w:tcW w:w="816" w:type="dxa"/>
            <w:vAlign w:val="center"/>
          </w:tcPr>
          <w:p w14:paraId="38A850C6">
            <w:pPr>
              <w:pStyle w:val="49"/>
              <w:jc w:val="center"/>
              <w:rPr>
                <w:i w:val="0"/>
                <w:iCs w:val="0"/>
                <w:color w:val="auto"/>
                <w:highlight w:val="none"/>
              </w:rPr>
            </w:pPr>
          </w:p>
        </w:tc>
      </w:tr>
      <w:tr w14:paraId="4AA84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trPr>
        <w:tc>
          <w:tcPr>
            <w:tcW w:w="773" w:type="dxa"/>
            <w:vAlign w:val="center"/>
          </w:tcPr>
          <w:p w14:paraId="670CDFDC">
            <w:pPr>
              <w:pStyle w:val="49"/>
              <w:jc w:val="center"/>
              <w:rPr>
                <w:i w:val="0"/>
                <w:iCs w:val="0"/>
                <w:color w:val="auto"/>
                <w:highlight w:val="none"/>
              </w:rPr>
            </w:pPr>
            <w:bookmarkStart w:id="721" w:name="_Toc99533300"/>
            <w:bookmarkStart w:id="722" w:name="_Toc100090792"/>
            <w:r>
              <w:rPr>
                <w:rFonts w:hint="eastAsia"/>
                <w:i w:val="0"/>
                <w:iCs w:val="0"/>
                <w:color w:val="auto"/>
                <w:highlight w:val="none"/>
              </w:rPr>
              <w:t>9</w:t>
            </w:r>
            <w:bookmarkEnd w:id="721"/>
            <w:bookmarkEnd w:id="722"/>
          </w:p>
        </w:tc>
        <w:tc>
          <w:tcPr>
            <w:tcW w:w="1143" w:type="dxa"/>
            <w:vAlign w:val="center"/>
          </w:tcPr>
          <w:p w14:paraId="43021859">
            <w:pPr>
              <w:pStyle w:val="49"/>
              <w:jc w:val="center"/>
              <w:rPr>
                <w:i w:val="0"/>
                <w:iCs w:val="0"/>
                <w:color w:val="auto"/>
                <w:highlight w:val="none"/>
              </w:rPr>
            </w:pPr>
          </w:p>
        </w:tc>
        <w:tc>
          <w:tcPr>
            <w:tcW w:w="1334" w:type="dxa"/>
            <w:tcBorders>
              <w:right w:val="single" w:color="auto" w:sz="4" w:space="0"/>
            </w:tcBorders>
            <w:vAlign w:val="center"/>
          </w:tcPr>
          <w:p w14:paraId="16E70F02">
            <w:pPr>
              <w:pStyle w:val="49"/>
              <w:jc w:val="center"/>
              <w:rPr>
                <w:i w:val="0"/>
                <w:iCs w:val="0"/>
                <w:color w:val="auto"/>
                <w:highlight w:val="none"/>
              </w:rPr>
            </w:pPr>
          </w:p>
        </w:tc>
        <w:tc>
          <w:tcPr>
            <w:tcW w:w="1188" w:type="dxa"/>
            <w:tcBorders>
              <w:left w:val="single" w:color="auto" w:sz="4" w:space="0"/>
            </w:tcBorders>
            <w:vAlign w:val="center"/>
          </w:tcPr>
          <w:p w14:paraId="5985F7AC">
            <w:pPr>
              <w:pStyle w:val="49"/>
              <w:jc w:val="center"/>
              <w:rPr>
                <w:i w:val="0"/>
                <w:iCs w:val="0"/>
                <w:color w:val="auto"/>
                <w:highlight w:val="none"/>
              </w:rPr>
            </w:pPr>
          </w:p>
        </w:tc>
        <w:tc>
          <w:tcPr>
            <w:tcW w:w="1304" w:type="dxa"/>
            <w:tcBorders>
              <w:left w:val="single" w:color="auto" w:sz="4" w:space="0"/>
            </w:tcBorders>
            <w:vAlign w:val="center"/>
          </w:tcPr>
          <w:p w14:paraId="45B32B42">
            <w:pPr>
              <w:pStyle w:val="49"/>
              <w:jc w:val="center"/>
              <w:rPr>
                <w:i w:val="0"/>
                <w:iCs w:val="0"/>
                <w:color w:val="auto"/>
                <w:highlight w:val="none"/>
              </w:rPr>
            </w:pPr>
          </w:p>
        </w:tc>
        <w:tc>
          <w:tcPr>
            <w:tcW w:w="1327" w:type="dxa"/>
            <w:vAlign w:val="center"/>
          </w:tcPr>
          <w:p w14:paraId="25527A64">
            <w:pPr>
              <w:pStyle w:val="49"/>
              <w:jc w:val="center"/>
              <w:rPr>
                <w:i w:val="0"/>
                <w:iCs w:val="0"/>
                <w:color w:val="auto"/>
                <w:highlight w:val="none"/>
              </w:rPr>
            </w:pPr>
          </w:p>
        </w:tc>
        <w:tc>
          <w:tcPr>
            <w:tcW w:w="1277" w:type="dxa"/>
            <w:vAlign w:val="center"/>
          </w:tcPr>
          <w:p w14:paraId="51F894B6">
            <w:pPr>
              <w:pStyle w:val="49"/>
              <w:jc w:val="center"/>
              <w:rPr>
                <w:i w:val="0"/>
                <w:iCs w:val="0"/>
                <w:color w:val="auto"/>
                <w:highlight w:val="none"/>
              </w:rPr>
            </w:pPr>
          </w:p>
        </w:tc>
        <w:tc>
          <w:tcPr>
            <w:tcW w:w="816" w:type="dxa"/>
            <w:vAlign w:val="center"/>
          </w:tcPr>
          <w:p w14:paraId="56B478A2">
            <w:pPr>
              <w:pStyle w:val="49"/>
              <w:jc w:val="center"/>
              <w:rPr>
                <w:i w:val="0"/>
                <w:iCs w:val="0"/>
                <w:color w:val="auto"/>
                <w:highlight w:val="none"/>
              </w:rPr>
            </w:pPr>
          </w:p>
        </w:tc>
      </w:tr>
      <w:tr w14:paraId="656E4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9" w:hRule="atLeast"/>
        </w:trPr>
        <w:tc>
          <w:tcPr>
            <w:tcW w:w="773" w:type="dxa"/>
            <w:vAlign w:val="center"/>
          </w:tcPr>
          <w:p w14:paraId="106726EB">
            <w:pPr>
              <w:pStyle w:val="49"/>
              <w:jc w:val="center"/>
              <w:rPr>
                <w:i w:val="0"/>
                <w:iCs w:val="0"/>
                <w:color w:val="auto"/>
                <w:highlight w:val="none"/>
              </w:rPr>
            </w:pPr>
            <w:bookmarkStart w:id="723" w:name="_Toc99533301"/>
            <w:bookmarkStart w:id="724" w:name="_Toc100090793"/>
            <w:r>
              <w:rPr>
                <w:rFonts w:hint="eastAsia"/>
                <w:i w:val="0"/>
                <w:iCs w:val="0"/>
                <w:color w:val="auto"/>
                <w:highlight w:val="none"/>
              </w:rPr>
              <w:t>10</w:t>
            </w:r>
            <w:bookmarkEnd w:id="723"/>
            <w:bookmarkEnd w:id="724"/>
          </w:p>
        </w:tc>
        <w:tc>
          <w:tcPr>
            <w:tcW w:w="1143" w:type="dxa"/>
            <w:vAlign w:val="center"/>
          </w:tcPr>
          <w:p w14:paraId="27E6E314">
            <w:pPr>
              <w:pStyle w:val="49"/>
              <w:jc w:val="center"/>
              <w:rPr>
                <w:i w:val="0"/>
                <w:iCs w:val="0"/>
                <w:color w:val="auto"/>
                <w:highlight w:val="none"/>
              </w:rPr>
            </w:pPr>
          </w:p>
        </w:tc>
        <w:tc>
          <w:tcPr>
            <w:tcW w:w="1334" w:type="dxa"/>
            <w:tcBorders>
              <w:right w:val="single" w:color="auto" w:sz="4" w:space="0"/>
            </w:tcBorders>
            <w:vAlign w:val="center"/>
          </w:tcPr>
          <w:p w14:paraId="6888081C">
            <w:pPr>
              <w:pStyle w:val="49"/>
              <w:jc w:val="center"/>
              <w:rPr>
                <w:i w:val="0"/>
                <w:iCs w:val="0"/>
                <w:color w:val="auto"/>
                <w:highlight w:val="none"/>
              </w:rPr>
            </w:pPr>
          </w:p>
        </w:tc>
        <w:tc>
          <w:tcPr>
            <w:tcW w:w="1188" w:type="dxa"/>
            <w:tcBorders>
              <w:left w:val="single" w:color="auto" w:sz="4" w:space="0"/>
            </w:tcBorders>
            <w:vAlign w:val="center"/>
          </w:tcPr>
          <w:p w14:paraId="027FE337">
            <w:pPr>
              <w:pStyle w:val="49"/>
              <w:jc w:val="center"/>
              <w:rPr>
                <w:i w:val="0"/>
                <w:iCs w:val="0"/>
                <w:color w:val="auto"/>
                <w:highlight w:val="none"/>
              </w:rPr>
            </w:pPr>
          </w:p>
        </w:tc>
        <w:tc>
          <w:tcPr>
            <w:tcW w:w="1304" w:type="dxa"/>
            <w:tcBorders>
              <w:left w:val="single" w:color="auto" w:sz="4" w:space="0"/>
            </w:tcBorders>
            <w:vAlign w:val="center"/>
          </w:tcPr>
          <w:p w14:paraId="3B3D543F">
            <w:pPr>
              <w:pStyle w:val="49"/>
              <w:jc w:val="center"/>
              <w:rPr>
                <w:i w:val="0"/>
                <w:iCs w:val="0"/>
                <w:color w:val="auto"/>
                <w:highlight w:val="none"/>
              </w:rPr>
            </w:pPr>
          </w:p>
        </w:tc>
        <w:tc>
          <w:tcPr>
            <w:tcW w:w="1327" w:type="dxa"/>
            <w:vAlign w:val="center"/>
          </w:tcPr>
          <w:p w14:paraId="0D25BC41">
            <w:pPr>
              <w:pStyle w:val="49"/>
              <w:jc w:val="center"/>
              <w:rPr>
                <w:i w:val="0"/>
                <w:iCs w:val="0"/>
                <w:color w:val="auto"/>
                <w:highlight w:val="none"/>
              </w:rPr>
            </w:pPr>
          </w:p>
        </w:tc>
        <w:tc>
          <w:tcPr>
            <w:tcW w:w="1277" w:type="dxa"/>
            <w:vAlign w:val="center"/>
          </w:tcPr>
          <w:p w14:paraId="1CC4132D">
            <w:pPr>
              <w:pStyle w:val="49"/>
              <w:jc w:val="center"/>
              <w:rPr>
                <w:i w:val="0"/>
                <w:iCs w:val="0"/>
                <w:color w:val="auto"/>
                <w:highlight w:val="none"/>
              </w:rPr>
            </w:pPr>
          </w:p>
        </w:tc>
        <w:tc>
          <w:tcPr>
            <w:tcW w:w="816" w:type="dxa"/>
            <w:vAlign w:val="center"/>
          </w:tcPr>
          <w:p w14:paraId="77EBAEC7">
            <w:pPr>
              <w:pStyle w:val="49"/>
              <w:jc w:val="center"/>
              <w:rPr>
                <w:i w:val="0"/>
                <w:iCs w:val="0"/>
                <w:color w:val="auto"/>
                <w:highlight w:val="none"/>
              </w:rPr>
            </w:pPr>
          </w:p>
        </w:tc>
      </w:tr>
    </w:tbl>
    <w:p w14:paraId="5C6F1341">
      <w:pPr>
        <w:rPr>
          <w:i w:val="0"/>
          <w:iCs w:val="0"/>
          <w:color w:val="auto"/>
          <w:highlight w:val="none"/>
        </w:rPr>
      </w:pPr>
    </w:p>
    <w:p w14:paraId="00F95697">
      <w:pPr>
        <w:rPr>
          <w:rFonts w:hint="eastAsia" w:cs="仿宋_GB2312"/>
          <w:b/>
          <w:bCs/>
          <w:color w:val="auto"/>
          <w:sz w:val="21"/>
          <w:szCs w:val="21"/>
          <w:highlight w:val="none"/>
          <w:lang w:val="en-US" w:eastAsia="zh-CN"/>
        </w:rPr>
      </w:pPr>
      <w:r>
        <w:rPr>
          <w:rFonts w:hint="eastAsia" w:cs="仿宋_GB2312"/>
          <w:b/>
          <w:bCs/>
          <w:color w:val="auto"/>
          <w:sz w:val="21"/>
          <w:szCs w:val="21"/>
          <w:highlight w:val="none"/>
          <w:lang w:val="en-US" w:eastAsia="zh-CN"/>
        </w:rPr>
        <w:t>注：按竞争性磋商文件要求在本表后附相关人员资质证书复印件，及劳动合同或近半年任意一月社保缴纳证明。</w:t>
      </w:r>
    </w:p>
    <w:p w14:paraId="7B45E50A">
      <w:pPr>
        <w:rPr>
          <w:rFonts w:hint="default" w:cs="仿宋_GB2312"/>
          <w:b/>
          <w:bCs/>
          <w:color w:val="auto"/>
          <w:sz w:val="21"/>
          <w:szCs w:val="21"/>
          <w:highlight w:val="none"/>
          <w:lang w:val="en-US" w:eastAsia="zh-CN"/>
        </w:rPr>
      </w:pPr>
    </w:p>
    <w:p w14:paraId="308266FB">
      <w:pPr>
        <w:ind w:right="1008" w:firstLine="5040" w:firstLineChars="20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7366B68C">
      <w:pPr>
        <w:ind w:right="1008" w:firstLine="5040" w:firstLineChars="20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2D83E04F">
      <w:pPr>
        <w:ind w:firstLine="420" w:firstLineChars="200"/>
        <w:rPr>
          <w:rFonts w:hint="eastAsia" w:cs="仿宋_GB2312"/>
          <w:color w:val="auto"/>
          <w:sz w:val="21"/>
          <w:szCs w:val="21"/>
          <w:highlight w:val="none"/>
          <w:lang w:val="en-US" w:eastAsia="zh-CN"/>
        </w:rPr>
      </w:pPr>
    </w:p>
    <w:p w14:paraId="520CBC3B">
      <w:pPr>
        <w:ind w:firstLine="420" w:firstLineChars="200"/>
        <w:rPr>
          <w:rFonts w:hint="eastAsia" w:cs="仿宋_GB2312"/>
          <w:color w:val="auto"/>
          <w:sz w:val="21"/>
          <w:szCs w:val="21"/>
          <w:highlight w:val="none"/>
          <w:lang w:val="en-US" w:eastAsia="zh-CN"/>
        </w:rPr>
      </w:pPr>
      <w:r>
        <w:rPr>
          <w:rFonts w:hint="eastAsia" w:cs="仿宋_GB2312"/>
          <w:color w:val="auto"/>
          <w:sz w:val="21"/>
          <w:szCs w:val="21"/>
          <w:highlight w:val="none"/>
          <w:lang w:val="en-US" w:eastAsia="zh-CN"/>
        </w:rPr>
        <w:t xml:space="preserve">说明： </w:t>
      </w:r>
    </w:p>
    <w:p w14:paraId="5F960650">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 xml:space="preserve">1.团队核心成员不少于10人，“在团队中职务（岗位）”栏应包括但不限于：项目负责人、培训专员、数据管理专员、技术支持专员及运营专员等岗位。 </w:t>
      </w:r>
    </w:p>
    <w:p w14:paraId="198BA4E8">
      <w:pPr>
        <w:ind w:firstLine="420" w:firstLineChars="200"/>
        <w:rPr>
          <w:i w:val="0"/>
          <w:iCs w:val="0"/>
          <w:color w:val="auto"/>
          <w:highlight w:val="none"/>
        </w:rPr>
      </w:pPr>
      <w:r>
        <w:rPr>
          <w:rFonts w:hint="eastAsia" w:cs="仿宋_GB2312"/>
          <w:color w:val="auto"/>
          <w:sz w:val="21"/>
          <w:szCs w:val="21"/>
          <w:highlight w:val="none"/>
          <w:lang w:val="en-US" w:eastAsia="zh-CN"/>
        </w:rPr>
        <w:t>2.如供应商成交，须按本表项目组成人员操作，不得随意更换。</w:t>
      </w:r>
      <w:r>
        <w:rPr>
          <w:i w:val="0"/>
          <w:iCs w:val="0"/>
          <w:color w:val="auto"/>
          <w:highlight w:val="none"/>
        </w:rPr>
        <w:br w:type="page"/>
      </w:r>
    </w:p>
    <w:p w14:paraId="3C377F9F">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725" w:name="_Toc5696"/>
      <w:bookmarkStart w:id="726" w:name="_Toc163492934"/>
      <w:r>
        <w:rPr>
          <w:rFonts w:hint="eastAsia" w:cs="宋体"/>
          <w:b/>
          <w:bCs/>
          <w:i w:val="0"/>
          <w:iCs w:val="0"/>
          <w:color w:val="auto"/>
          <w:kern w:val="2"/>
          <w:sz w:val="32"/>
          <w:szCs w:val="32"/>
          <w:highlight w:val="none"/>
          <w:lang w:val="en-US" w:eastAsia="zh-CN" w:bidi="ar-SA"/>
        </w:rPr>
        <w:t>八</w:t>
      </w:r>
      <w:r>
        <w:rPr>
          <w:rFonts w:hint="eastAsia" w:ascii="等线 Light" w:hAnsi="等线 Light" w:eastAsia="宋体" w:cs="宋体"/>
          <w:b/>
          <w:bCs/>
          <w:i w:val="0"/>
          <w:iCs w:val="0"/>
          <w:color w:val="auto"/>
          <w:kern w:val="2"/>
          <w:sz w:val="32"/>
          <w:szCs w:val="32"/>
          <w:highlight w:val="none"/>
          <w:lang w:val="en-US" w:eastAsia="zh-CN" w:bidi="ar-SA"/>
        </w:rPr>
        <w:t>、技术响应偏离表</w:t>
      </w:r>
      <w:bookmarkEnd w:id="725"/>
      <w:bookmarkEnd w:id="726"/>
    </w:p>
    <w:p w14:paraId="14A49AF3">
      <w:pPr>
        <w:rPr>
          <w:rFonts w:cs="仿宋_GB2312"/>
          <w:i w:val="0"/>
          <w:iCs w:val="0"/>
          <w:color w:val="auto"/>
          <w:szCs w:val="24"/>
          <w:highlight w:val="none"/>
        </w:rPr>
      </w:pPr>
      <w:r>
        <w:rPr>
          <w:rFonts w:hint="eastAsia" w:cs="仿宋_GB2312"/>
          <w:i w:val="0"/>
          <w:iCs w:val="0"/>
          <w:color w:val="auto"/>
          <w:szCs w:val="24"/>
          <w:highlight w:val="none"/>
        </w:rPr>
        <w:t xml:space="preserve">项目名称：                                         </w:t>
      </w:r>
    </w:p>
    <w:p w14:paraId="68FBA806">
      <w:pPr>
        <w:rPr>
          <w:rFonts w:cs="仿宋_GB2312"/>
          <w:i w:val="0"/>
          <w:iCs w:val="0"/>
          <w:color w:val="auto"/>
          <w:szCs w:val="24"/>
          <w:highlight w:val="none"/>
        </w:rPr>
      </w:pPr>
      <w:r>
        <w:rPr>
          <w:rFonts w:hint="eastAsia" w:cs="仿宋_GB2312"/>
          <w:i w:val="0"/>
          <w:iCs w:val="0"/>
          <w:color w:val="auto"/>
          <w:szCs w:val="24"/>
          <w:highlight w:val="none"/>
        </w:rPr>
        <w:t>项目编号</w:t>
      </w:r>
      <w:r>
        <w:rPr>
          <w:rFonts w:hint="eastAsia" w:cs="仿宋_GB2312"/>
          <w:i w:val="0"/>
          <w:iCs w:val="0"/>
          <w:color w:val="auto"/>
          <w:szCs w:val="24"/>
          <w:highlight w:val="none"/>
          <w:lang w:val="en-US" w:eastAsia="zh-CN"/>
        </w:rPr>
        <w:t>/</w:t>
      </w:r>
      <w:r>
        <w:rPr>
          <w:rFonts w:hint="eastAsia" w:cs="仿宋_GB2312"/>
          <w:i w:val="0"/>
          <w:iCs w:val="0"/>
          <w:color w:val="auto"/>
          <w:szCs w:val="24"/>
          <w:highlight w:val="none"/>
          <w:lang w:val="zh-CN"/>
        </w:rPr>
        <w:t>包号</w:t>
      </w:r>
      <w:r>
        <w:rPr>
          <w:rFonts w:hint="eastAsia" w:cs="仿宋_GB2312"/>
          <w:i w:val="0"/>
          <w:iCs w:val="0"/>
          <w:color w:val="auto"/>
          <w:szCs w:val="24"/>
          <w:highlight w:val="none"/>
        </w:rPr>
        <w:t xml:space="preserve">：         </w:t>
      </w:r>
    </w:p>
    <w:tbl>
      <w:tblPr>
        <w:tblStyle w:val="31"/>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177"/>
        <w:gridCol w:w="1556"/>
        <w:gridCol w:w="2046"/>
        <w:gridCol w:w="2046"/>
      </w:tblGrid>
      <w:tr w14:paraId="64F8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694" w:type="dxa"/>
            <w:vAlign w:val="center"/>
          </w:tcPr>
          <w:p w14:paraId="004B78F0">
            <w:pPr>
              <w:pStyle w:val="49"/>
              <w:jc w:val="center"/>
              <w:rPr>
                <w:i w:val="0"/>
                <w:iCs w:val="0"/>
                <w:color w:val="auto"/>
                <w:highlight w:val="none"/>
              </w:rPr>
            </w:pPr>
            <w:r>
              <w:rPr>
                <w:rFonts w:hint="eastAsia"/>
                <w:i w:val="0"/>
                <w:iCs w:val="0"/>
                <w:color w:val="auto"/>
                <w:highlight w:val="none"/>
              </w:rPr>
              <w:t>序号</w:t>
            </w:r>
          </w:p>
        </w:tc>
        <w:tc>
          <w:tcPr>
            <w:tcW w:w="2177" w:type="dxa"/>
            <w:vAlign w:val="center"/>
          </w:tcPr>
          <w:p w14:paraId="446147F4">
            <w:pPr>
              <w:pStyle w:val="49"/>
              <w:jc w:val="center"/>
              <w:rPr>
                <w:i w:val="0"/>
                <w:iCs w:val="0"/>
                <w:color w:val="auto"/>
                <w:highlight w:val="none"/>
              </w:rPr>
            </w:pPr>
            <w:r>
              <w:rPr>
                <w:rFonts w:hint="eastAsia"/>
                <w:i w:val="0"/>
                <w:iCs w:val="0"/>
                <w:color w:val="auto"/>
                <w:highlight w:val="none"/>
                <w:lang w:val="en-US" w:eastAsia="zh-CN"/>
              </w:rPr>
              <w:t>竞争性磋商</w:t>
            </w:r>
            <w:r>
              <w:rPr>
                <w:rFonts w:hint="eastAsia"/>
                <w:i w:val="0"/>
                <w:iCs w:val="0"/>
                <w:color w:val="auto"/>
                <w:highlight w:val="none"/>
              </w:rPr>
              <w:t>文件技术要求条款</w:t>
            </w:r>
          </w:p>
        </w:tc>
        <w:tc>
          <w:tcPr>
            <w:tcW w:w="1556" w:type="dxa"/>
            <w:vAlign w:val="center"/>
          </w:tcPr>
          <w:p w14:paraId="194B69C6">
            <w:pPr>
              <w:pStyle w:val="49"/>
              <w:jc w:val="center"/>
              <w:rPr>
                <w:i w:val="0"/>
                <w:iCs w:val="0"/>
                <w:color w:val="auto"/>
                <w:highlight w:val="none"/>
              </w:rPr>
            </w:pPr>
            <w:r>
              <w:rPr>
                <w:rFonts w:hint="eastAsia"/>
                <w:i w:val="0"/>
                <w:iCs w:val="0"/>
                <w:color w:val="auto"/>
                <w:highlight w:val="none"/>
                <w:lang w:val="en-US" w:eastAsia="zh-CN"/>
              </w:rPr>
              <w:t>响应</w:t>
            </w:r>
            <w:r>
              <w:rPr>
                <w:rFonts w:hint="eastAsia"/>
                <w:i w:val="0"/>
                <w:iCs w:val="0"/>
                <w:color w:val="auto"/>
                <w:highlight w:val="none"/>
              </w:rPr>
              <w:t>文件内容</w:t>
            </w:r>
          </w:p>
          <w:p w14:paraId="37104D28">
            <w:pPr>
              <w:pStyle w:val="49"/>
              <w:jc w:val="center"/>
              <w:rPr>
                <w:i w:val="0"/>
                <w:iCs w:val="0"/>
                <w:color w:val="auto"/>
                <w:highlight w:val="none"/>
              </w:rPr>
            </w:pPr>
            <w:r>
              <w:rPr>
                <w:rFonts w:hint="eastAsia"/>
                <w:i w:val="0"/>
                <w:iCs w:val="0"/>
                <w:color w:val="auto"/>
                <w:highlight w:val="none"/>
              </w:rPr>
              <w:t>对应简述</w:t>
            </w:r>
          </w:p>
        </w:tc>
        <w:tc>
          <w:tcPr>
            <w:tcW w:w="2046" w:type="dxa"/>
            <w:vAlign w:val="center"/>
          </w:tcPr>
          <w:p w14:paraId="688632E7">
            <w:pPr>
              <w:pStyle w:val="49"/>
              <w:jc w:val="center"/>
              <w:rPr>
                <w:i w:val="0"/>
                <w:iCs w:val="0"/>
                <w:color w:val="auto"/>
                <w:highlight w:val="none"/>
              </w:rPr>
            </w:pPr>
            <w:r>
              <w:rPr>
                <w:rFonts w:hint="eastAsia"/>
                <w:i w:val="0"/>
                <w:iCs w:val="0"/>
                <w:color w:val="auto"/>
                <w:highlight w:val="none"/>
              </w:rPr>
              <w:t>响应情况</w:t>
            </w:r>
          </w:p>
        </w:tc>
        <w:tc>
          <w:tcPr>
            <w:tcW w:w="2046" w:type="dxa"/>
            <w:vAlign w:val="center"/>
          </w:tcPr>
          <w:p w14:paraId="6E24A60D">
            <w:pPr>
              <w:pStyle w:val="49"/>
              <w:jc w:val="center"/>
              <w:rPr>
                <w:i w:val="0"/>
                <w:iCs w:val="0"/>
                <w:color w:val="auto"/>
                <w:highlight w:val="none"/>
              </w:rPr>
            </w:pPr>
            <w:r>
              <w:rPr>
                <w:rFonts w:hint="eastAsia"/>
                <w:color w:val="auto"/>
                <w:highlight w:val="none"/>
                <w:lang w:val="en-US" w:eastAsia="zh-CN"/>
              </w:rPr>
              <w:t>备注</w:t>
            </w:r>
          </w:p>
        </w:tc>
      </w:tr>
      <w:tr w14:paraId="06C2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694" w:type="dxa"/>
            <w:vAlign w:val="center"/>
          </w:tcPr>
          <w:p w14:paraId="22A696C3">
            <w:pPr>
              <w:pStyle w:val="49"/>
              <w:jc w:val="center"/>
              <w:rPr>
                <w:i w:val="0"/>
                <w:iCs w:val="0"/>
                <w:color w:val="auto"/>
                <w:highlight w:val="none"/>
              </w:rPr>
            </w:pPr>
            <w:r>
              <w:rPr>
                <w:rFonts w:hint="eastAsia"/>
                <w:i w:val="0"/>
                <w:iCs w:val="0"/>
                <w:color w:val="auto"/>
                <w:highlight w:val="none"/>
              </w:rPr>
              <w:t>1</w:t>
            </w:r>
          </w:p>
        </w:tc>
        <w:tc>
          <w:tcPr>
            <w:tcW w:w="2177" w:type="dxa"/>
            <w:vAlign w:val="center"/>
          </w:tcPr>
          <w:p w14:paraId="7B4D2CA7">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556" w:type="dxa"/>
            <w:vAlign w:val="center"/>
          </w:tcPr>
          <w:p w14:paraId="6C0C66EC">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2046" w:type="dxa"/>
            <w:vAlign w:val="center"/>
          </w:tcPr>
          <w:p w14:paraId="1944C68D">
            <w:pPr>
              <w:pStyle w:val="49"/>
              <w:jc w:val="center"/>
              <w:rPr>
                <w:i w:val="0"/>
                <w:iCs w:val="0"/>
                <w:color w:val="auto"/>
                <w:highlight w:val="none"/>
              </w:rPr>
            </w:pPr>
            <w:r>
              <w:rPr>
                <w:rFonts w:hint="eastAsia"/>
                <w:i w:val="0"/>
                <w:iCs w:val="0"/>
                <w:color w:val="auto"/>
                <w:highlight w:val="none"/>
              </w:rPr>
              <w:t>响应/正偏离/负偏离</w:t>
            </w:r>
          </w:p>
        </w:tc>
        <w:tc>
          <w:tcPr>
            <w:tcW w:w="2046" w:type="dxa"/>
            <w:vAlign w:val="center"/>
          </w:tcPr>
          <w:p w14:paraId="7A60D1F9">
            <w:pPr>
              <w:pStyle w:val="49"/>
              <w:jc w:val="center"/>
              <w:rPr>
                <w:i w:val="0"/>
                <w:iCs w:val="0"/>
                <w:color w:val="auto"/>
                <w:highlight w:val="none"/>
              </w:rPr>
            </w:pPr>
          </w:p>
        </w:tc>
      </w:tr>
      <w:tr w14:paraId="61AD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694" w:type="dxa"/>
            <w:vAlign w:val="center"/>
          </w:tcPr>
          <w:p w14:paraId="1A811FC6">
            <w:pPr>
              <w:pStyle w:val="49"/>
              <w:jc w:val="center"/>
              <w:rPr>
                <w:i w:val="0"/>
                <w:iCs w:val="0"/>
                <w:color w:val="auto"/>
                <w:highlight w:val="none"/>
              </w:rPr>
            </w:pPr>
            <w:r>
              <w:rPr>
                <w:rFonts w:hint="eastAsia"/>
                <w:i w:val="0"/>
                <w:iCs w:val="0"/>
                <w:color w:val="auto"/>
                <w:highlight w:val="none"/>
              </w:rPr>
              <w:t>2</w:t>
            </w:r>
          </w:p>
        </w:tc>
        <w:tc>
          <w:tcPr>
            <w:tcW w:w="2177" w:type="dxa"/>
            <w:vAlign w:val="center"/>
          </w:tcPr>
          <w:p w14:paraId="7636738C">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1556" w:type="dxa"/>
            <w:vAlign w:val="center"/>
          </w:tcPr>
          <w:p w14:paraId="146330AC">
            <w:pPr>
              <w:pStyle w:val="49"/>
              <w:jc w:val="center"/>
              <w:rPr>
                <w:i w:val="0"/>
                <w:iCs w:val="0"/>
                <w:color w:val="auto"/>
                <w:highlight w:val="none"/>
              </w:rPr>
            </w:pPr>
            <w:r>
              <w:rPr>
                <w:rFonts w:hint="eastAsia"/>
                <w:i w:val="0"/>
                <w:iCs w:val="0"/>
                <w:color w:val="auto"/>
                <w:highlight w:val="none"/>
              </w:rPr>
              <w:t>*</w:t>
            </w:r>
            <w:r>
              <w:rPr>
                <w:i w:val="0"/>
                <w:iCs w:val="0"/>
                <w:color w:val="auto"/>
                <w:highlight w:val="none"/>
              </w:rPr>
              <w:t>*****</w:t>
            </w:r>
          </w:p>
        </w:tc>
        <w:tc>
          <w:tcPr>
            <w:tcW w:w="2046" w:type="dxa"/>
            <w:vAlign w:val="center"/>
          </w:tcPr>
          <w:p w14:paraId="4A1F63CE">
            <w:pPr>
              <w:pStyle w:val="49"/>
              <w:jc w:val="center"/>
              <w:rPr>
                <w:i w:val="0"/>
                <w:iCs w:val="0"/>
                <w:color w:val="auto"/>
                <w:highlight w:val="none"/>
              </w:rPr>
            </w:pPr>
            <w:r>
              <w:rPr>
                <w:rFonts w:hint="eastAsia"/>
                <w:i w:val="0"/>
                <w:iCs w:val="0"/>
                <w:color w:val="auto"/>
                <w:highlight w:val="none"/>
              </w:rPr>
              <w:t>响应/正偏离/负偏离</w:t>
            </w:r>
          </w:p>
        </w:tc>
        <w:tc>
          <w:tcPr>
            <w:tcW w:w="2046" w:type="dxa"/>
            <w:vAlign w:val="center"/>
          </w:tcPr>
          <w:p w14:paraId="2C8E1B46">
            <w:pPr>
              <w:pStyle w:val="49"/>
              <w:jc w:val="center"/>
              <w:rPr>
                <w:i w:val="0"/>
                <w:iCs w:val="0"/>
                <w:color w:val="auto"/>
                <w:highlight w:val="none"/>
              </w:rPr>
            </w:pPr>
          </w:p>
        </w:tc>
      </w:tr>
      <w:tr w14:paraId="54E4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94" w:type="dxa"/>
            <w:vAlign w:val="center"/>
          </w:tcPr>
          <w:p w14:paraId="6A031502">
            <w:pPr>
              <w:pStyle w:val="49"/>
              <w:jc w:val="center"/>
              <w:rPr>
                <w:rFonts w:hint="eastAsia" w:eastAsia="宋体"/>
                <w:i w:val="0"/>
                <w:iCs w:val="0"/>
                <w:color w:val="auto"/>
                <w:highlight w:val="none"/>
                <w:lang w:val="en-US" w:eastAsia="zh-CN"/>
              </w:rPr>
            </w:pPr>
            <w:r>
              <w:rPr>
                <w:rFonts w:hint="eastAsia"/>
                <w:i w:val="0"/>
                <w:iCs w:val="0"/>
                <w:color w:val="auto"/>
                <w:highlight w:val="none"/>
                <w:lang w:val="en-US" w:eastAsia="zh-CN"/>
              </w:rPr>
              <w:t>3</w:t>
            </w:r>
          </w:p>
        </w:tc>
        <w:tc>
          <w:tcPr>
            <w:tcW w:w="2177" w:type="dxa"/>
            <w:shd w:val="clear" w:color="auto" w:fill="auto"/>
            <w:vAlign w:val="center"/>
          </w:tcPr>
          <w:p w14:paraId="7A5ECA98">
            <w:pPr>
              <w:pStyle w:val="49"/>
              <w:jc w:val="center"/>
              <w:rPr>
                <w:rFonts w:ascii="宋体" w:hAnsi="宋体" w:eastAsia="宋体" w:cs="宋体"/>
                <w:i w:val="0"/>
                <w:iCs w:val="0"/>
                <w:color w:val="auto"/>
                <w:kern w:val="2"/>
                <w:sz w:val="21"/>
                <w:szCs w:val="22"/>
                <w:highlight w:val="none"/>
                <w:lang w:val="en-US" w:eastAsia="zh-CN" w:bidi="ar-SA"/>
              </w:rPr>
            </w:pPr>
            <w:r>
              <w:rPr>
                <w:rFonts w:hint="eastAsia"/>
                <w:i w:val="0"/>
                <w:iCs w:val="0"/>
                <w:color w:val="auto"/>
                <w:highlight w:val="none"/>
              </w:rPr>
              <w:t>*</w:t>
            </w:r>
            <w:r>
              <w:rPr>
                <w:i w:val="0"/>
                <w:iCs w:val="0"/>
                <w:color w:val="auto"/>
                <w:highlight w:val="none"/>
              </w:rPr>
              <w:t>*******</w:t>
            </w:r>
          </w:p>
        </w:tc>
        <w:tc>
          <w:tcPr>
            <w:tcW w:w="1556" w:type="dxa"/>
            <w:shd w:val="clear" w:color="auto" w:fill="auto"/>
            <w:vAlign w:val="center"/>
          </w:tcPr>
          <w:p w14:paraId="75A2F5E6">
            <w:pPr>
              <w:pStyle w:val="49"/>
              <w:jc w:val="center"/>
              <w:rPr>
                <w:rFonts w:ascii="宋体" w:hAnsi="宋体" w:eastAsia="宋体" w:cs="宋体"/>
                <w:i w:val="0"/>
                <w:iCs w:val="0"/>
                <w:color w:val="auto"/>
                <w:kern w:val="2"/>
                <w:sz w:val="21"/>
                <w:szCs w:val="22"/>
                <w:highlight w:val="none"/>
                <w:lang w:val="en-US" w:eastAsia="zh-CN" w:bidi="ar-SA"/>
              </w:rPr>
            </w:pPr>
            <w:r>
              <w:rPr>
                <w:rFonts w:hint="eastAsia"/>
                <w:i w:val="0"/>
                <w:iCs w:val="0"/>
                <w:color w:val="auto"/>
                <w:highlight w:val="none"/>
              </w:rPr>
              <w:t>*</w:t>
            </w:r>
            <w:r>
              <w:rPr>
                <w:i w:val="0"/>
                <w:iCs w:val="0"/>
                <w:color w:val="auto"/>
                <w:highlight w:val="none"/>
              </w:rPr>
              <w:t>*****</w:t>
            </w:r>
          </w:p>
        </w:tc>
        <w:tc>
          <w:tcPr>
            <w:tcW w:w="2046" w:type="dxa"/>
            <w:shd w:val="clear" w:color="auto" w:fill="auto"/>
            <w:vAlign w:val="center"/>
          </w:tcPr>
          <w:p w14:paraId="4D634ABD">
            <w:pPr>
              <w:pStyle w:val="49"/>
              <w:jc w:val="center"/>
              <w:rPr>
                <w:rFonts w:ascii="宋体" w:hAnsi="宋体" w:eastAsia="宋体" w:cs="宋体"/>
                <w:i w:val="0"/>
                <w:iCs w:val="0"/>
                <w:color w:val="auto"/>
                <w:kern w:val="2"/>
                <w:sz w:val="21"/>
                <w:szCs w:val="22"/>
                <w:highlight w:val="none"/>
                <w:lang w:val="en-US" w:eastAsia="zh-CN" w:bidi="ar-SA"/>
              </w:rPr>
            </w:pPr>
            <w:r>
              <w:rPr>
                <w:rFonts w:hint="eastAsia"/>
                <w:i w:val="0"/>
                <w:iCs w:val="0"/>
                <w:color w:val="auto"/>
                <w:highlight w:val="none"/>
              </w:rPr>
              <w:t>响应/正偏离/负偏离</w:t>
            </w:r>
          </w:p>
        </w:tc>
        <w:tc>
          <w:tcPr>
            <w:tcW w:w="2046" w:type="dxa"/>
            <w:vAlign w:val="center"/>
          </w:tcPr>
          <w:p w14:paraId="4C9912FE">
            <w:pPr>
              <w:pStyle w:val="49"/>
              <w:jc w:val="center"/>
              <w:rPr>
                <w:i w:val="0"/>
                <w:iCs w:val="0"/>
                <w:color w:val="auto"/>
                <w:highlight w:val="none"/>
              </w:rPr>
            </w:pPr>
          </w:p>
        </w:tc>
      </w:tr>
      <w:tr w14:paraId="3CF2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94" w:type="dxa"/>
            <w:vAlign w:val="center"/>
          </w:tcPr>
          <w:p w14:paraId="5161F094">
            <w:pPr>
              <w:pStyle w:val="49"/>
              <w:jc w:val="center"/>
              <w:rPr>
                <w:i w:val="0"/>
                <w:iCs w:val="0"/>
                <w:color w:val="auto"/>
                <w:highlight w:val="none"/>
              </w:rPr>
            </w:pPr>
          </w:p>
        </w:tc>
        <w:tc>
          <w:tcPr>
            <w:tcW w:w="2177" w:type="dxa"/>
            <w:vAlign w:val="center"/>
          </w:tcPr>
          <w:p w14:paraId="1F7A3389">
            <w:pPr>
              <w:pStyle w:val="49"/>
              <w:jc w:val="center"/>
              <w:rPr>
                <w:i w:val="0"/>
                <w:iCs w:val="0"/>
                <w:color w:val="auto"/>
                <w:highlight w:val="none"/>
              </w:rPr>
            </w:pPr>
          </w:p>
        </w:tc>
        <w:tc>
          <w:tcPr>
            <w:tcW w:w="1556" w:type="dxa"/>
            <w:vAlign w:val="center"/>
          </w:tcPr>
          <w:p w14:paraId="1786E3AD">
            <w:pPr>
              <w:pStyle w:val="49"/>
              <w:jc w:val="center"/>
              <w:rPr>
                <w:i w:val="0"/>
                <w:iCs w:val="0"/>
                <w:color w:val="auto"/>
                <w:highlight w:val="none"/>
              </w:rPr>
            </w:pPr>
          </w:p>
        </w:tc>
        <w:tc>
          <w:tcPr>
            <w:tcW w:w="2046" w:type="dxa"/>
            <w:vAlign w:val="center"/>
          </w:tcPr>
          <w:p w14:paraId="599F8FE1">
            <w:pPr>
              <w:pStyle w:val="49"/>
              <w:jc w:val="center"/>
              <w:rPr>
                <w:i w:val="0"/>
                <w:iCs w:val="0"/>
                <w:color w:val="auto"/>
                <w:highlight w:val="none"/>
              </w:rPr>
            </w:pPr>
          </w:p>
        </w:tc>
        <w:tc>
          <w:tcPr>
            <w:tcW w:w="2046" w:type="dxa"/>
            <w:vAlign w:val="center"/>
          </w:tcPr>
          <w:p w14:paraId="7BE20441">
            <w:pPr>
              <w:pStyle w:val="49"/>
              <w:jc w:val="center"/>
              <w:rPr>
                <w:i w:val="0"/>
                <w:iCs w:val="0"/>
                <w:color w:val="auto"/>
                <w:highlight w:val="none"/>
              </w:rPr>
            </w:pPr>
          </w:p>
        </w:tc>
      </w:tr>
      <w:tr w14:paraId="3C9E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94" w:type="dxa"/>
            <w:vAlign w:val="center"/>
          </w:tcPr>
          <w:p w14:paraId="19B03A04">
            <w:pPr>
              <w:pStyle w:val="49"/>
              <w:jc w:val="center"/>
              <w:rPr>
                <w:i w:val="0"/>
                <w:iCs w:val="0"/>
                <w:color w:val="auto"/>
                <w:highlight w:val="none"/>
              </w:rPr>
            </w:pPr>
          </w:p>
        </w:tc>
        <w:tc>
          <w:tcPr>
            <w:tcW w:w="2177" w:type="dxa"/>
            <w:vAlign w:val="center"/>
          </w:tcPr>
          <w:p w14:paraId="503F1FDA">
            <w:pPr>
              <w:pStyle w:val="49"/>
              <w:jc w:val="center"/>
              <w:rPr>
                <w:i w:val="0"/>
                <w:iCs w:val="0"/>
                <w:color w:val="auto"/>
                <w:highlight w:val="none"/>
              </w:rPr>
            </w:pPr>
          </w:p>
        </w:tc>
        <w:tc>
          <w:tcPr>
            <w:tcW w:w="1556" w:type="dxa"/>
            <w:vAlign w:val="center"/>
          </w:tcPr>
          <w:p w14:paraId="40BF5133">
            <w:pPr>
              <w:pStyle w:val="49"/>
              <w:jc w:val="center"/>
              <w:rPr>
                <w:i w:val="0"/>
                <w:iCs w:val="0"/>
                <w:color w:val="auto"/>
                <w:highlight w:val="none"/>
              </w:rPr>
            </w:pPr>
          </w:p>
        </w:tc>
        <w:tc>
          <w:tcPr>
            <w:tcW w:w="2046" w:type="dxa"/>
            <w:vAlign w:val="center"/>
          </w:tcPr>
          <w:p w14:paraId="2D955E41">
            <w:pPr>
              <w:pStyle w:val="49"/>
              <w:jc w:val="center"/>
              <w:rPr>
                <w:i w:val="0"/>
                <w:iCs w:val="0"/>
                <w:color w:val="auto"/>
                <w:highlight w:val="none"/>
              </w:rPr>
            </w:pPr>
          </w:p>
        </w:tc>
        <w:tc>
          <w:tcPr>
            <w:tcW w:w="2046" w:type="dxa"/>
            <w:vAlign w:val="center"/>
          </w:tcPr>
          <w:p w14:paraId="32A17DD8">
            <w:pPr>
              <w:pStyle w:val="49"/>
              <w:jc w:val="center"/>
              <w:rPr>
                <w:i w:val="0"/>
                <w:iCs w:val="0"/>
                <w:color w:val="auto"/>
                <w:highlight w:val="none"/>
              </w:rPr>
            </w:pPr>
          </w:p>
        </w:tc>
      </w:tr>
      <w:tr w14:paraId="205B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94" w:type="dxa"/>
            <w:vAlign w:val="center"/>
          </w:tcPr>
          <w:p w14:paraId="1922C344">
            <w:pPr>
              <w:pStyle w:val="49"/>
              <w:jc w:val="center"/>
              <w:rPr>
                <w:i w:val="0"/>
                <w:iCs w:val="0"/>
                <w:color w:val="auto"/>
                <w:highlight w:val="none"/>
              </w:rPr>
            </w:pPr>
          </w:p>
        </w:tc>
        <w:tc>
          <w:tcPr>
            <w:tcW w:w="2177" w:type="dxa"/>
            <w:vAlign w:val="center"/>
          </w:tcPr>
          <w:p w14:paraId="7197921E">
            <w:pPr>
              <w:pStyle w:val="49"/>
              <w:jc w:val="center"/>
              <w:rPr>
                <w:i w:val="0"/>
                <w:iCs w:val="0"/>
                <w:color w:val="auto"/>
                <w:highlight w:val="none"/>
              </w:rPr>
            </w:pPr>
          </w:p>
        </w:tc>
        <w:tc>
          <w:tcPr>
            <w:tcW w:w="1556" w:type="dxa"/>
            <w:vAlign w:val="center"/>
          </w:tcPr>
          <w:p w14:paraId="6E9B3983">
            <w:pPr>
              <w:pStyle w:val="49"/>
              <w:jc w:val="center"/>
              <w:rPr>
                <w:i w:val="0"/>
                <w:iCs w:val="0"/>
                <w:color w:val="auto"/>
                <w:highlight w:val="none"/>
              </w:rPr>
            </w:pPr>
          </w:p>
        </w:tc>
        <w:tc>
          <w:tcPr>
            <w:tcW w:w="2046" w:type="dxa"/>
            <w:vAlign w:val="center"/>
          </w:tcPr>
          <w:p w14:paraId="517919FC">
            <w:pPr>
              <w:pStyle w:val="49"/>
              <w:jc w:val="center"/>
              <w:rPr>
                <w:i w:val="0"/>
                <w:iCs w:val="0"/>
                <w:color w:val="auto"/>
                <w:highlight w:val="none"/>
              </w:rPr>
            </w:pPr>
          </w:p>
        </w:tc>
        <w:tc>
          <w:tcPr>
            <w:tcW w:w="2046" w:type="dxa"/>
            <w:vAlign w:val="center"/>
          </w:tcPr>
          <w:p w14:paraId="1DB4AD3C">
            <w:pPr>
              <w:pStyle w:val="49"/>
              <w:jc w:val="center"/>
              <w:rPr>
                <w:i w:val="0"/>
                <w:iCs w:val="0"/>
                <w:color w:val="auto"/>
                <w:highlight w:val="none"/>
              </w:rPr>
            </w:pPr>
          </w:p>
        </w:tc>
      </w:tr>
      <w:tr w14:paraId="0C34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694" w:type="dxa"/>
            <w:vAlign w:val="center"/>
          </w:tcPr>
          <w:p w14:paraId="090619F3">
            <w:pPr>
              <w:pStyle w:val="49"/>
              <w:jc w:val="center"/>
              <w:rPr>
                <w:i w:val="0"/>
                <w:iCs w:val="0"/>
                <w:color w:val="auto"/>
                <w:highlight w:val="none"/>
              </w:rPr>
            </w:pPr>
            <w:r>
              <w:rPr>
                <w:rFonts w:hint="eastAsia"/>
                <w:i w:val="0"/>
                <w:iCs w:val="0"/>
                <w:color w:val="auto"/>
                <w:highlight w:val="none"/>
              </w:rPr>
              <w:t>……</w:t>
            </w:r>
          </w:p>
        </w:tc>
        <w:tc>
          <w:tcPr>
            <w:tcW w:w="2177" w:type="dxa"/>
            <w:vAlign w:val="center"/>
          </w:tcPr>
          <w:p w14:paraId="501B531C">
            <w:pPr>
              <w:pStyle w:val="49"/>
              <w:jc w:val="center"/>
              <w:rPr>
                <w:i w:val="0"/>
                <w:iCs w:val="0"/>
                <w:color w:val="auto"/>
                <w:highlight w:val="none"/>
              </w:rPr>
            </w:pPr>
            <w:r>
              <w:rPr>
                <w:rFonts w:hint="eastAsia"/>
                <w:i w:val="0"/>
                <w:iCs w:val="0"/>
                <w:color w:val="auto"/>
                <w:highlight w:val="none"/>
              </w:rPr>
              <w:t>…………</w:t>
            </w:r>
          </w:p>
        </w:tc>
        <w:tc>
          <w:tcPr>
            <w:tcW w:w="1556" w:type="dxa"/>
            <w:vAlign w:val="center"/>
          </w:tcPr>
          <w:p w14:paraId="33A59128">
            <w:pPr>
              <w:pStyle w:val="49"/>
              <w:jc w:val="center"/>
              <w:rPr>
                <w:i w:val="0"/>
                <w:iCs w:val="0"/>
                <w:color w:val="auto"/>
                <w:highlight w:val="none"/>
              </w:rPr>
            </w:pPr>
            <w:r>
              <w:rPr>
                <w:rFonts w:hint="eastAsia"/>
                <w:i w:val="0"/>
                <w:iCs w:val="0"/>
                <w:color w:val="auto"/>
                <w:highlight w:val="none"/>
              </w:rPr>
              <w:t>………………</w:t>
            </w:r>
          </w:p>
        </w:tc>
        <w:tc>
          <w:tcPr>
            <w:tcW w:w="2046" w:type="dxa"/>
            <w:vAlign w:val="center"/>
          </w:tcPr>
          <w:p w14:paraId="5686F0C5">
            <w:pPr>
              <w:pStyle w:val="49"/>
              <w:jc w:val="center"/>
              <w:rPr>
                <w:i w:val="0"/>
                <w:iCs w:val="0"/>
                <w:color w:val="auto"/>
                <w:highlight w:val="none"/>
              </w:rPr>
            </w:pPr>
            <w:r>
              <w:rPr>
                <w:rFonts w:hint="eastAsia"/>
                <w:i w:val="0"/>
                <w:iCs w:val="0"/>
                <w:color w:val="auto"/>
                <w:highlight w:val="none"/>
              </w:rPr>
              <w:t>…………</w:t>
            </w:r>
          </w:p>
        </w:tc>
        <w:tc>
          <w:tcPr>
            <w:tcW w:w="2046" w:type="dxa"/>
            <w:vAlign w:val="center"/>
          </w:tcPr>
          <w:p w14:paraId="0E626BC3">
            <w:pPr>
              <w:pStyle w:val="49"/>
              <w:jc w:val="center"/>
              <w:rPr>
                <w:i w:val="0"/>
                <w:iCs w:val="0"/>
                <w:color w:val="auto"/>
                <w:highlight w:val="none"/>
              </w:rPr>
            </w:pPr>
          </w:p>
        </w:tc>
      </w:tr>
    </w:tbl>
    <w:p w14:paraId="192D50C4">
      <w:pPr>
        <w:ind w:firstLine="480" w:firstLineChars="200"/>
        <w:rPr>
          <w:rFonts w:cs="仿宋_GB2312"/>
          <w:i w:val="0"/>
          <w:iCs w:val="0"/>
          <w:color w:val="auto"/>
          <w:szCs w:val="24"/>
          <w:highlight w:val="none"/>
        </w:rPr>
      </w:pPr>
    </w:p>
    <w:p w14:paraId="7A38ED55">
      <w:pPr>
        <w:ind w:right="1008" w:firstLine="5040" w:firstLineChars="20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34F76E61">
      <w:pPr>
        <w:ind w:right="1008" w:firstLine="5040" w:firstLineChars="2000"/>
        <w:rPr>
          <w:rFonts w:hint="default" w:eastAsia="宋体"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48F5A08D">
      <w:pPr>
        <w:ind w:firstLine="420"/>
        <w:rPr>
          <w:rFonts w:hint="eastAsia" w:cs="仿宋_GB2312"/>
          <w:i w:val="0"/>
          <w:iCs w:val="0"/>
          <w:color w:val="auto"/>
          <w:szCs w:val="24"/>
          <w:highlight w:val="none"/>
          <w:lang w:val="en-US" w:eastAsia="zh-CN"/>
        </w:rPr>
      </w:pPr>
      <w:bookmarkStart w:id="727" w:name="_Toc163492935"/>
    </w:p>
    <w:p w14:paraId="5CF2ADE7">
      <w:pPr>
        <w:ind w:firstLine="420" w:firstLineChars="200"/>
        <w:rPr>
          <w:rFonts w:cs="仿宋_GB2312"/>
          <w:color w:val="auto"/>
          <w:szCs w:val="24"/>
          <w:highlight w:val="none"/>
        </w:rPr>
      </w:pPr>
      <w:r>
        <w:rPr>
          <w:rFonts w:hint="eastAsia" w:cs="仿宋_GB2312"/>
          <w:color w:val="auto"/>
          <w:sz w:val="21"/>
          <w:szCs w:val="21"/>
          <w:highlight w:val="none"/>
        </w:rPr>
        <w:t>注：</w:t>
      </w:r>
      <w:r>
        <w:rPr>
          <w:rFonts w:hint="eastAsia" w:cs="仿宋_GB2312"/>
          <w:color w:val="auto"/>
          <w:sz w:val="21"/>
          <w:szCs w:val="21"/>
          <w:highlight w:val="none"/>
          <w:lang w:val="en-US" w:eastAsia="zh-CN"/>
        </w:rPr>
        <w:t>供应商</w:t>
      </w:r>
      <w:r>
        <w:rPr>
          <w:rFonts w:hint="eastAsia" w:cs="仿宋_GB2312"/>
          <w:color w:val="auto"/>
          <w:sz w:val="21"/>
          <w:szCs w:val="21"/>
          <w:highlight w:val="none"/>
        </w:rPr>
        <w:t>应按照</w:t>
      </w:r>
      <w:r>
        <w:rPr>
          <w:rFonts w:hint="eastAsia" w:cs="仿宋_GB2312"/>
          <w:color w:val="auto"/>
          <w:sz w:val="21"/>
          <w:szCs w:val="21"/>
          <w:highlight w:val="none"/>
          <w:lang w:val="en-US" w:eastAsia="zh-CN"/>
        </w:rPr>
        <w:t>竞争性磋商</w:t>
      </w:r>
      <w:r>
        <w:rPr>
          <w:rFonts w:hint="eastAsia" w:cs="仿宋_GB2312"/>
          <w:color w:val="auto"/>
          <w:sz w:val="21"/>
          <w:szCs w:val="21"/>
          <w:highlight w:val="none"/>
        </w:rPr>
        <w:t>文件“第三章 采购需求”</w:t>
      </w:r>
      <w:r>
        <w:rPr>
          <w:rFonts w:hint="eastAsia" w:cs="仿宋_GB2312"/>
          <w:color w:val="auto"/>
          <w:sz w:val="21"/>
          <w:szCs w:val="21"/>
          <w:highlight w:val="none"/>
          <w:lang w:val="en-US" w:eastAsia="zh-CN"/>
        </w:rPr>
        <w:t>中“二、采购需求及服务内容 （二）采购服务标准及配套货物清单”中的“技术要求”和“三、技术要求与商务要求”中的“（一）服务技术要求”</w:t>
      </w:r>
      <w:r>
        <w:rPr>
          <w:rFonts w:hint="eastAsia" w:cs="仿宋_GB2312"/>
          <w:color w:val="auto"/>
          <w:sz w:val="21"/>
          <w:szCs w:val="21"/>
          <w:highlight w:val="none"/>
        </w:rPr>
        <w:t>填写</w:t>
      </w:r>
      <w:r>
        <w:rPr>
          <w:rFonts w:hint="eastAsia" w:cs="仿宋_GB2312"/>
          <w:color w:val="auto"/>
          <w:sz w:val="21"/>
          <w:szCs w:val="21"/>
          <w:highlight w:val="none"/>
          <w:lang w:eastAsia="zh-CN"/>
        </w:rPr>
        <w:t>：</w:t>
      </w:r>
    </w:p>
    <w:p w14:paraId="4195B40B">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 xml:space="preserve">1.“竞争性磋商文件技术要求条款”栏应详细列明竞争性磋商文件中的技术要求。 </w:t>
      </w:r>
    </w:p>
    <w:p w14:paraId="230CE2E4">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2.“响应文件内容对应简述”栏填写供应商对竞争性磋商文件提出的技术条款作出的明确响应，并列明具体响应数值或内容，只注明符合、满足等无具体内容表述的，将视为未实质性满足竞争性磋商文件要求</w:t>
      </w:r>
      <w:r>
        <w:rPr>
          <w:rFonts w:hint="default" w:cs="仿宋_GB2312"/>
          <w:color w:val="auto"/>
          <w:sz w:val="21"/>
          <w:szCs w:val="21"/>
          <w:highlight w:val="none"/>
          <w:lang w:val="en-US" w:eastAsia="zh-CN"/>
        </w:rPr>
        <w:t>，</w:t>
      </w:r>
      <w:r>
        <w:rPr>
          <w:rFonts w:hint="eastAsia" w:cs="仿宋_GB2312"/>
          <w:b/>
          <w:bCs/>
          <w:color w:val="auto"/>
          <w:sz w:val="21"/>
          <w:szCs w:val="21"/>
          <w:highlight w:val="none"/>
          <w:lang w:val="en-US" w:eastAsia="zh-CN"/>
        </w:rPr>
        <w:t>响应</w:t>
      </w:r>
      <w:r>
        <w:rPr>
          <w:rFonts w:hint="default" w:cs="仿宋_GB2312"/>
          <w:b/>
          <w:bCs/>
          <w:color w:val="auto"/>
          <w:sz w:val="21"/>
          <w:szCs w:val="21"/>
          <w:highlight w:val="none"/>
          <w:lang w:val="en-US" w:eastAsia="zh-CN"/>
        </w:rPr>
        <w:t>无效</w:t>
      </w:r>
      <w:r>
        <w:rPr>
          <w:rFonts w:hint="eastAsia" w:cs="仿宋_GB2312"/>
          <w:color w:val="auto"/>
          <w:sz w:val="21"/>
          <w:szCs w:val="21"/>
          <w:highlight w:val="none"/>
          <w:lang w:val="en-US" w:eastAsia="zh-CN"/>
        </w:rPr>
        <w:t xml:space="preserve">。 </w:t>
      </w:r>
    </w:p>
    <w:p w14:paraId="34D540F0">
      <w:pPr>
        <w:ind w:firstLine="420" w:firstLineChars="200"/>
        <w:rPr>
          <w:rFonts w:hint="eastAsia" w:cs="仿宋_GB2312"/>
          <w:color w:val="auto"/>
          <w:sz w:val="21"/>
          <w:szCs w:val="21"/>
          <w:highlight w:val="none"/>
        </w:rPr>
      </w:pPr>
      <w:r>
        <w:rPr>
          <w:rFonts w:hint="eastAsia" w:cs="仿宋_GB2312"/>
          <w:color w:val="auto"/>
          <w:sz w:val="21"/>
          <w:szCs w:val="21"/>
          <w:highlight w:val="none"/>
          <w:lang w:val="en-US" w:eastAsia="zh-CN"/>
        </w:rPr>
        <w:t xml:space="preserve">3.“响应情况”栏应据实填写“响应”、“正偏离”或“负偏离”。 </w:t>
      </w:r>
    </w:p>
    <w:p w14:paraId="12AA6FE8">
      <w:pPr>
        <w:ind w:firstLine="420"/>
        <w:rPr>
          <w:rFonts w:hint="default" w:cs="仿宋_GB2312"/>
          <w:color w:val="auto"/>
          <w:sz w:val="21"/>
          <w:szCs w:val="21"/>
          <w:highlight w:val="none"/>
          <w:lang w:val="en-US" w:eastAsia="zh-CN"/>
        </w:rPr>
      </w:pPr>
      <w:r>
        <w:rPr>
          <w:rFonts w:hint="eastAsia" w:cs="仿宋_GB2312"/>
          <w:color w:val="auto"/>
          <w:sz w:val="21"/>
          <w:szCs w:val="21"/>
          <w:highlight w:val="none"/>
          <w:lang w:val="en-US" w:eastAsia="zh-CN"/>
        </w:rPr>
        <w:t>4对竞争性磋商文件中的所有技术要求，除本表所列明的所有偏离外，均视作供应商</w:t>
      </w:r>
      <w:r>
        <w:rPr>
          <w:rFonts w:hint="default" w:cs="仿宋_GB2312"/>
          <w:color w:val="auto"/>
          <w:sz w:val="21"/>
          <w:szCs w:val="21"/>
          <w:highlight w:val="none"/>
          <w:lang w:val="en-US" w:eastAsia="zh-CN"/>
        </w:rPr>
        <w:t>已对之理解和响应。此表中若无任何文字说明，内容为空白的，</w:t>
      </w:r>
      <w:r>
        <w:rPr>
          <w:rFonts w:hint="eastAsia" w:cs="仿宋_GB2312"/>
          <w:b/>
          <w:bCs/>
          <w:color w:val="auto"/>
          <w:sz w:val="21"/>
          <w:szCs w:val="21"/>
          <w:highlight w:val="none"/>
          <w:lang w:val="en-US" w:eastAsia="zh-CN"/>
        </w:rPr>
        <w:t>响应</w:t>
      </w:r>
      <w:r>
        <w:rPr>
          <w:rFonts w:hint="default" w:cs="仿宋_GB2312"/>
          <w:b/>
          <w:bCs/>
          <w:color w:val="auto"/>
          <w:sz w:val="21"/>
          <w:szCs w:val="21"/>
          <w:highlight w:val="none"/>
          <w:lang w:val="en-US" w:eastAsia="zh-CN"/>
        </w:rPr>
        <w:t>无效</w:t>
      </w:r>
      <w:r>
        <w:rPr>
          <w:rFonts w:hint="default" w:cs="仿宋_GB2312"/>
          <w:color w:val="auto"/>
          <w:sz w:val="21"/>
          <w:szCs w:val="21"/>
          <w:highlight w:val="none"/>
          <w:lang w:val="en-US" w:eastAsia="zh-CN"/>
        </w:rPr>
        <w:t>。</w:t>
      </w:r>
    </w:p>
    <w:p w14:paraId="4B297896">
      <w:pPr>
        <w:ind w:firstLine="420"/>
        <w:rPr>
          <w:rFonts w:cs="仿宋_GB2312"/>
          <w:i w:val="0"/>
          <w:iCs w:val="0"/>
          <w:color w:val="auto"/>
          <w:sz w:val="21"/>
          <w:szCs w:val="21"/>
          <w:highlight w:val="none"/>
        </w:rPr>
      </w:pPr>
      <w:r>
        <w:rPr>
          <w:rFonts w:cs="仿宋_GB2312"/>
          <w:i w:val="0"/>
          <w:iCs w:val="0"/>
          <w:color w:val="auto"/>
          <w:sz w:val="21"/>
          <w:szCs w:val="21"/>
          <w:highlight w:val="none"/>
        </w:rPr>
        <w:br w:type="page"/>
      </w:r>
    </w:p>
    <w:p w14:paraId="3202408C">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728" w:name="_Toc8317"/>
      <w:r>
        <w:rPr>
          <w:rFonts w:hint="eastAsia" w:cs="宋体"/>
          <w:b/>
          <w:bCs/>
          <w:i w:val="0"/>
          <w:iCs w:val="0"/>
          <w:color w:val="auto"/>
          <w:kern w:val="2"/>
          <w:sz w:val="32"/>
          <w:szCs w:val="32"/>
          <w:highlight w:val="none"/>
          <w:lang w:val="en-US" w:eastAsia="zh-CN" w:bidi="ar-SA"/>
        </w:rPr>
        <w:t>九</w:t>
      </w:r>
      <w:r>
        <w:rPr>
          <w:rFonts w:hint="eastAsia" w:ascii="等线 Light" w:hAnsi="等线 Light" w:eastAsia="宋体" w:cs="宋体"/>
          <w:b/>
          <w:bCs/>
          <w:i w:val="0"/>
          <w:iCs w:val="0"/>
          <w:color w:val="auto"/>
          <w:kern w:val="2"/>
          <w:sz w:val="32"/>
          <w:szCs w:val="32"/>
          <w:highlight w:val="none"/>
          <w:lang w:val="en-US" w:eastAsia="zh-CN" w:bidi="ar-SA"/>
        </w:rPr>
        <w:t>、技术方案</w:t>
      </w:r>
      <w:bookmarkEnd w:id="727"/>
      <w:bookmarkEnd w:id="728"/>
    </w:p>
    <w:p w14:paraId="6A352614">
      <w:pPr>
        <w:pStyle w:val="38"/>
        <w:rPr>
          <w:i w:val="0"/>
          <w:iCs w:val="0"/>
          <w:color w:val="auto"/>
          <w:highlight w:val="none"/>
        </w:rPr>
      </w:pPr>
      <w:r>
        <w:rPr>
          <w:rFonts w:hint="eastAsia"/>
          <w:i w:val="0"/>
          <w:iCs w:val="0"/>
          <w:color w:val="auto"/>
          <w:highlight w:val="none"/>
          <w:lang w:val="en-US" w:eastAsia="zh-CN"/>
        </w:rPr>
        <w:t>供应商</w:t>
      </w:r>
      <w:r>
        <w:rPr>
          <w:rFonts w:hint="eastAsia"/>
          <w:i w:val="0"/>
          <w:iCs w:val="0"/>
          <w:color w:val="auto"/>
          <w:highlight w:val="none"/>
        </w:rPr>
        <w:t>应按照</w:t>
      </w:r>
      <w:r>
        <w:rPr>
          <w:rFonts w:hint="eastAsia"/>
          <w:i w:val="0"/>
          <w:iCs w:val="0"/>
          <w:color w:val="auto"/>
          <w:highlight w:val="none"/>
          <w:lang w:val="en-US" w:eastAsia="zh-CN"/>
        </w:rPr>
        <w:t>竞争性磋商</w:t>
      </w:r>
      <w:r>
        <w:rPr>
          <w:rFonts w:hint="eastAsia"/>
          <w:i w:val="0"/>
          <w:iCs w:val="0"/>
          <w:color w:val="auto"/>
          <w:highlight w:val="none"/>
        </w:rPr>
        <w:t>文件的要求，提供详细的服务方案，包括文字描述或图表显示。格式自拟。</w:t>
      </w:r>
    </w:p>
    <w:p w14:paraId="763F27E7">
      <w:pPr>
        <w:pStyle w:val="38"/>
        <w:rPr>
          <w:i w:val="0"/>
          <w:iCs w:val="0"/>
          <w:color w:val="auto"/>
          <w:highlight w:val="none"/>
        </w:rPr>
      </w:pPr>
      <w:r>
        <w:rPr>
          <w:i w:val="0"/>
          <w:iCs w:val="0"/>
          <w:color w:val="auto"/>
          <w:highlight w:val="none"/>
        </w:rPr>
        <w:br w:type="page"/>
      </w:r>
    </w:p>
    <w:p w14:paraId="58A2AB05">
      <w:pPr>
        <w:pStyle w:val="5"/>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rPr>
          <w:rFonts w:hint="eastAsia" w:ascii="等线 Light" w:hAnsi="等线 Light" w:eastAsia="宋体" w:cs="宋体"/>
          <w:b/>
          <w:bCs/>
          <w:i w:val="0"/>
          <w:iCs w:val="0"/>
          <w:color w:val="auto"/>
          <w:kern w:val="2"/>
          <w:sz w:val="32"/>
          <w:szCs w:val="32"/>
          <w:highlight w:val="none"/>
          <w:lang w:val="en-US" w:eastAsia="zh-CN" w:bidi="ar-SA"/>
        </w:rPr>
      </w:pPr>
      <w:bookmarkStart w:id="729" w:name="_Toc163492936"/>
      <w:bookmarkStart w:id="730" w:name="_Toc26972"/>
      <w:r>
        <w:rPr>
          <w:rFonts w:hint="eastAsia" w:ascii="等线 Light" w:hAnsi="等线 Light" w:eastAsia="宋体" w:cs="宋体"/>
          <w:b/>
          <w:bCs/>
          <w:i w:val="0"/>
          <w:iCs w:val="0"/>
          <w:color w:val="auto"/>
          <w:kern w:val="2"/>
          <w:sz w:val="32"/>
          <w:szCs w:val="32"/>
          <w:highlight w:val="none"/>
          <w:lang w:val="en-US" w:eastAsia="zh-CN" w:bidi="ar-SA"/>
        </w:rPr>
        <w:t>十、其他文件</w:t>
      </w:r>
      <w:bookmarkEnd w:id="729"/>
      <w:bookmarkEnd w:id="730"/>
    </w:p>
    <w:p w14:paraId="42E24815">
      <w:pPr>
        <w:tabs>
          <w:tab w:val="left" w:pos="3600"/>
        </w:tabs>
        <w:jc w:val="left"/>
        <w:rPr>
          <w:rFonts w:hint="eastAsia"/>
          <w:b/>
          <w:bCs/>
          <w:i w:val="0"/>
          <w:iCs w:val="0"/>
          <w:color w:val="auto"/>
          <w:sz w:val="24"/>
          <w:szCs w:val="24"/>
          <w:highlight w:val="none"/>
          <w:shd w:val="clear" w:color="auto" w:fill="FFFFFF"/>
          <w:lang w:val="en-US" w:eastAsia="zh-CN"/>
        </w:rPr>
      </w:pPr>
      <w:r>
        <w:rPr>
          <w:rFonts w:hint="eastAsia"/>
          <w:b/>
          <w:bCs/>
          <w:i w:val="0"/>
          <w:iCs w:val="0"/>
          <w:color w:val="auto"/>
          <w:sz w:val="24"/>
          <w:szCs w:val="24"/>
          <w:highlight w:val="none"/>
          <w:shd w:val="clear" w:color="auto" w:fill="FFFFFF"/>
          <w:lang w:val="en-US" w:eastAsia="zh-CN"/>
        </w:rPr>
        <w:t>（一）配套货物需求响应偏离表</w:t>
      </w:r>
    </w:p>
    <w:p w14:paraId="47A6F1DA">
      <w:pPr>
        <w:rPr>
          <w:rFonts w:cs="仿宋_GB2312"/>
          <w:i w:val="0"/>
          <w:iCs w:val="0"/>
          <w:color w:val="auto"/>
          <w:szCs w:val="24"/>
          <w:highlight w:val="none"/>
        </w:rPr>
      </w:pPr>
      <w:r>
        <w:rPr>
          <w:rFonts w:hint="eastAsia" w:cs="仿宋_GB2312"/>
          <w:i w:val="0"/>
          <w:iCs w:val="0"/>
          <w:color w:val="auto"/>
          <w:szCs w:val="24"/>
          <w:highlight w:val="none"/>
        </w:rPr>
        <w:t xml:space="preserve">项目名称：                                         </w:t>
      </w:r>
    </w:p>
    <w:p w14:paraId="48C66056">
      <w:pPr>
        <w:tabs>
          <w:tab w:val="left" w:pos="3600"/>
        </w:tabs>
        <w:jc w:val="left"/>
        <w:rPr>
          <w:rFonts w:hint="eastAsia"/>
          <w:b/>
          <w:bCs/>
          <w:i w:val="0"/>
          <w:iCs w:val="0"/>
          <w:color w:val="auto"/>
          <w:sz w:val="24"/>
          <w:szCs w:val="24"/>
          <w:highlight w:val="none"/>
          <w:shd w:val="clear" w:color="auto" w:fill="FFFFFF"/>
          <w:lang w:val="en-US" w:eastAsia="zh-CN"/>
        </w:rPr>
      </w:pPr>
      <w:r>
        <w:rPr>
          <w:rFonts w:hint="eastAsia" w:cs="仿宋_GB2312"/>
          <w:i w:val="0"/>
          <w:iCs w:val="0"/>
          <w:color w:val="auto"/>
          <w:szCs w:val="24"/>
          <w:highlight w:val="none"/>
        </w:rPr>
        <w:t>项目编号</w:t>
      </w:r>
      <w:r>
        <w:rPr>
          <w:rFonts w:hint="eastAsia" w:cs="仿宋_GB2312"/>
          <w:i w:val="0"/>
          <w:iCs w:val="0"/>
          <w:color w:val="auto"/>
          <w:szCs w:val="24"/>
          <w:highlight w:val="none"/>
          <w:lang w:val="en-US" w:eastAsia="zh-CN"/>
        </w:rPr>
        <w:t>/</w:t>
      </w:r>
      <w:r>
        <w:rPr>
          <w:rFonts w:hint="eastAsia" w:cs="仿宋_GB2312"/>
          <w:i w:val="0"/>
          <w:iCs w:val="0"/>
          <w:color w:val="auto"/>
          <w:szCs w:val="24"/>
          <w:highlight w:val="none"/>
          <w:lang w:val="zh-CN"/>
        </w:rPr>
        <w:t>包号</w:t>
      </w:r>
      <w:r>
        <w:rPr>
          <w:rFonts w:hint="eastAsia" w:cs="仿宋_GB2312"/>
          <w:i w:val="0"/>
          <w:iCs w:val="0"/>
          <w:color w:val="auto"/>
          <w:szCs w:val="24"/>
          <w:highlight w:val="none"/>
        </w:rPr>
        <w:t xml:space="preserve">：         </w:t>
      </w:r>
    </w:p>
    <w:tbl>
      <w:tblPr>
        <w:tblStyle w:val="31"/>
        <w:tblW w:w="50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2761"/>
        <w:gridCol w:w="2799"/>
        <w:gridCol w:w="1227"/>
        <w:gridCol w:w="1804"/>
      </w:tblGrid>
      <w:tr w14:paraId="6680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2" w:type="pct"/>
            <w:tcBorders>
              <w:top w:val="single" w:color="auto" w:sz="4" w:space="0"/>
              <w:left w:val="single" w:color="auto" w:sz="4" w:space="0"/>
              <w:bottom w:val="single" w:color="auto" w:sz="4" w:space="0"/>
              <w:right w:val="single" w:color="auto" w:sz="4" w:space="0"/>
            </w:tcBorders>
            <w:noWrap w:val="0"/>
            <w:vAlign w:val="center"/>
          </w:tcPr>
          <w:p w14:paraId="1262BEE6">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序号</w:t>
            </w:r>
          </w:p>
        </w:tc>
        <w:tc>
          <w:tcPr>
            <w:tcW w:w="1522" w:type="pct"/>
            <w:tcBorders>
              <w:top w:val="single" w:color="auto" w:sz="4" w:space="0"/>
              <w:left w:val="nil"/>
              <w:bottom w:val="single" w:color="auto" w:sz="4" w:space="0"/>
              <w:right w:val="single" w:color="auto" w:sz="4" w:space="0"/>
            </w:tcBorders>
            <w:noWrap w:val="0"/>
            <w:vAlign w:val="center"/>
          </w:tcPr>
          <w:p w14:paraId="1B2A0BC1">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采购需求</w:t>
            </w:r>
            <w:r>
              <w:rPr>
                <w:rFonts w:hint="eastAsia" w:ascii="宋体" w:hAnsi="宋体" w:eastAsia="宋体" w:cs="宋体"/>
                <w:b w:val="0"/>
                <w:bCs w:val="0"/>
                <w:color w:val="auto"/>
                <w:sz w:val="21"/>
                <w:szCs w:val="21"/>
                <w:highlight w:val="none"/>
                <w:lang w:val="en-US" w:eastAsia="zh-CN"/>
              </w:rPr>
              <w:t>配套货物</w:t>
            </w:r>
            <w:r>
              <w:rPr>
                <w:rFonts w:hint="eastAsia" w:ascii="宋体" w:hAnsi="宋体" w:eastAsia="宋体" w:cs="宋体"/>
                <w:b w:val="0"/>
                <w:bCs w:val="0"/>
                <w:color w:val="auto"/>
                <w:sz w:val="21"/>
                <w:szCs w:val="21"/>
                <w:highlight w:val="none"/>
              </w:rPr>
              <w:t>技术指标</w:t>
            </w:r>
          </w:p>
        </w:tc>
        <w:tc>
          <w:tcPr>
            <w:tcW w:w="1543" w:type="pct"/>
            <w:tcBorders>
              <w:top w:val="single" w:color="auto" w:sz="4" w:space="0"/>
              <w:left w:val="nil"/>
              <w:bottom w:val="single" w:color="auto" w:sz="4" w:space="0"/>
              <w:right w:val="single" w:color="auto" w:sz="4" w:space="0"/>
            </w:tcBorders>
            <w:noWrap w:val="0"/>
            <w:vAlign w:val="center"/>
          </w:tcPr>
          <w:p w14:paraId="26E83E0B">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投标响应</w:t>
            </w:r>
            <w:r>
              <w:rPr>
                <w:rFonts w:hint="eastAsia" w:ascii="宋体" w:hAnsi="宋体" w:eastAsia="宋体" w:cs="宋体"/>
                <w:b w:val="0"/>
                <w:bCs w:val="0"/>
                <w:color w:val="auto"/>
                <w:sz w:val="21"/>
                <w:szCs w:val="21"/>
                <w:highlight w:val="none"/>
                <w:lang w:val="en-US" w:eastAsia="zh-CN"/>
              </w:rPr>
              <w:t>配套货物</w:t>
            </w:r>
            <w:r>
              <w:rPr>
                <w:rFonts w:hint="eastAsia" w:ascii="宋体" w:hAnsi="宋体" w:eastAsia="宋体" w:cs="宋体"/>
                <w:b w:val="0"/>
                <w:bCs w:val="0"/>
                <w:color w:val="auto"/>
                <w:sz w:val="21"/>
                <w:szCs w:val="21"/>
                <w:highlight w:val="none"/>
              </w:rPr>
              <w:t>技术指标</w:t>
            </w:r>
          </w:p>
        </w:tc>
        <w:tc>
          <w:tcPr>
            <w:tcW w:w="676" w:type="pct"/>
            <w:tcBorders>
              <w:top w:val="single" w:color="auto" w:sz="4" w:space="0"/>
              <w:left w:val="nil"/>
              <w:bottom w:val="single" w:color="auto" w:sz="4" w:space="0"/>
              <w:right w:val="single" w:color="auto" w:sz="4" w:space="0"/>
            </w:tcBorders>
            <w:noWrap w:val="0"/>
            <w:vAlign w:val="center"/>
          </w:tcPr>
          <w:p w14:paraId="2BCD340A">
            <w:pPr>
              <w:pStyle w:val="49"/>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sz w:val="21"/>
                <w:szCs w:val="21"/>
                <w:highlight w:val="none"/>
              </w:rPr>
              <w:t>响应情况</w:t>
            </w:r>
          </w:p>
        </w:tc>
        <w:tc>
          <w:tcPr>
            <w:tcW w:w="994" w:type="pct"/>
            <w:tcBorders>
              <w:top w:val="single" w:color="auto" w:sz="4" w:space="0"/>
              <w:left w:val="nil"/>
              <w:bottom w:val="single" w:color="auto" w:sz="4" w:space="0"/>
              <w:right w:val="single" w:color="auto" w:sz="4" w:space="0"/>
            </w:tcBorders>
            <w:noWrap w:val="0"/>
            <w:vAlign w:val="center"/>
          </w:tcPr>
          <w:p w14:paraId="500996C9">
            <w:pPr>
              <w:pStyle w:val="49"/>
              <w:spacing w:line="360" w:lineRule="auto"/>
              <w:jc w:val="center"/>
              <w:rPr>
                <w:rFonts w:hint="eastAsia" w:ascii="宋体" w:hAnsi="宋体" w:eastAsia="宋体" w:cs="宋体"/>
                <w:b w:val="0"/>
                <w:bCs w:val="0"/>
                <w:color w:val="auto"/>
                <w:sz w:val="21"/>
                <w:szCs w:val="21"/>
                <w:highlight w:val="none"/>
              </w:rPr>
            </w:pPr>
            <w:r>
              <w:rPr>
                <w:rFonts w:hint="eastAsia" w:cs="宋体"/>
                <w:b w:val="0"/>
                <w:bCs w:val="0"/>
                <w:color w:val="auto"/>
                <w:sz w:val="21"/>
                <w:szCs w:val="21"/>
                <w:highlight w:val="none"/>
                <w:lang w:val="en-US" w:eastAsia="zh-CN"/>
              </w:rPr>
              <w:t>备注</w:t>
            </w:r>
          </w:p>
        </w:tc>
      </w:tr>
      <w:tr w14:paraId="4BD9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2" w:type="pct"/>
            <w:tcBorders>
              <w:top w:val="single" w:color="auto" w:sz="4" w:space="0"/>
              <w:left w:val="single" w:color="auto" w:sz="4" w:space="0"/>
              <w:bottom w:val="single" w:color="auto" w:sz="4" w:space="0"/>
              <w:right w:val="single" w:color="auto" w:sz="4" w:space="0"/>
            </w:tcBorders>
            <w:noWrap w:val="0"/>
            <w:vAlign w:val="center"/>
          </w:tcPr>
          <w:p w14:paraId="28BB12AA">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p>
        </w:tc>
        <w:tc>
          <w:tcPr>
            <w:tcW w:w="1522" w:type="pct"/>
            <w:tcBorders>
              <w:top w:val="single" w:color="auto" w:sz="4" w:space="0"/>
              <w:left w:val="nil"/>
              <w:bottom w:val="single" w:color="auto" w:sz="4" w:space="0"/>
              <w:right w:val="single" w:color="auto" w:sz="4" w:space="0"/>
            </w:tcBorders>
            <w:noWrap w:val="0"/>
            <w:vAlign w:val="center"/>
          </w:tcPr>
          <w:p w14:paraId="19B033E1">
            <w:pPr>
              <w:spacing w:line="360" w:lineRule="auto"/>
              <w:jc w:val="center"/>
              <w:rPr>
                <w:rFonts w:hint="eastAsia" w:ascii="宋体" w:hAnsi="宋体" w:eastAsia="宋体" w:cs="宋体"/>
                <w:b w:val="0"/>
                <w:bCs w:val="0"/>
                <w:color w:val="auto"/>
                <w:sz w:val="21"/>
                <w:szCs w:val="21"/>
                <w:highlight w:val="none"/>
              </w:rPr>
            </w:pPr>
            <w:r>
              <w:rPr>
                <w:rFonts w:hint="eastAsia"/>
                <w:i w:val="0"/>
                <w:iCs w:val="0"/>
                <w:color w:val="auto"/>
                <w:highlight w:val="none"/>
              </w:rPr>
              <w:t>*</w:t>
            </w:r>
            <w:r>
              <w:rPr>
                <w:i w:val="0"/>
                <w:iCs w:val="0"/>
                <w:color w:val="auto"/>
                <w:highlight w:val="none"/>
              </w:rPr>
              <w:t>*****</w:t>
            </w:r>
          </w:p>
        </w:tc>
        <w:tc>
          <w:tcPr>
            <w:tcW w:w="1543" w:type="pct"/>
            <w:tcBorders>
              <w:top w:val="single" w:color="auto" w:sz="4" w:space="0"/>
              <w:left w:val="nil"/>
              <w:bottom w:val="single" w:color="auto" w:sz="4" w:space="0"/>
              <w:right w:val="single" w:color="auto" w:sz="4" w:space="0"/>
            </w:tcBorders>
            <w:noWrap w:val="0"/>
            <w:vAlign w:val="center"/>
          </w:tcPr>
          <w:p w14:paraId="015F4EED">
            <w:pPr>
              <w:spacing w:line="360" w:lineRule="auto"/>
              <w:jc w:val="center"/>
              <w:rPr>
                <w:rFonts w:hint="eastAsia" w:ascii="宋体" w:hAnsi="宋体" w:eastAsia="宋体" w:cs="宋体"/>
                <w:b w:val="0"/>
                <w:bCs w:val="0"/>
                <w:color w:val="auto"/>
                <w:sz w:val="21"/>
                <w:szCs w:val="21"/>
                <w:highlight w:val="none"/>
              </w:rPr>
            </w:pPr>
            <w:r>
              <w:rPr>
                <w:rFonts w:hint="eastAsia"/>
                <w:i w:val="0"/>
                <w:iCs w:val="0"/>
                <w:color w:val="auto"/>
                <w:highlight w:val="none"/>
              </w:rPr>
              <w:t>*</w:t>
            </w:r>
            <w:r>
              <w:rPr>
                <w:i w:val="0"/>
                <w:iCs w:val="0"/>
                <w:color w:val="auto"/>
                <w:highlight w:val="none"/>
              </w:rPr>
              <w:t>*****</w:t>
            </w:r>
          </w:p>
        </w:tc>
        <w:tc>
          <w:tcPr>
            <w:tcW w:w="676" w:type="pct"/>
            <w:tcBorders>
              <w:top w:val="single" w:color="auto" w:sz="4" w:space="0"/>
              <w:left w:val="nil"/>
              <w:bottom w:val="single" w:color="auto" w:sz="4" w:space="0"/>
              <w:right w:val="single" w:color="auto" w:sz="4" w:space="0"/>
            </w:tcBorders>
            <w:noWrap w:val="0"/>
            <w:vAlign w:val="center"/>
          </w:tcPr>
          <w:p w14:paraId="7EEC5AFC">
            <w:pPr>
              <w:pStyle w:val="49"/>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sz w:val="21"/>
                <w:szCs w:val="21"/>
                <w:highlight w:val="none"/>
              </w:rPr>
              <w:t>响应/正偏离/负偏离</w:t>
            </w:r>
          </w:p>
        </w:tc>
        <w:tc>
          <w:tcPr>
            <w:tcW w:w="994" w:type="pct"/>
            <w:tcBorders>
              <w:top w:val="single" w:color="auto" w:sz="4" w:space="0"/>
              <w:left w:val="nil"/>
              <w:bottom w:val="single" w:color="auto" w:sz="4" w:space="0"/>
              <w:right w:val="single" w:color="auto" w:sz="4" w:space="0"/>
            </w:tcBorders>
            <w:noWrap w:val="0"/>
            <w:vAlign w:val="center"/>
          </w:tcPr>
          <w:p w14:paraId="67B8914D">
            <w:pPr>
              <w:pStyle w:val="49"/>
              <w:spacing w:line="360" w:lineRule="auto"/>
              <w:jc w:val="center"/>
              <w:rPr>
                <w:rFonts w:hint="eastAsia" w:ascii="宋体" w:hAnsi="宋体" w:eastAsia="宋体" w:cs="宋体"/>
                <w:b w:val="0"/>
                <w:bCs w:val="0"/>
                <w:color w:val="auto"/>
                <w:sz w:val="21"/>
                <w:szCs w:val="21"/>
                <w:highlight w:val="none"/>
              </w:rPr>
            </w:pPr>
          </w:p>
        </w:tc>
      </w:tr>
      <w:tr w14:paraId="55CD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2" w:type="pct"/>
            <w:tcBorders>
              <w:top w:val="single" w:color="auto" w:sz="4" w:space="0"/>
              <w:left w:val="single" w:color="auto" w:sz="4" w:space="0"/>
              <w:bottom w:val="single" w:color="auto" w:sz="4" w:space="0"/>
              <w:right w:val="single" w:color="auto" w:sz="4" w:space="0"/>
            </w:tcBorders>
            <w:noWrap w:val="0"/>
            <w:vAlign w:val="center"/>
          </w:tcPr>
          <w:p w14:paraId="6BD348E7">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p>
        </w:tc>
        <w:tc>
          <w:tcPr>
            <w:tcW w:w="1522" w:type="pct"/>
            <w:tcBorders>
              <w:top w:val="single" w:color="auto" w:sz="4" w:space="0"/>
              <w:left w:val="nil"/>
              <w:bottom w:val="single" w:color="auto" w:sz="4" w:space="0"/>
              <w:right w:val="single" w:color="auto" w:sz="4" w:space="0"/>
            </w:tcBorders>
            <w:noWrap w:val="0"/>
            <w:vAlign w:val="center"/>
          </w:tcPr>
          <w:p w14:paraId="59A48A51">
            <w:pPr>
              <w:spacing w:line="360" w:lineRule="auto"/>
              <w:jc w:val="center"/>
              <w:rPr>
                <w:rFonts w:hint="eastAsia" w:ascii="宋体" w:hAnsi="宋体" w:eastAsia="宋体" w:cs="宋体"/>
                <w:b w:val="0"/>
                <w:bCs w:val="0"/>
                <w:color w:val="auto"/>
                <w:sz w:val="21"/>
                <w:szCs w:val="21"/>
                <w:highlight w:val="none"/>
              </w:rPr>
            </w:pPr>
            <w:r>
              <w:rPr>
                <w:rFonts w:hint="eastAsia"/>
                <w:i w:val="0"/>
                <w:iCs w:val="0"/>
                <w:color w:val="auto"/>
                <w:highlight w:val="none"/>
              </w:rPr>
              <w:t>*</w:t>
            </w:r>
            <w:r>
              <w:rPr>
                <w:i w:val="0"/>
                <w:iCs w:val="0"/>
                <w:color w:val="auto"/>
                <w:highlight w:val="none"/>
              </w:rPr>
              <w:t>*****</w:t>
            </w:r>
          </w:p>
        </w:tc>
        <w:tc>
          <w:tcPr>
            <w:tcW w:w="1543" w:type="pct"/>
            <w:tcBorders>
              <w:top w:val="single" w:color="auto" w:sz="4" w:space="0"/>
              <w:left w:val="nil"/>
              <w:bottom w:val="single" w:color="auto" w:sz="4" w:space="0"/>
              <w:right w:val="single" w:color="auto" w:sz="4" w:space="0"/>
            </w:tcBorders>
            <w:noWrap w:val="0"/>
            <w:vAlign w:val="center"/>
          </w:tcPr>
          <w:p w14:paraId="071A33F9">
            <w:pPr>
              <w:spacing w:line="360" w:lineRule="auto"/>
              <w:jc w:val="center"/>
              <w:rPr>
                <w:rFonts w:hint="eastAsia" w:ascii="宋体" w:hAnsi="宋体" w:eastAsia="宋体" w:cs="宋体"/>
                <w:b w:val="0"/>
                <w:bCs w:val="0"/>
                <w:color w:val="auto"/>
                <w:sz w:val="21"/>
                <w:szCs w:val="21"/>
                <w:highlight w:val="none"/>
              </w:rPr>
            </w:pPr>
            <w:r>
              <w:rPr>
                <w:rFonts w:hint="eastAsia"/>
                <w:i w:val="0"/>
                <w:iCs w:val="0"/>
                <w:color w:val="auto"/>
                <w:highlight w:val="none"/>
              </w:rPr>
              <w:t>*</w:t>
            </w:r>
            <w:r>
              <w:rPr>
                <w:i w:val="0"/>
                <w:iCs w:val="0"/>
                <w:color w:val="auto"/>
                <w:highlight w:val="none"/>
              </w:rPr>
              <w:t>*****</w:t>
            </w:r>
          </w:p>
        </w:tc>
        <w:tc>
          <w:tcPr>
            <w:tcW w:w="676" w:type="pct"/>
            <w:tcBorders>
              <w:top w:val="single" w:color="auto" w:sz="4" w:space="0"/>
              <w:left w:val="nil"/>
              <w:bottom w:val="single" w:color="auto" w:sz="4" w:space="0"/>
              <w:right w:val="single" w:color="auto" w:sz="4" w:space="0"/>
            </w:tcBorders>
            <w:noWrap w:val="0"/>
            <w:vAlign w:val="center"/>
          </w:tcPr>
          <w:p w14:paraId="3DBB1D1A">
            <w:pPr>
              <w:pStyle w:val="49"/>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sz w:val="21"/>
                <w:szCs w:val="21"/>
                <w:highlight w:val="none"/>
              </w:rPr>
              <w:t>响应/正偏离/负偏离</w:t>
            </w:r>
          </w:p>
        </w:tc>
        <w:tc>
          <w:tcPr>
            <w:tcW w:w="994" w:type="pct"/>
            <w:tcBorders>
              <w:top w:val="single" w:color="auto" w:sz="4" w:space="0"/>
              <w:left w:val="nil"/>
              <w:bottom w:val="single" w:color="auto" w:sz="4" w:space="0"/>
              <w:right w:val="single" w:color="auto" w:sz="4" w:space="0"/>
            </w:tcBorders>
            <w:noWrap w:val="0"/>
            <w:vAlign w:val="center"/>
          </w:tcPr>
          <w:p w14:paraId="7A62A19D">
            <w:pPr>
              <w:pStyle w:val="49"/>
              <w:spacing w:line="360" w:lineRule="auto"/>
              <w:jc w:val="center"/>
              <w:rPr>
                <w:rFonts w:hint="eastAsia" w:ascii="宋体" w:hAnsi="宋体" w:eastAsia="宋体" w:cs="宋体"/>
                <w:b w:val="0"/>
                <w:bCs w:val="0"/>
                <w:color w:val="auto"/>
                <w:sz w:val="21"/>
                <w:szCs w:val="21"/>
                <w:highlight w:val="none"/>
              </w:rPr>
            </w:pPr>
          </w:p>
        </w:tc>
      </w:tr>
      <w:tr w14:paraId="59C1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2" w:type="pct"/>
            <w:tcBorders>
              <w:top w:val="single" w:color="auto" w:sz="4" w:space="0"/>
              <w:left w:val="single" w:color="auto" w:sz="4" w:space="0"/>
              <w:bottom w:val="single" w:color="auto" w:sz="4" w:space="0"/>
              <w:right w:val="single" w:color="auto" w:sz="4" w:space="0"/>
            </w:tcBorders>
            <w:noWrap w:val="0"/>
            <w:vAlign w:val="center"/>
          </w:tcPr>
          <w:p w14:paraId="2D48FF18">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w:t>
            </w:r>
          </w:p>
        </w:tc>
        <w:tc>
          <w:tcPr>
            <w:tcW w:w="1522" w:type="pct"/>
            <w:tcBorders>
              <w:top w:val="single" w:color="auto" w:sz="4" w:space="0"/>
              <w:left w:val="nil"/>
              <w:bottom w:val="single" w:color="auto" w:sz="4" w:space="0"/>
              <w:right w:val="single" w:color="auto" w:sz="4" w:space="0"/>
            </w:tcBorders>
            <w:noWrap w:val="0"/>
            <w:vAlign w:val="center"/>
          </w:tcPr>
          <w:p w14:paraId="15254B77">
            <w:pPr>
              <w:spacing w:line="360" w:lineRule="auto"/>
              <w:jc w:val="center"/>
              <w:rPr>
                <w:rFonts w:hint="eastAsia" w:ascii="宋体" w:hAnsi="宋体" w:eastAsia="宋体" w:cs="宋体"/>
                <w:b w:val="0"/>
                <w:bCs w:val="0"/>
                <w:color w:val="auto"/>
                <w:sz w:val="21"/>
                <w:szCs w:val="21"/>
                <w:highlight w:val="none"/>
              </w:rPr>
            </w:pPr>
            <w:r>
              <w:rPr>
                <w:rFonts w:hint="eastAsia"/>
                <w:i w:val="0"/>
                <w:iCs w:val="0"/>
                <w:color w:val="auto"/>
                <w:highlight w:val="none"/>
              </w:rPr>
              <w:t>*</w:t>
            </w:r>
            <w:r>
              <w:rPr>
                <w:i w:val="0"/>
                <w:iCs w:val="0"/>
                <w:color w:val="auto"/>
                <w:highlight w:val="none"/>
              </w:rPr>
              <w:t>*****</w:t>
            </w:r>
          </w:p>
        </w:tc>
        <w:tc>
          <w:tcPr>
            <w:tcW w:w="1543" w:type="pct"/>
            <w:tcBorders>
              <w:top w:val="single" w:color="auto" w:sz="4" w:space="0"/>
              <w:left w:val="nil"/>
              <w:bottom w:val="single" w:color="auto" w:sz="4" w:space="0"/>
              <w:right w:val="single" w:color="auto" w:sz="4" w:space="0"/>
            </w:tcBorders>
            <w:noWrap w:val="0"/>
            <w:vAlign w:val="center"/>
          </w:tcPr>
          <w:p w14:paraId="43BA1FE1">
            <w:pPr>
              <w:spacing w:line="360" w:lineRule="auto"/>
              <w:jc w:val="center"/>
              <w:rPr>
                <w:rFonts w:hint="eastAsia" w:ascii="宋体" w:hAnsi="宋体" w:eastAsia="宋体" w:cs="宋体"/>
                <w:b w:val="0"/>
                <w:bCs w:val="0"/>
                <w:color w:val="auto"/>
                <w:sz w:val="21"/>
                <w:szCs w:val="21"/>
                <w:highlight w:val="none"/>
              </w:rPr>
            </w:pPr>
            <w:r>
              <w:rPr>
                <w:rFonts w:hint="eastAsia"/>
                <w:i w:val="0"/>
                <w:iCs w:val="0"/>
                <w:color w:val="auto"/>
                <w:highlight w:val="none"/>
              </w:rPr>
              <w:t>*</w:t>
            </w:r>
            <w:r>
              <w:rPr>
                <w:i w:val="0"/>
                <w:iCs w:val="0"/>
                <w:color w:val="auto"/>
                <w:highlight w:val="none"/>
              </w:rPr>
              <w:t>*****</w:t>
            </w:r>
          </w:p>
        </w:tc>
        <w:tc>
          <w:tcPr>
            <w:tcW w:w="676" w:type="pct"/>
            <w:tcBorders>
              <w:top w:val="single" w:color="auto" w:sz="4" w:space="0"/>
              <w:left w:val="nil"/>
              <w:bottom w:val="single" w:color="auto" w:sz="4" w:space="0"/>
              <w:right w:val="single" w:color="auto" w:sz="4" w:space="0"/>
            </w:tcBorders>
            <w:noWrap w:val="0"/>
            <w:vAlign w:val="center"/>
          </w:tcPr>
          <w:p w14:paraId="0FE42001">
            <w:pPr>
              <w:pStyle w:val="49"/>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sz w:val="21"/>
                <w:szCs w:val="21"/>
                <w:highlight w:val="none"/>
              </w:rPr>
              <w:t>响应/正偏离/负偏离</w:t>
            </w:r>
          </w:p>
        </w:tc>
        <w:tc>
          <w:tcPr>
            <w:tcW w:w="994" w:type="pct"/>
            <w:tcBorders>
              <w:top w:val="single" w:color="auto" w:sz="4" w:space="0"/>
              <w:left w:val="nil"/>
              <w:bottom w:val="single" w:color="auto" w:sz="4" w:space="0"/>
              <w:right w:val="single" w:color="auto" w:sz="4" w:space="0"/>
            </w:tcBorders>
            <w:noWrap w:val="0"/>
            <w:vAlign w:val="center"/>
          </w:tcPr>
          <w:p w14:paraId="4E9D1C6D">
            <w:pPr>
              <w:pStyle w:val="49"/>
              <w:spacing w:line="360" w:lineRule="auto"/>
              <w:jc w:val="center"/>
              <w:rPr>
                <w:rFonts w:hint="eastAsia" w:ascii="宋体" w:hAnsi="宋体" w:eastAsia="宋体" w:cs="宋体"/>
                <w:b w:val="0"/>
                <w:bCs w:val="0"/>
                <w:color w:val="auto"/>
                <w:sz w:val="21"/>
                <w:szCs w:val="21"/>
                <w:highlight w:val="none"/>
              </w:rPr>
            </w:pPr>
          </w:p>
        </w:tc>
      </w:tr>
      <w:tr w14:paraId="04C1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2" w:type="pct"/>
            <w:tcBorders>
              <w:top w:val="single" w:color="auto" w:sz="4" w:space="0"/>
              <w:left w:val="single" w:color="auto" w:sz="4" w:space="0"/>
              <w:bottom w:val="single" w:color="auto" w:sz="4" w:space="0"/>
              <w:right w:val="single" w:color="auto" w:sz="4" w:space="0"/>
            </w:tcBorders>
            <w:noWrap w:val="0"/>
            <w:vAlign w:val="center"/>
          </w:tcPr>
          <w:p w14:paraId="242E5CAE">
            <w:pPr>
              <w:spacing w:line="360" w:lineRule="auto"/>
              <w:jc w:val="center"/>
              <w:rPr>
                <w:rFonts w:hint="eastAsia" w:ascii="宋体" w:hAnsi="宋体" w:eastAsia="宋体" w:cs="宋体"/>
                <w:b w:val="0"/>
                <w:bCs w:val="0"/>
                <w:color w:val="auto"/>
                <w:sz w:val="21"/>
                <w:szCs w:val="21"/>
                <w:highlight w:val="none"/>
              </w:rPr>
            </w:pPr>
          </w:p>
        </w:tc>
        <w:tc>
          <w:tcPr>
            <w:tcW w:w="1522" w:type="pct"/>
            <w:tcBorders>
              <w:top w:val="single" w:color="auto" w:sz="4" w:space="0"/>
              <w:left w:val="nil"/>
              <w:bottom w:val="single" w:color="auto" w:sz="4" w:space="0"/>
              <w:right w:val="single" w:color="auto" w:sz="4" w:space="0"/>
            </w:tcBorders>
            <w:noWrap w:val="0"/>
            <w:vAlign w:val="center"/>
          </w:tcPr>
          <w:p w14:paraId="2243E794">
            <w:pPr>
              <w:spacing w:line="360" w:lineRule="auto"/>
              <w:jc w:val="center"/>
              <w:rPr>
                <w:rFonts w:hint="eastAsia" w:ascii="宋体" w:hAnsi="宋体" w:eastAsia="宋体" w:cs="宋体"/>
                <w:b w:val="0"/>
                <w:bCs w:val="0"/>
                <w:color w:val="auto"/>
                <w:sz w:val="21"/>
                <w:szCs w:val="21"/>
                <w:highlight w:val="none"/>
              </w:rPr>
            </w:pPr>
          </w:p>
        </w:tc>
        <w:tc>
          <w:tcPr>
            <w:tcW w:w="1543" w:type="pct"/>
            <w:tcBorders>
              <w:top w:val="single" w:color="auto" w:sz="4" w:space="0"/>
              <w:left w:val="nil"/>
              <w:bottom w:val="single" w:color="auto" w:sz="4" w:space="0"/>
              <w:right w:val="single" w:color="auto" w:sz="4" w:space="0"/>
            </w:tcBorders>
            <w:noWrap w:val="0"/>
            <w:vAlign w:val="center"/>
          </w:tcPr>
          <w:p w14:paraId="3E5AB6D0">
            <w:pPr>
              <w:spacing w:line="360" w:lineRule="auto"/>
              <w:jc w:val="center"/>
              <w:rPr>
                <w:rFonts w:hint="eastAsia" w:ascii="宋体" w:hAnsi="宋体" w:eastAsia="宋体" w:cs="宋体"/>
                <w:b w:val="0"/>
                <w:bCs w:val="0"/>
                <w:color w:val="auto"/>
                <w:sz w:val="21"/>
                <w:szCs w:val="21"/>
                <w:highlight w:val="none"/>
              </w:rPr>
            </w:pPr>
          </w:p>
        </w:tc>
        <w:tc>
          <w:tcPr>
            <w:tcW w:w="676" w:type="pct"/>
            <w:tcBorders>
              <w:top w:val="single" w:color="auto" w:sz="4" w:space="0"/>
              <w:left w:val="nil"/>
              <w:bottom w:val="single" w:color="auto" w:sz="4" w:space="0"/>
              <w:right w:val="single" w:color="auto" w:sz="4" w:space="0"/>
            </w:tcBorders>
            <w:noWrap w:val="0"/>
            <w:vAlign w:val="center"/>
          </w:tcPr>
          <w:p w14:paraId="0B8DD99C">
            <w:pPr>
              <w:pStyle w:val="49"/>
              <w:spacing w:line="360" w:lineRule="auto"/>
              <w:jc w:val="center"/>
              <w:rPr>
                <w:rFonts w:hint="eastAsia" w:ascii="宋体" w:hAnsi="宋体" w:eastAsia="宋体" w:cs="宋体"/>
                <w:b w:val="0"/>
                <w:bCs w:val="0"/>
                <w:color w:val="auto"/>
                <w:sz w:val="21"/>
                <w:szCs w:val="21"/>
                <w:highlight w:val="none"/>
              </w:rPr>
            </w:pPr>
          </w:p>
        </w:tc>
        <w:tc>
          <w:tcPr>
            <w:tcW w:w="994" w:type="pct"/>
            <w:tcBorders>
              <w:top w:val="single" w:color="auto" w:sz="4" w:space="0"/>
              <w:left w:val="nil"/>
              <w:bottom w:val="single" w:color="auto" w:sz="4" w:space="0"/>
              <w:right w:val="single" w:color="auto" w:sz="4" w:space="0"/>
            </w:tcBorders>
            <w:noWrap w:val="0"/>
            <w:vAlign w:val="center"/>
          </w:tcPr>
          <w:p w14:paraId="409DB0AF">
            <w:pPr>
              <w:pStyle w:val="49"/>
              <w:spacing w:line="360" w:lineRule="auto"/>
              <w:jc w:val="center"/>
              <w:rPr>
                <w:rFonts w:hint="eastAsia" w:ascii="宋体" w:hAnsi="宋体" w:eastAsia="宋体" w:cs="宋体"/>
                <w:b w:val="0"/>
                <w:bCs w:val="0"/>
                <w:color w:val="auto"/>
                <w:sz w:val="21"/>
                <w:szCs w:val="21"/>
                <w:highlight w:val="none"/>
              </w:rPr>
            </w:pPr>
          </w:p>
        </w:tc>
      </w:tr>
      <w:tr w14:paraId="7A56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2" w:type="pct"/>
            <w:tcBorders>
              <w:top w:val="single" w:color="auto" w:sz="4" w:space="0"/>
              <w:left w:val="single" w:color="auto" w:sz="4" w:space="0"/>
              <w:bottom w:val="single" w:color="auto" w:sz="4" w:space="0"/>
              <w:right w:val="single" w:color="auto" w:sz="4" w:space="0"/>
            </w:tcBorders>
            <w:noWrap w:val="0"/>
            <w:vAlign w:val="center"/>
          </w:tcPr>
          <w:p w14:paraId="07FC899D">
            <w:pPr>
              <w:spacing w:line="360" w:lineRule="auto"/>
              <w:jc w:val="center"/>
              <w:rPr>
                <w:rFonts w:hint="eastAsia" w:ascii="宋体" w:hAnsi="宋体" w:eastAsia="宋体" w:cs="宋体"/>
                <w:b w:val="0"/>
                <w:bCs w:val="0"/>
                <w:color w:val="auto"/>
                <w:sz w:val="21"/>
                <w:szCs w:val="21"/>
                <w:highlight w:val="none"/>
              </w:rPr>
            </w:pPr>
          </w:p>
        </w:tc>
        <w:tc>
          <w:tcPr>
            <w:tcW w:w="1522" w:type="pct"/>
            <w:tcBorders>
              <w:top w:val="single" w:color="auto" w:sz="4" w:space="0"/>
              <w:left w:val="nil"/>
              <w:bottom w:val="single" w:color="auto" w:sz="4" w:space="0"/>
              <w:right w:val="single" w:color="auto" w:sz="4" w:space="0"/>
            </w:tcBorders>
            <w:noWrap w:val="0"/>
            <w:vAlign w:val="center"/>
          </w:tcPr>
          <w:p w14:paraId="0E670002">
            <w:pPr>
              <w:spacing w:line="360" w:lineRule="auto"/>
              <w:jc w:val="center"/>
              <w:rPr>
                <w:rFonts w:hint="eastAsia" w:ascii="宋体" w:hAnsi="宋体" w:eastAsia="宋体" w:cs="宋体"/>
                <w:b w:val="0"/>
                <w:bCs w:val="0"/>
                <w:color w:val="auto"/>
                <w:sz w:val="21"/>
                <w:szCs w:val="21"/>
                <w:highlight w:val="none"/>
              </w:rPr>
            </w:pPr>
          </w:p>
        </w:tc>
        <w:tc>
          <w:tcPr>
            <w:tcW w:w="1543" w:type="pct"/>
            <w:tcBorders>
              <w:top w:val="single" w:color="auto" w:sz="4" w:space="0"/>
              <w:left w:val="nil"/>
              <w:bottom w:val="single" w:color="auto" w:sz="4" w:space="0"/>
              <w:right w:val="single" w:color="auto" w:sz="4" w:space="0"/>
            </w:tcBorders>
            <w:noWrap w:val="0"/>
            <w:vAlign w:val="center"/>
          </w:tcPr>
          <w:p w14:paraId="3A182400">
            <w:pPr>
              <w:spacing w:line="360" w:lineRule="auto"/>
              <w:jc w:val="center"/>
              <w:rPr>
                <w:rFonts w:hint="eastAsia" w:ascii="宋体" w:hAnsi="宋体" w:eastAsia="宋体" w:cs="宋体"/>
                <w:b w:val="0"/>
                <w:bCs w:val="0"/>
                <w:color w:val="auto"/>
                <w:sz w:val="21"/>
                <w:szCs w:val="21"/>
                <w:highlight w:val="none"/>
              </w:rPr>
            </w:pPr>
          </w:p>
        </w:tc>
        <w:tc>
          <w:tcPr>
            <w:tcW w:w="676" w:type="pct"/>
            <w:tcBorders>
              <w:top w:val="single" w:color="auto" w:sz="4" w:space="0"/>
              <w:left w:val="nil"/>
              <w:bottom w:val="single" w:color="auto" w:sz="4" w:space="0"/>
              <w:right w:val="single" w:color="auto" w:sz="4" w:space="0"/>
            </w:tcBorders>
            <w:noWrap w:val="0"/>
            <w:vAlign w:val="center"/>
          </w:tcPr>
          <w:p w14:paraId="4849663C">
            <w:pPr>
              <w:pStyle w:val="49"/>
              <w:spacing w:line="360" w:lineRule="auto"/>
              <w:jc w:val="center"/>
              <w:rPr>
                <w:rFonts w:hint="eastAsia" w:ascii="宋体" w:hAnsi="宋体" w:eastAsia="宋体" w:cs="宋体"/>
                <w:b w:val="0"/>
                <w:bCs w:val="0"/>
                <w:color w:val="auto"/>
                <w:sz w:val="21"/>
                <w:szCs w:val="21"/>
                <w:highlight w:val="none"/>
              </w:rPr>
            </w:pPr>
          </w:p>
        </w:tc>
        <w:tc>
          <w:tcPr>
            <w:tcW w:w="994" w:type="pct"/>
            <w:tcBorders>
              <w:top w:val="single" w:color="auto" w:sz="4" w:space="0"/>
              <w:left w:val="nil"/>
              <w:bottom w:val="single" w:color="auto" w:sz="4" w:space="0"/>
              <w:right w:val="single" w:color="auto" w:sz="4" w:space="0"/>
            </w:tcBorders>
            <w:noWrap w:val="0"/>
            <w:vAlign w:val="center"/>
          </w:tcPr>
          <w:p w14:paraId="7BFE118E">
            <w:pPr>
              <w:pStyle w:val="49"/>
              <w:spacing w:line="360" w:lineRule="auto"/>
              <w:jc w:val="center"/>
              <w:rPr>
                <w:rFonts w:hint="eastAsia" w:ascii="宋体" w:hAnsi="宋体" w:eastAsia="宋体" w:cs="宋体"/>
                <w:b w:val="0"/>
                <w:bCs w:val="0"/>
                <w:color w:val="auto"/>
                <w:sz w:val="21"/>
                <w:szCs w:val="21"/>
                <w:highlight w:val="none"/>
              </w:rPr>
            </w:pPr>
          </w:p>
        </w:tc>
      </w:tr>
      <w:tr w14:paraId="5136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62" w:type="pct"/>
            <w:vAlign w:val="center"/>
          </w:tcPr>
          <w:p w14:paraId="34D32F34">
            <w:pPr>
              <w:pStyle w:val="49"/>
              <w:jc w:val="center"/>
              <w:rPr>
                <w:i w:val="0"/>
                <w:iCs w:val="0"/>
                <w:color w:val="auto"/>
                <w:highlight w:val="none"/>
              </w:rPr>
            </w:pPr>
            <w:r>
              <w:rPr>
                <w:rFonts w:hint="eastAsia"/>
                <w:i w:val="0"/>
                <w:iCs w:val="0"/>
                <w:color w:val="auto"/>
                <w:highlight w:val="none"/>
              </w:rPr>
              <w:t>…</w:t>
            </w:r>
          </w:p>
        </w:tc>
        <w:tc>
          <w:tcPr>
            <w:tcW w:w="1522" w:type="pct"/>
            <w:vAlign w:val="center"/>
          </w:tcPr>
          <w:p w14:paraId="1BD9D464">
            <w:pPr>
              <w:pStyle w:val="49"/>
              <w:jc w:val="center"/>
              <w:rPr>
                <w:i w:val="0"/>
                <w:iCs w:val="0"/>
                <w:color w:val="auto"/>
                <w:highlight w:val="none"/>
              </w:rPr>
            </w:pPr>
            <w:r>
              <w:rPr>
                <w:rFonts w:hint="eastAsia"/>
                <w:i w:val="0"/>
                <w:iCs w:val="0"/>
                <w:color w:val="auto"/>
                <w:highlight w:val="none"/>
              </w:rPr>
              <w:t>…………</w:t>
            </w:r>
          </w:p>
        </w:tc>
        <w:tc>
          <w:tcPr>
            <w:tcW w:w="1543" w:type="pct"/>
            <w:vAlign w:val="center"/>
          </w:tcPr>
          <w:p w14:paraId="382061CF">
            <w:pPr>
              <w:pStyle w:val="49"/>
              <w:jc w:val="center"/>
              <w:rPr>
                <w:i w:val="0"/>
                <w:iCs w:val="0"/>
                <w:color w:val="auto"/>
                <w:highlight w:val="none"/>
              </w:rPr>
            </w:pPr>
            <w:r>
              <w:rPr>
                <w:rFonts w:hint="eastAsia"/>
                <w:i w:val="0"/>
                <w:iCs w:val="0"/>
                <w:color w:val="auto"/>
                <w:highlight w:val="none"/>
              </w:rPr>
              <w:t>………………</w:t>
            </w:r>
          </w:p>
        </w:tc>
        <w:tc>
          <w:tcPr>
            <w:tcW w:w="676" w:type="pct"/>
            <w:vAlign w:val="center"/>
          </w:tcPr>
          <w:p w14:paraId="69104DDC">
            <w:pPr>
              <w:pStyle w:val="49"/>
              <w:jc w:val="center"/>
              <w:rPr>
                <w:i w:val="0"/>
                <w:iCs w:val="0"/>
                <w:color w:val="auto"/>
                <w:highlight w:val="none"/>
              </w:rPr>
            </w:pPr>
            <w:r>
              <w:rPr>
                <w:rFonts w:hint="eastAsia"/>
                <w:i w:val="0"/>
                <w:iCs w:val="0"/>
                <w:color w:val="auto"/>
                <w:highlight w:val="none"/>
              </w:rPr>
              <w:t>…………</w:t>
            </w:r>
          </w:p>
        </w:tc>
        <w:tc>
          <w:tcPr>
            <w:tcW w:w="994" w:type="pct"/>
            <w:vAlign w:val="center"/>
          </w:tcPr>
          <w:p w14:paraId="45E29550">
            <w:pPr>
              <w:pStyle w:val="49"/>
              <w:jc w:val="center"/>
              <w:rPr>
                <w:i w:val="0"/>
                <w:iCs w:val="0"/>
                <w:color w:val="auto"/>
                <w:highlight w:val="none"/>
              </w:rPr>
            </w:pPr>
          </w:p>
        </w:tc>
      </w:tr>
    </w:tbl>
    <w:p w14:paraId="0B9512D3">
      <w:pPr>
        <w:ind w:right="1008" w:firstLine="5040" w:firstLineChars="2000"/>
        <w:rPr>
          <w:rFonts w:hint="eastAsia" w:cs="宋体"/>
          <w:i w:val="0"/>
          <w:iCs w:val="0"/>
          <w:color w:val="auto"/>
          <w:spacing w:val="6"/>
          <w:szCs w:val="24"/>
          <w:highlight w:val="none"/>
          <w:lang w:val="en-US" w:eastAsia="zh-CN"/>
        </w:rPr>
      </w:pPr>
    </w:p>
    <w:p w14:paraId="06FE4E20">
      <w:pPr>
        <w:ind w:right="1008" w:firstLine="5040" w:firstLineChars="2000"/>
        <w:rPr>
          <w:rFonts w:cs="宋体"/>
          <w:i w:val="0"/>
          <w:iCs w:val="0"/>
          <w:color w:val="auto"/>
          <w:spacing w:val="6"/>
          <w:szCs w:val="24"/>
          <w:highlight w:val="none"/>
        </w:rPr>
      </w:pPr>
      <w:r>
        <w:rPr>
          <w:rFonts w:hint="eastAsia" w:cs="宋体"/>
          <w:i w:val="0"/>
          <w:iCs w:val="0"/>
          <w:color w:val="auto"/>
          <w:spacing w:val="6"/>
          <w:szCs w:val="24"/>
          <w:highlight w:val="none"/>
          <w:lang w:val="en-US" w:eastAsia="zh-CN"/>
        </w:rPr>
        <w:t>供应商</w:t>
      </w:r>
      <w:r>
        <w:rPr>
          <w:rFonts w:hint="eastAsia" w:cs="宋体"/>
          <w:i w:val="0"/>
          <w:iCs w:val="0"/>
          <w:color w:val="auto"/>
          <w:spacing w:val="6"/>
          <w:szCs w:val="24"/>
          <w:highlight w:val="none"/>
        </w:rPr>
        <w:t>名称</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lang w:val="en-US" w:eastAsia="zh-CN"/>
        </w:rPr>
        <w:t>公章</w:t>
      </w:r>
      <w:r>
        <w:rPr>
          <w:rFonts w:hint="eastAsia" w:cs="宋体"/>
          <w:i w:val="0"/>
          <w:iCs w:val="0"/>
          <w:color w:val="auto"/>
          <w:spacing w:val="6"/>
          <w:szCs w:val="24"/>
          <w:highlight w:val="none"/>
          <w:lang w:eastAsia="zh-CN"/>
        </w:rPr>
        <w:t>）</w:t>
      </w:r>
      <w:r>
        <w:rPr>
          <w:rFonts w:hint="eastAsia" w:cs="宋体"/>
          <w:i w:val="0"/>
          <w:iCs w:val="0"/>
          <w:color w:val="auto"/>
          <w:spacing w:val="6"/>
          <w:szCs w:val="24"/>
          <w:highlight w:val="none"/>
        </w:rPr>
        <w:t>：</w:t>
      </w:r>
    </w:p>
    <w:p w14:paraId="3653D78C">
      <w:pPr>
        <w:keepNext w:val="0"/>
        <w:keepLines w:val="0"/>
        <w:pageBreakBefore w:val="0"/>
        <w:widowControl w:val="0"/>
        <w:kinsoku/>
        <w:wordWrap/>
        <w:overflowPunct/>
        <w:topLinePunct w:val="0"/>
        <w:autoSpaceDE/>
        <w:autoSpaceDN/>
        <w:bidi w:val="0"/>
        <w:adjustRightInd/>
        <w:spacing w:line="360" w:lineRule="auto"/>
        <w:ind w:left="0" w:leftChars="0" w:right="0" w:rightChars="0" w:firstLine="5040" w:firstLineChars="2000"/>
        <w:jc w:val="both"/>
        <w:textAlignment w:val="auto"/>
        <w:outlineLvl w:val="9"/>
        <w:rPr>
          <w:rFonts w:hint="eastAsia" w:cs="宋体"/>
          <w:i w:val="0"/>
          <w:iCs w:val="0"/>
          <w:color w:val="auto"/>
          <w:spacing w:val="6"/>
          <w:szCs w:val="24"/>
          <w:highlight w:val="none"/>
          <w:lang w:val="en-US" w:eastAsia="zh-CN"/>
        </w:rPr>
      </w:pPr>
      <w:r>
        <w:rPr>
          <w:rFonts w:hint="eastAsia" w:cs="宋体"/>
          <w:i w:val="0"/>
          <w:iCs w:val="0"/>
          <w:color w:val="auto"/>
          <w:spacing w:val="6"/>
          <w:szCs w:val="24"/>
          <w:highlight w:val="none"/>
        </w:rPr>
        <w:t>日期：</w:t>
      </w:r>
      <w:r>
        <w:rPr>
          <w:rFonts w:hint="eastAsia" w:cs="宋体"/>
          <w:i w:val="0"/>
          <w:iCs w:val="0"/>
          <w:color w:val="auto"/>
          <w:spacing w:val="6"/>
          <w:szCs w:val="24"/>
          <w:highlight w:val="none"/>
          <w:lang w:val="en-US" w:eastAsia="zh-CN"/>
        </w:rPr>
        <w:t xml:space="preserve">   年  月  日</w:t>
      </w:r>
    </w:p>
    <w:p w14:paraId="4813EEE2">
      <w:pPr>
        <w:keepNext w:val="0"/>
        <w:keepLines w:val="0"/>
        <w:pageBreakBefore w:val="0"/>
        <w:widowControl w:val="0"/>
        <w:kinsoku/>
        <w:wordWrap/>
        <w:overflowPunct/>
        <w:topLinePunct w:val="0"/>
        <w:autoSpaceDE/>
        <w:autoSpaceDN/>
        <w:bidi w:val="0"/>
        <w:adjustRightInd/>
        <w:spacing w:line="360" w:lineRule="auto"/>
        <w:ind w:left="0" w:leftChars="0" w:right="0" w:rightChars="0" w:firstLine="504" w:firstLineChars="200"/>
        <w:jc w:val="both"/>
        <w:textAlignment w:val="auto"/>
        <w:outlineLvl w:val="9"/>
        <w:rPr>
          <w:rFonts w:hint="eastAsia" w:cs="宋体"/>
          <w:i w:val="0"/>
          <w:iCs w:val="0"/>
          <w:color w:val="auto"/>
          <w:spacing w:val="6"/>
          <w:szCs w:val="24"/>
          <w:highlight w:val="none"/>
          <w:lang w:val="en-US" w:eastAsia="zh-CN"/>
        </w:rPr>
      </w:pPr>
    </w:p>
    <w:p w14:paraId="263F9BA7">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应按照</w:t>
      </w:r>
      <w:r>
        <w:rPr>
          <w:rFonts w:hint="eastAsia" w:ascii="宋体" w:hAnsi="宋体" w:eastAsia="宋体" w:cs="宋体"/>
          <w:b w:val="0"/>
          <w:bCs w:val="0"/>
          <w:color w:val="auto"/>
          <w:sz w:val="21"/>
          <w:szCs w:val="21"/>
          <w:highlight w:val="none"/>
          <w:lang w:val="en-US" w:eastAsia="zh-CN"/>
        </w:rPr>
        <w:t>竞争性磋商</w:t>
      </w:r>
      <w:r>
        <w:rPr>
          <w:rFonts w:hint="eastAsia" w:ascii="宋体" w:hAnsi="宋体" w:eastAsia="宋体" w:cs="宋体"/>
          <w:b w:val="0"/>
          <w:bCs w:val="0"/>
          <w:color w:val="auto"/>
          <w:sz w:val="21"/>
          <w:szCs w:val="21"/>
          <w:highlight w:val="none"/>
        </w:rPr>
        <w:t>文件“第三章 采购需求”</w:t>
      </w:r>
      <w:r>
        <w:rPr>
          <w:rFonts w:hint="eastAsia" w:ascii="宋体" w:hAnsi="宋体" w:eastAsia="宋体" w:cs="宋体"/>
          <w:b w:val="0"/>
          <w:bCs w:val="0"/>
          <w:color w:val="auto"/>
          <w:sz w:val="21"/>
          <w:szCs w:val="21"/>
          <w:highlight w:val="none"/>
          <w:lang w:val="en-US" w:eastAsia="zh-CN"/>
        </w:rPr>
        <w:t>中的《配置表》</w:t>
      </w:r>
      <w:r>
        <w:rPr>
          <w:rFonts w:hint="eastAsia" w:ascii="宋体" w:hAnsi="宋体" w:eastAsia="宋体" w:cs="宋体"/>
          <w:b w:val="0"/>
          <w:bCs w:val="0"/>
          <w:color w:val="auto"/>
          <w:sz w:val="21"/>
          <w:szCs w:val="21"/>
          <w:highlight w:val="none"/>
        </w:rPr>
        <w:t>所列明细进行</w:t>
      </w:r>
      <w:r>
        <w:rPr>
          <w:rFonts w:hint="eastAsia" w:ascii="宋体" w:hAnsi="宋体" w:eastAsia="宋体" w:cs="宋体"/>
          <w:b w:val="0"/>
          <w:bCs w:val="0"/>
          <w:color w:val="auto"/>
          <w:sz w:val="21"/>
          <w:szCs w:val="21"/>
          <w:highlight w:val="none"/>
          <w:lang w:eastAsia="zh-CN"/>
        </w:rPr>
        <w:t>填写：</w:t>
      </w:r>
    </w:p>
    <w:p w14:paraId="099D8D03">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采购需求</w:t>
      </w:r>
      <w:r>
        <w:rPr>
          <w:rFonts w:hint="eastAsia" w:ascii="宋体" w:hAnsi="宋体" w:eastAsia="宋体" w:cs="宋体"/>
          <w:b w:val="0"/>
          <w:bCs w:val="0"/>
          <w:color w:val="auto"/>
          <w:sz w:val="21"/>
          <w:szCs w:val="21"/>
          <w:highlight w:val="none"/>
          <w:lang w:val="en-US" w:eastAsia="zh-CN"/>
        </w:rPr>
        <w:t>配套货物</w:t>
      </w:r>
      <w:r>
        <w:rPr>
          <w:rFonts w:hint="eastAsia" w:ascii="宋体" w:hAnsi="宋体" w:eastAsia="宋体" w:cs="宋体"/>
          <w:b w:val="0"/>
          <w:bCs w:val="0"/>
          <w:color w:val="auto"/>
          <w:sz w:val="21"/>
          <w:szCs w:val="21"/>
          <w:highlight w:val="none"/>
        </w:rPr>
        <w:t>技术指标</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栏应详细列明竞争性磋商文件中货物数量、功能要求、产品规格等条款</w:t>
      </w:r>
      <w:r>
        <w:rPr>
          <w:rFonts w:hint="eastAsia" w:ascii="宋体" w:hAnsi="宋体" w:eastAsia="宋体" w:cs="宋体"/>
          <w:b w:val="0"/>
          <w:bCs w:val="0"/>
          <w:color w:val="auto"/>
          <w:sz w:val="21"/>
          <w:szCs w:val="21"/>
          <w:highlight w:val="none"/>
        </w:rPr>
        <w:t>。</w:t>
      </w:r>
    </w:p>
    <w:p w14:paraId="6FFF6F94">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投标响应</w:t>
      </w:r>
      <w:r>
        <w:rPr>
          <w:rFonts w:hint="eastAsia" w:ascii="宋体" w:hAnsi="宋体" w:eastAsia="宋体" w:cs="宋体"/>
          <w:b w:val="0"/>
          <w:bCs w:val="0"/>
          <w:color w:val="auto"/>
          <w:sz w:val="21"/>
          <w:szCs w:val="21"/>
          <w:highlight w:val="none"/>
          <w:lang w:val="en-US" w:eastAsia="zh-CN"/>
        </w:rPr>
        <w:t>配套货物</w:t>
      </w:r>
      <w:r>
        <w:rPr>
          <w:rFonts w:hint="eastAsia" w:ascii="宋体" w:hAnsi="宋体" w:eastAsia="宋体" w:cs="宋体"/>
          <w:b w:val="0"/>
          <w:bCs w:val="0"/>
          <w:color w:val="auto"/>
          <w:sz w:val="21"/>
          <w:szCs w:val="21"/>
          <w:highlight w:val="none"/>
        </w:rPr>
        <w:t>技术指标</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栏填写供应商对竞争性磋商文件提出的货物数量、功能要求、产品规格等条款作出的明确响应，并列明具体响应数值或内容，只注明符合、满足等无具体内容表述的，将视为未实质性满足竞争性磋商文件要求，</w:t>
      </w:r>
      <w:r>
        <w:rPr>
          <w:rFonts w:hint="eastAsia" w:ascii="宋体" w:hAnsi="宋体" w:eastAsia="宋体" w:cs="宋体"/>
          <w:b/>
          <w:bCs/>
          <w:color w:val="auto"/>
          <w:sz w:val="21"/>
          <w:szCs w:val="21"/>
          <w:highlight w:val="none"/>
          <w:lang w:val="en-US" w:eastAsia="zh-CN"/>
        </w:rPr>
        <w:t>响应无效</w:t>
      </w:r>
      <w:r>
        <w:rPr>
          <w:rFonts w:hint="eastAsia" w:ascii="宋体" w:hAnsi="宋体" w:eastAsia="宋体" w:cs="宋体"/>
          <w:b w:val="0"/>
          <w:bCs w:val="0"/>
          <w:color w:val="auto"/>
          <w:sz w:val="21"/>
          <w:szCs w:val="21"/>
          <w:highlight w:val="none"/>
          <w:lang w:val="en-US" w:eastAsia="zh-CN"/>
        </w:rPr>
        <w:t>。</w:t>
      </w:r>
    </w:p>
    <w:p w14:paraId="636F7922">
      <w:pPr>
        <w:keepNext w:val="0"/>
        <w:keepLines w:val="0"/>
        <w:pageBreakBefore w:val="0"/>
        <w:widowControl w:val="0"/>
        <w:kinsoku/>
        <w:wordWrap/>
        <w:overflowPunct/>
        <w:topLinePunct w:val="0"/>
        <w:autoSpaceDE/>
        <w:autoSpaceDN/>
        <w:bidi w:val="0"/>
        <w:adjustRightInd/>
        <w:spacing w:line="360" w:lineRule="auto"/>
        <w:ind w:left="0" w:leftChars="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 xml:space="preserve">3.“响应情况”栏应据实填写“响应”、“正偏离”或“负偏离”。 </w:t>
      </w:r>
    </w:p>
    <w:p w14:paraId="31E702D4">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对竞争性磋商文件中的配套货物数量、功能要求、产品规格等条款，在本表未列明或无任何文字说明或填写不清楚、不全面，或投标货物有偏离而不标注偏离，在评审中被认定为偏离，评审人员有权视具体情况按照评标办法扣分或废标。</w:t>
      </w:r>
    </w:p>
    <w:p w14:paraId="5A1A2D14">
      <w:pPr>
        <w:keepNext w:val="0"/>
        <w:keepLines w:val="0"/>
        <w:pageBreakBefore w:val="0"/>
        <w:widowControl w:val="0"/>
        <w:kinsoku/>
        <w:wordWrap/>
        <w:overflowPunct/>
        <w:topLinePunct w:val="0"/>
        <w:autoSpaceDE/>
        <w:autoSpaceDN/>
        <w:bidi w:val="0"/>
        <w:adjustRightInd/>
        <w:spacing w:line="360" w:lineRule="auto"/>
        <w:ind w:right="0" w:rightChars="0"/>
        <w:jc w:val="both"/>
        <w:textAlignment w:val="auto"/>
        <w:outlineLvl w:val="9"/>
        <w:rPr>
          <w:rFonts w:hint="eastAsia" w:ascii="宋体" w:hAnsi="宋体" w:eastAsia="宋体" w:cs="宋体"/>
          <w:b w:val="0"/>
          <w:bCs w:val="0"/>
          <w:color w:val="auto"/>
          <w:sz w:val="21"/>
          <w:szCs w:val="21"/>
          <w:highlight w:val="none"/>
          <w:lang w:val="en-US" w:eastAsia="zh-CN"/>
        </w:rPr>
        <w:sectPr>
          <w:pgSz w:w="11906" w:h="16838"/>
          <w:pgMar w:top="1417" w:right="1440" w:bottom="1440" w:left="1440" w:header="851" w:footer="992" w:gutter="0"/>
          <w:pgNumType w:fmt="numberInDash"/>
          <w:cols w:space="720" w:num="1"/>
          <w:rtlGutter w:val="0"/>
          <w:docGrid w:linePitch="312" w:charSpace="0"/>
        </w:sectPr>
      </w:pPr>
    </w:p>
    <w:p w14:paraId="764CCEC3">
      <w:pPr>
        <w:tabs>
          <w:tab w:val="left" w:pos="3600"/>
        </w:tabs>
        <w:jc w:val="left"/>
        <w:rPr>
          <w:rFonts w:hint="eastAsia"/>
          <w:b/>
          <w:bCs/>
          <w:i w:val="0"/>
          <w:iCs w:val="0"/>
          <w:color w:val="auto"/>
          <w:sz w:val="24"/>
          <w:szCs w:val="24"/>
          <w:highlight w:val="none"/>
          <w:shd w:val="clear" w:color="auto" w:fill="FFFFFF"/>
          <w:lang w:val="en-US" w:eastAsia="zh-CN"/>
        </w:rPr>
      </w:pPr>
      <w:r>
        <w:rPr>
          <w:rFonts w:hint="eastAsia"/>
          <w:b/>
          <w:bCs/>
          <w:i w:val="0"/>
          <w:iCs w:val="0"/>
          <w:color w:val="auto"/>
          <w:sz w:val="24"/>
          <w:szCs w:val="24"/>
          <w:highlight w:val="none"/>
          <w:shd w:val="clear" w:color="auto" w:fill="FFFFFF"/>
          <w:lang w:val="en-US" w:eastAsia="zh-CN"/>
        </w:rPr>
        <w:t>（二）供应商技术支持和售后服务承诺</w:t>
      </w:r>
    </w:p>
    <w:p w14:paraId="29F47A51">
      <w:pPr>
        <w:spacing w:line="360" w:lineRule="auto"/>
        <w:jc w:val="left"/>
        <w:rPr>
          <w:rFonts w:hint="eastAsia" w:ascii="宋体" w:hAnsi="宋体" w:eastAsia="宋体" w:cs="宋体"/>
          <w:b w:val="0"/>
          <w:bCs w:val="0"/>
          <w:i w:val="0"/>
          <w:iCs w:val="0"/>
          <w:color w:val="auto"/>
          <w:kern w:val="2"/>
          <w:sz w:val="21"/>
          <w:szCs w:val="21"/>
          <w:highlight w:val="none"/>
          <w:shd w:val="clear" w:color="auto" w:fill="FFFFFF"/>
          <w:lang w:val="en-US" w:eastAsia="zh-CN" w:bidi="ar-SA"/>
        </w:rPr>
      </w:pPr>
    </w:p>
    <w:p w14:paraId="62BD27B3">
      <w:pPr>
        <w:spacing w:line="360" w:lineRule="auto"/>
        <w:jc w:val="cente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lang w:val="en-US" w:eastAsia="zh-CN"/>
        </w:rPr>
        <w:t>供应商</w:t>
      </w:r>
      <w:r>
        <w:rPr>
          <w:rFonts w:hint="eastAsia" w:ascii="宋体" w:hAnsi="宋体" w:eastAsia="宋体" w:cs="宋体"/>
          <w:b w:val="0"/>
          <w:bCs w:val="0"/>
          <w:color w:val="auto"/>
          <w:sz w:val="32"/>
          <w:szCs w:val="32"/>
          <w:highlight w:val="none"/>
        </w:rPr>
        <w:t>技术支持和售后服务承诺</w:t>
      </w:r>
    </w:p>
    <w:p w14:paraId="5846F5A2">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供应商结合《采购需求》</w:t>
      </w:r>
      <w:r>
        <w:rPr>
          <w:rFonts w:hint="eastAsia" w:ascii="宋体" w:hAnsi="宋体" w:eastAsia="宋体" w:cs="宋体"/>
          <w:b w:val="0"/>
          <w:bCs w:val="0"/>
          <w:color w:val="auto"/>
          <w:sz w:val="21"/>
          <w:szCs w:val="21"/>
          <w:highlight w:val="none"/>
        </w:rPr>
        <w:t>自行填写）</w:t>
      </w:r>
    </w:p>
    <w:p w14:paraId="656BA133">
      <w:pPr>
        <w:spacing w:line="360" w:lineRule="auto"/>
        <w:jc w:val="center"/>
        <w:rPr>
          <w:rFonts w:hint="eastAsia" w:ascii="宋体" w:hAnsi="宋体" w:eastAsia="宋体" w:cs="宋体"/>
          <w:b w:val="0"/>
          <w:bCs w:val="0"/>
          <w:color w:val="auto"/>
          <w:sz w:val="21"/>
          <w:szCs w:val="21"/>
          <w:highlight w:val="none"/>
        </w:rPr>
      </w:pPr>
    </w:p>
    <w:p w14:paraId="797337E1">
      <w:pPr>
        <w:spacing w:line="360" w:lineRule="auto"/>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（主要内容应包括，但不仅限于下列内容）</w:t>
      </w:r>
    </w:p>
    <w:p w14:paraId="364E04D3">
      <w:pPr>
        <w:spacing w:line="360" w:lineRule="auto"/>
        <w:rPr>
          <w:rFonts w:hint="eastAsia" w:ascii="宋体" w:hAnsi="宋体" w:eastAsia="宋体" w:cs="宋体"/>
          <w:b w:val="0"/>
          <w:bCs w:val="0"/>
          <w:color w:val="auto"/>
          <w:sz w:val="21"/>
          <w:szCs w:val="21"/>
          <w:highlight w:val="none"/>
        </w:rPr>
      </w:pPr>
    </w:p>
    <w:p w14:paraId="733D04E9">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应当分别列明投标货物免费质量保证期限</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rPr>
        <w:t>年，在免费质量保证期（包修、包换、包退）内能够提供的技术支持办法和服务方式、服务内容以及维护维修的解决方式（上门维修、报修、送修等），如果招标人需要增加投标货物免费质量保证期，其续保价格每年</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元。</w:t>
      </w:r>
    </w:p>
    <w:p w14:paraId="26CE5A68">
      <w:pPr>
        <w:spacing w:line="360" w:lineRule="auto"/>
        <w:ind w:firstLine="415" w:firstLineChars="198"/>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应分别列明免费质量保证期外的服务年限</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rPr>
        <w:t>年；维护维修的电话、联系人、响应服务时间、到达现场时间以及维护维修完成时限（天）。</w:t>
      </w:r>
    </w:p>
    <w:p w14:paraId="16203A4D">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应列明在货物免费质量保证期外技术支持和相关服务收费标准，零(部)备件取得方式及取费标准。</w:t>
      </w:r>
    </w:p>
    <w:p w14:paraId="79E977B8">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应分别列明投标物品的装箱清单及物品及产品开箱不合格处理方法。</w:t>
      </w:r>
    </w:p>
    <w:p w14:paraId="7FED4C93">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应列明违反售后服务承诺的赔偿责任。</w:t>
      </w:r>
    </w:p>
    <w:p w14:paraId="327B3E2B">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应列明产品的质量或服务投诉电话（</w:t>
      </w:r>
      <w:r>
        <w:rPr>
          <w:rFonts w:hint="eastAsia" w:ascii="宋体" w:hAnsi="宋体" w:eastAsia="宋体" w:cs="宋体"/>
          <w:b w:val="0"/>
          <w:bCs w:val="0"/>
          <w:color w:val="auto"/>
          <w:sz w:val="21"/>
          <w:szCs w:val="21"/>
          <w:highlight w:val="none"/>
          <w:lang w:eastAsia="zh-CN"/>
        </w:rPr>
        <w:t>中标单位</w:t>
      </w:r>
      <w:r>
        <w:rPr>
          <w:rFonts w:hint="eastAsia" w:ascii="宋体" w:hAnsi="宋体" w:eastAsia="宋体" w:cs="宋体"/>
          <w:b w:val="0"/>
          <w:bCs w:val="0"/>
          <w:color w:val="auto"/>
          <w:sz w:val="21"/>
          <w:szCs w:val="21"/>
          <w:highlight w:val="none"/>
        </w:rPr>
        <w:t>/厂方）。</w:t>
      </w:r>
    </w:p>
    <w:p w14:paraId="54F3CF5D">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7、</w:t>
      </w:r>
      <w:r>
        <w:rPr>
          <w:rFonts w:hint="eastAsia" w:ascii="宋体" w:hAnsi="宋体" w:eastAsia="宋体" w:cs="宋体"/>
          <w:b w:val="0"/>
          <w:bCs w:val="0"/>
          <w:color w:val="auto"/>
          <w:sz w:val="21"/>
          <w:szCs w:val="21"/>
          <w:highlight w:val="none"/>
        </w:rPr>
        <w:t>供应商</w:t>
      </w:r>
      <w:r>
        <w:rPr>
          <w:rFonts w:hint="eastAsia" w:ascii="宋体" w:hAnsi="宋体" w:eastAsia="宋体" w:cs="宋体"/>
          <w:b w:val="0"/>
          <w:bCs w:val="0"/>
          <w:color w:val="auto"/>
          <w:sz w:val="21"/>
          <w:szCs w:val="21"/>
          <w:highlight w:val="none"/>
          <w:lang w:val="en-US" w:eastAsia="zh-CN"/>
        </w:rPr>
        <w:t>应承诺</w:t>
      </w:r>
      <w:r>
        <w:rPr>
          <w:rFonts w:hint="eastAsia" w:ascii="宋体" w:hAnsi="宋体" w:eastAsia="宋体" w:cs="宋体"/>
          <w:b w:val="0"/>
          <w:bCs w:val="0"/>
          <w:color w:val="auto"/>
          <w:sz w:val="21"/>
          <w:szCs w:val="21"/>
          <w:highlight w:val="none"/>
        </w:rPr>
        <w:t>承担现场指导费用（含于投标报价）。质保期内，若非人为损坏产生故障，供应商应提供上门维修服务，零配件更换费用由供应商承担（费用已包含）。质保期内及期满后，若无法确定是否为产品本身质量问题，供应商应配合检查，必要时按响应时间到场协助。</w:t>
      </w:r>
    </w:p>
    <w:p w14:paraId="6FFB43D0">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rPr>
        <w:t>供应商</w:t>
      </w:r>
      <w:r>
        <w:rPr>
          <w:rFonts w:hint="eastAsia" w:ascii="宋体" w:hAnsi="宋体" w:eastAsia="宋体" w:cs="宋体"/>
          <w:b w:val="0"/>
          <w:bCs w:val="0"/>
          <w:color w:val="auto"/>
          <w:sz w:val="21"/>
          <w:szCs w:val="21"/>
          <w:highlight w:val="none"/>
          <w:lang w:val="en-US" w:eastAsia="zh-CN"/>
        </w:rPr>
        <w:t>应承诺</w:t>
      </w:r>
      <w:r>
        <w:rPr>
          <w:rFonts w:hint="eastAsia" w:ascii="宋体" w:hAnsi="宋体" w:eastAsia="宋体" w:cs="宋体"/>
          <w:b w:val="0"/>
          <w:bCs w:val="0"/>
          <w:color w:val="auto"/>
          <w:sz w:val="21"/>
          <w:szCs w:val="21"/>
          <w:highlight w:val="none"/>
        </w:rPr>
        <w:t>质保期内，同一伴随产品一个月内连续2次出现同一质量问题，供应商须无偿更换同等档次伴随产品。</w:t>
      </w:r>
    </w:p>
    <w:p w14:paraId="111C2E61">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rPr>
        <w:t>供应商</w:t>
      </w:r>
      <w:r>
        <w:rPr>
          <w:rFonts w:hint="eastAsia" w:ascii="宋体" w:hAnsi="宋体" w:eastAsia="宋体" w:cs="宋体"/>
          <w:b w:val="0"/>
          <w:bCs w:val="0"/>
          <w:color w:val="auto"/>
          <w:sz w:val="21"/>
          <w:szCs w:val="21"/>
          <w:highlight w:val="none"/>
          <w:lang w:val="en-US" w:eastAsia="zh-CN"/>
        </w:rPr>
        <w:t>应承诺</w:t>
      </w:r>
      <w:r>
        <w:rPr>
          <w:rFonts w:hint="eastAsia" w:ascii="宋体" w:hAnsi="宋体" w:eastAsia="宋体" w:cs="宋体"/>
          <w:b w:val="0"/>
          <w:bCs w:val="0"/>
          <w:color w:val="auto"/>
          <w:sz w:val="21"/>
          <w:szCs w:val="21"/>
          <w:highlight w:val="none"/>
        </w:rPr>
        <w:t>服务升级：质保期内，中标人如公司服务更新升级则免费为所提供的服务升级服务。</w:t>
      </w:r>
    </w:p>
    <w:p w14:paraId="14E47AA2">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供应商</w:t>
      </w:r>
      <w:r>
        <w:rPr>
          <w:rFonts w:hint="eastAsia" w:ascii="宋体" w:hAnsi="宋体" w:eastAsia="宋体" w:cs="宋体"/>
          <w:b w:val="0"/>
          <w:bCs w:val="0"/>
          <w:color w:val="auto"/>
          <w:sz w:val="21"/>
          <w:szCs w:val="21"/>
          <w:highlight w:val="none"/>
          <w:lang w:val="en-US" w:eastAsia="zh-CN"/>
        </w:rPr>
        <w:t>应承诺</w:t>
      </w:r>
      <w:r>
        <w:rPr>
          <w:rFonts w:hint="eastAsia" w:ascii="宋体" w:hAnsi="宋体" w:eastAsia="宋体" w:cs="宋体"/>
          <w:b w:val="0"/>
          <w:bCs w:val="0"/>
          <w:color w:val="auto"/>
          <w:sz w:val="21"/>
          <w:szCs w:val="21"/>
          <w:highlight w:val="none"/>
        </w:rPr>
        <w:t>能够及时解决客户使用过程中遇到的问题和困难，</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应提供</w:t>
      </w:r>
      <w:r>
        <w:rPr>
          <w:rFonts w:hint="eastAsia"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年的24小时售后服务，保证在接到用户方故障电话申报后0.5小时内响应，2小时内到达现场，12小时内解决问题。能够提供技术指导和支持，并确保采购人的权益得到保障</w:t>
      </w:r>
    </w:p>
    <w:p w14:paraId="093DE6BE">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供应商</w:t>
      </w:r>
      <w:r>
        <w:rPr>
          <w:rFonts w:hint="eastAsia" w:ascii="宋体" w:hAnsi="宋体" w:eastAsia="宋体" w:cs="宋体"/>
          <w:b w:val="0"/>
          <w:bCs w:val="0"/>
          <w:color w:val="auto"/>
          <w:sz w:val="21"/>
          <w:szCs w:val="21"/>
          <w:highlight w:val="none"/>
          <w:lang w:val="en-US" w:eastAsia="zh-CN"/>
        </w:rPr>
        <w:t>应承诺</w:t>
      </w:r>
      <w:r>
        <w:rPr>
          <w:rFonts w:hint="eastAsia" w:ascii="宋体" w:hAnsi="宋体" w:eastAsia="宋体" w:cs="宋体"/>
          <w:b w:val="0"/>
          <w:bCs w:val="0"/>
          <w:color w:val="auto"/>
          <w:sz w:val="21"/>
          <w:szCs w:val="21"/>
          <w:highlight w:val="none"/>
        </w:rPr>
        <w:t>对质保期内的售后问题，如未能做到上款的服务承诺，用户可采取必要的补救措施，但其风险和费用由</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承担，由于</w:t>
      </w: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的保证服务不到位，质保期到期时间将顺延。</w:t>
      </w:r>
    </w:p>
    <w:p w14:paraId="15393FA4">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rPr>
        <w:t>供应商</w:t>
      </w:r>
      <w:r>
        <w:rPr>
          <w:rFonts w:hint="eastAsia" w:ascii="宋体" w:hAnsi="宋体" w:eastAsia="宋体" w:cs="宋体"/>
          <w:b w:val="0"/>
          <w:bCs w:val="0"/>
          <w:color w:val="auto"/>
          <w:sz w:val="21"/>
          <w:szCs w:val="21"/>
          <w:highlight w:val="none"/>
          <w:lang w:val="en-US" w:eastAsia="zh-CN"/>
        </w:rPr>
        <w:t>应承诺</w:t>
      </w:r>
      <w:r>
        <w:rPr>
          <w:rFonts w:hint="eastAsia" w:ascii="宋体" w:hAnsi="宋体" w:eastAsia="宋体" w:cs="宋体"/>
          <w:b w:val="0"/>
          <w:bCs w:val="0"/>
          <w:color w:val="auto"/>
          <w:sz w:val="21"/>
          <w:szCs w:val="21"/>
          <w:highlight w:val="none"/>
        </w:rPr>
        <w:t>投标时所提供的伴随产品如在实际供货时已经废型，则中标供应商应用供货时该厂家的最新产品提供给用户单位，其性能指标不得低于所投伴随产品，并且价格不变。</w:t>
      </w:r>
    </w:p>
    <w:p w14:paraId="64FA3895">
      <w:pPr>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13、</w:t>
      </w:r>
      <w:r>
        <w:rPr>
          <w:rFonts w:hint="eastAsia" w:ascii="宋体" w:hAnsi="宋体" w:eastAsia="宋体" w:cs="宋体"/>
          <w:b w:val="0"/>
          <w:bCs w:val="0"/>
          <w:color w:val="auto"/>
          <w:sz w:val="21"/>
          <w:szCs w:val="21"/>
          <w:highlight w:val="none"/>
        </w:rPr>
        <w:t>供应商</w:t>
      </w:r>
      <w:r>
        <w:rPr>
          <w:rFonts w:hint="eastAsia" w:ascii="宋体" w:hAnsi="宋体" w:eastAsia="宋体" w:cs="宋体"/>
          <w:b w:val="0"/>
          <w:bCs w:val="0"/>
          <w:color w:val="auto"/>
          <w:sz w:val="21"/>
          <w:szCs w:val="21"/>
          <w:highlight w:val="none"/>
          <w:lang w:val="en-US" w:eastAsia="zh-CN"/>
        </w:rPr>
        <w:t>应承诺</w:t>
      </w:r>
      <w:r>
        <w:rPr>
          <w:rFonts w:hint="eastAsia" w:ascii="宋体" w:hAnsi="宋体" w:eastAsia="宋体" w:cs="宋体"/>
          <w:b w:val="0"/>
          <w:bCs w:val="0"/>
          <w:color w:val="auto"/>
          <w:sz w:val="21"/>
          <w:szCs w:val="21"/>
          <w:highlight w:val="none"/>
        </w:rPr>
        <w:t>提供技术培训，为采购人培训技术人员，确保操作者熟悉服务内容和功能。培训包括操作维护指导、主要功能、使用方法、注意事项及应急处置措施，保证安全高效、无风险，涵盖日常操作维护、故障排除和紧急处理。培训地点在服务现场或协商安排，所有费用已含在投标总价中。</w:t>
      </w:r>
    </w:p>
    <w:p w14:paraId="7F77D261">
      <w:pPr>
        <w:spacing w:line="360" w:lineRule="auto"/>
        <w:ind w:firstLine="3150" w:firstLineChars="1500"/>
        <w:rPr>
          <w:rFonts w:hint="eastAsia" w:ascii="宋体" w:hAnsi="宋体" w:eastAsia="宋体" w:cs="宋体"/>
          <w:b w:val="0"/>
          <w:bCs w:val="0"/>
          <w:color w:val="auto"/>
          <w:sz w:val="21"/>
          <w:szCs w:val="21"/>
          <w:highlight w:val="none"/>
        </w:rPr>
      </w:pPr>
    </w:p>
    <w:p w14:paraId="7EDD92D2">
      <w:pPr>
        <w:pStyle w:val="17"/>
        <w:tabs>
          <w:tab w:val="right" w:leader="dot" w:pos="8777"/>
        </w:tabs>
        <w:spacing w:line="360" w:lineRule="auto"/>
        <w:ind w:left="1120"/>
        <w:rPr>
          <w:rFonts w:hint="eastAsia" w:ascii="宋体" w:hAnsi="宋体" w:eastAsia="宋体" w:cs="宋体"/>
          <w:b w:val="0"/>
          <w:bCs w:val="0"/>
          <w:color w:val="auto"/>
          <w:sz w:val="21"/>
          <w:szCs w:val="21"/>
          <w:highlight w:val="none"/>
        </w:rPr>
      </w:pPr>
    </w:p>
    <w:p w14:paraId="06883F7D">
      <w:pPr>
        <w:spacing w:line="360" w:lineRule="auto"/>
        <w:rPr>
          <w:rFonts w:hint="eastAsia" w:ascii="宋体" w:hAnsi="宋体" w:eastAsia="宋体" w:cs="宋体"/>
          <w:b w:val="0"/>
          <w:bCs w:val="0"/>
          <w:color w:val="auto"/>
          <w:sz w:val="21"/>
          <w:szCs w:val="21"/>
          <w:highlight w:val="none"/>
        </w:rPr>
      </w:pPr>
    </w:p>
    <w:p w14:paraId="1046C0F7">
      <w:pPr>
        <w:spacing w:line="360" w:lineRule="auto"/>
        <w:ind w:firstLine="3150" w:firstLineChars="1500"/>
        <w:rPr>
          <w:rFonts w:hint="eastAsia" w:ascii="宋体" w:hAnsi="宋体" w:eastAsia="宋体" w:cs="宋体"/>
          <w:b w:val="0"/>
          <w:bCs w:val="0"/>
          <w:color w:val="auto"/>
          <w:sz w:val="21"/>
          <w:szCs w:val="21"/>
          <w:highlight w:val="none"/>
        </w:rPr>
      </w:pPr>
    </w:p>
    <w:p w14:paraId="12BF5CBB">
      <w:pPr>
        <w:spacing w:line="360" w:lineRule="auto"/>
        <w:ind w:firstLine="3150" w:firstLineChars="15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供应商名称（公章）</w:t>
      </w:r>
    </w:p>
    <w:p w14:paraId="773F2C32">
      <w:pPr>
        <w:spacing w:line="360" w:lineRule="auto"/>
        <w:ind w:firstLine="3150" w:firstLineChars="1500"/>
        <w:rPr>
          <w:rFonts w:hint="eastAsia" w:ascii="宋体" w:hAnsi="宋体" w:eastAsia="宋体" w:cs="宋体"/>
          <w:b w:val="0"/>
          <w:bCs w:val="0"/>
          <w:color w:val="auto"/>
          <w:sz w:val="21"/>
          <w:szCs w:val="21"/>
          <w:highlight w:val="none"/>
        </w:rPr>
      </w:pPr>
    </w:p>
    <w:p w14:paraId="7100B4F2">
      <w:pPr>
        <w:spacing w:line="360" w:lineRule="auto"/>
        <w:ind w:firstLine="3150" w:firstLineChars="15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w:t>
      </w:r>
      <w:r>
        <w:rPr>
          <w:rFonts w:hint="eastAsia" w:ascii="宋体" w:hAnsi="宋体" w:eastAsia="宋体" w:cs="宋体"/>
          <w:color w:val="auto"/>
          <w:kern w:val="0"/>
          <w:sz w:val="21"/>
          <w:szCs w:val="21"/>
          <w:highlight w:val="none"/>
          <w:lang w:val="en-US" w:eastAsia="zh-CN"/>
        </w:rPr>
        <w:t>或授权代表</w:t>
      </w:r>
      <w:r>
        <w:rPr>
          <w:rFonts w:hint="eastAsia"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签字</w:t>
      </w:r>
      <w:r>
        <w:rPr>
          <w:rFonts w:hint="eastAsia"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w:t>
      </w:r>
    </w:p>
    <w:p w14:paraId="63ECC959">
      <w:pPr>
        <w:spacing w:line="360" w:lineRule="auto"/>
        <w:ind w:firstLine="3150" w:firstLineChars="15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w:t>
      </w:r>
    </w:p>
    <w:p w14:paraId="3BB68C45">
      <w:pPr>
        <w:spacing w:line="360" w:lineRule="auto"/>
        <w:ind w:left="0" w:leftChars="0" w:firstLine="3150" w:firstLineChars="15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签署日期：    年   月   日</w:t>
      </w:r>
    </w:p>
    <w:p w14:paraId="3B74E0D2">
      <w:pPr>
        <w:pStyle w:val="38"/>
        <w:spacing w:line="360" w:lineRule="auto"/>
        <w:ind w:left="0" w:leftChars="0" w:firstLine="0" w:firstLineChars="0"/>
        <w:rPr>
          <w:rFonts w:hint="eastAsia" w:ascii="宋体" w:hAnsi="宋体" w:eastAsia="宋体" w:cs="宋体"/>
          <w:b w:val="0"/>
          <w:bCs w:val="0"/>
          <w:i w:val="0"/>
          <w:iCs w:val="0"/>
          <w:color w:val="auto"/>
          <w:sz w:val="21"/>
          <w:szCs w:val="21"/>
          <w:highlight w:val="none"/>
          <w:shd w:val="clear" w:color="auto" w:fill="FFFFFF"/>
          <w:lang w:val="en-US" w:eastAsia="zh-CN"/>
        </w:rPr>
      </w:pPr>
    </w:p>
    <w:p w14:paraId="161326D8">
      <w:pPr>
        <w:rPr>
          <w:rFonts w:hint="eastAsia"/>
          <w:b/>
          <w:bCs/>
          <w:i w:val="0"/>
          <w:iCs w:val="0"/>
          <w:color w:val="auto"/>
          <w:sz w:val="24"/>
          <w:szCs w:val="24"/>
          <w:highlight w:val="none"/>
          <w:shd w:val="clear" w:color="auto" w:fill="FFFFFF"/>
          <w:lang w:val="en-US" w:eastAsia="zh-CN"/>
        </w:rPr>
      </w:pPr>
      <w:r>
        <w:rPr>
          <w:rFonts w:hint="eastAsia"/>
          <w:b/>
          <w:bCs/>
          <w:i w:val="0"/>
          <w:iCs w:val="0"/>
          <w:color w:val="auto"/>
          <w:sz w:val="24"/>
          <w:szCs w:val="24"/>
          <w:highlight w:val="none"/>
          <w:shd w:val="clear" w:color="auto" w:fill="FFFFFF"/>
          <w:lang w:val="en-US" w:eastAsia="zh-CN"/>
        </w:rPr>
        <w:br w:type="page"/>
      </w:r>
    </w:p>
    <w:p w14:paraId="7E00DD9E">
      <w:pPr>
        <w:pStyle w:val="38"/>
        <w:ind w:left="0" w:leftChars="0" w:firstLine="0" w:firstLineChars="0"/>
        <w:rPr>
          <w:rFonts w:hint="eastAsia"/>
          <w:b/>
          <w:bCs/>
          <w:i w:val="0"/>
          <w:iCs w:val="0"/>
          <w:color w:val="auto"/>
          <w:sz w:val="24"/>
          <w:szCs w:val="24"/>
          <w:highlight w:val="none"/>
          <w:shd w:val="clear" w:color="auto" w:fill="FFFFFF"/>
          <w:lang w:val="zh-CN" w:eastAsia="zh-CN"/>
        </w:rPr>
      </w:pPr>
      <w:r>
        <w:rPr>
          <w:rFonts w:hint="eastAsia"/>
          <w:b/>
          <w:bCs/>
          <w:i w:val="0"/>
          <w:iCs w:val="0"/>
          <w:color w:val="auto"/>
          <w:sz w:val="24"/>
          <w:szCs w:val="24"/>
          <w:highlight w:val="none"/>
          <w:shd w:val="clear" w:color="auto" w:fill="FFFFFF"/>
          <w:lang w:val="en-US" w:eastAsia="zh-CN"/>
        </w:rPr>
        <w:t>（三）竞争性磋商</w:t>
      </w:r>
      <w:r>
        <w:rPr>
          <w:rFonts w:hint="eastAsia"/>
          <w:b/>
          <w:bCs/>
          <w:i w:val="0"/>
          <w:iCs w:val="0"/>
          <w:color w:val="auto"/>
          <w:sz w:val="24"/>
          <w:szCs w:val="24"/>
          <w:highlight w:val="none"/>
          <w:shd w:val="clear" w:color="auto" w:fill="FFFFFF"/>
          <w:lang w:val="zh-CN" w:eastAsia="zh-CN"/>
        </w:rPr>
        <w:t>文件要求提供的其它商务、技术资料和证明材料；</w:t>
      </w:r>
    </w:p>
    <w:p w14:paraId="4FCDAA1B">
      <w:pPr>
        <w:pStyle w:val="38"/>
        <w:rPr>
          <w:rFonts w:hint="default"/>
          <w:i w:val="0"/>
          <w:iCs w:val="0"/>
          <w:color w:val="auto"/>
          <w:sz w:val="28"/>
          <w:szCs w:val="28"/>
          <w:highlight w:val="none"/>
          <w:lang w:val="en-US" w:eastAsia="zh-CN"/>
        </w:rPr>
      </w:pPr>
    </w:p>
    <w:p w14:paraId="04B0A09D">
      <w:pPr>
        <w:pStyle w:val="38"/>
        <w:rPr>
          <w:rFonts w:hint="default"/>
          <w:i w:val="0"/>
          <w:iCs w:val="0"/>
          <w:color w:val="auto"/>
          <w:sz w:val="28"/>
          <w:szCs w:val="28"/>
          <w:highlight w:val="none"/>
          <w:lang w:val="en-US" w:eastAsia="zh-CN"/>
        </w:rPr>
      </w:pPr>
    </w:p>
    <w:p w14:paraId="3DAEA8BC">
      <w:pPr>
        <w:pStyle w:val="38"/>
        <w:ind w:left="0" w:leftChars="0" w:firstLine="0" w:firstLineChars="0"/>
        <w:rPr>
          <w:rFonts w:hint="eastAsia"/>
          <w:i w:val="0"/>
          <w:iCs w:val="0"/>
          <w:color w:val="auto"/>
          <w:highlight w:val="none"/>
        </w:rPr>
      </w:pPr>
      <w:r>
        <w:rPr>
          <w:rFonts w:hint="eastAsia"/>
          <w:b/>
          <w:bCs/>
          <w:i w:val="0"/>
          <w:iCs w:val="0"/>
          <w:color w:val="auto"/>
          <w:sz w:val="24"/>
          <w:szCs w:val="24"/>
          <w:highlight w:val="none"/>
          <w:shd w:val="clear" w:color="auto" w:fill="FFFFFF"/>
          <w:lang w:val="en-US" w:eastAsia="zh-CN"/>
        </w:rPr>
        <w:t>（四）供应商认为需要提供的其它商务、技术资料和说明。</w:t>
      </w:r>
    </w:p>
    <w:p w14:paraId="53EE214B">
      <w:pPr>
        <w:pStyle w:val="38"/>
        <w:rPr>
          <w:rFonts w:hint="eastAsia"/>
          <w:i w:val="0"/>
          <w:iCs w:val="0"/>
          <w:color w:val="auto"/>
          <w:highlight w:val="none"/>
        </w:rPr>
      </w:pPr>
    </w:p>
    <w:p w14:paraId="728993DC">
      <w:pPr>
        <w:pStyle w:val="38"/>
        <w:rPr>
          <w:rFonts w:hint="eastAsia"/>
          <w:i w:val="0"/>
          <w:iCs w:val="0"/>
          <w:color w:val="auto"/>
          <w:highlight w:val="none"/>
        </w:rPr>
      </w:pPr>
    </w:p>
    <w:bookmarkEnd w:id="631"/>
    <w:p w14:paraId="7943C8B3">
      <w:pPr>
        <w:rPr>
          <w:i w:val="0"/>
          <w:iCs w:val="0"/>
          <w:color w:val="auto"/>
          <w:highlight w:val="none"/>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B5B1CDD-7ADE-4968-98A2-CF1281D36E01}"/>
  </w:font>
  <w:font w:name="Arial">
    <w:panose1 w:val="020B0604020202020204"/>
    <w:charset w:val="01"/>
    <w:family w:val="swiss"/>
    <w:pitch w:val="default"/>
    <w:sig w:usb0="E0002EFF" w:usb1="C000785B" w:usb2="00000009" w:usb3="00000000" w:csb0="400001FF" w:csb1="FFFF0000"/>
    <w:embedRegular r:id="rId2" w:fontKey="{03BF0A0F-0B9A-41FE-8228-6CB3B0784850}"/>
  </w:font>
  <w:font w:name="黑体">
    <w:panose1 w:val="02010609060101010101"/>
    <w:charset w:val="86"/>
    <w:family w:val="auto"/>
    <w:pitch w:val="default"/>
    <w:sig w:usb0="800002BF" w:usb1="38CF7CFA" w:usb2="00000016" w:usb3="00000000" w:csb0="00040001" w:csb1="00000000"/>
    <w:embedRegular r:id="rId3" w:fontKey="{61678CD7-A97E-4933-87E5-F9EA87849480}"/>
  </w:font>
  <w:font w:name="Courier New">
    <w:panose1 w:val="02070309020205020404"/>
    <w:charset w:val="01"/>
    <w:family w:val="modern"/>
    <w:pitch w:val="default"/>
    <w:sig w:usb0="E0002EFF" w:usb1="C0007843" w:usb2="00000009" w:usb3="00000000" w:csb0="400001FF" w:csb1="FFFF0000"/>
    <w:embedRegular r:id="rId4" w:fontKey="{75C5D63F-BE9E-4B50-80CE-4671E7FF884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embedRegular r:id="rId5" w:fontKey="{456E13AF-A6B7-4FF8-8627-C65C9BE7CBE9}"/>
  </w:font>
  <w:font w:name="仿宋_GB2312">
    <w:panose1 w:val="02010609030101010101"/>
    <w:charset w:val="86"/>
    <w:family w:val="modern"/>
    <w:pitch w:val="default"/>
    <w:sig w:usb0="00000001" w:usb1="080E0000" w:usb2="00000000" w:usb3="00000000" w:csb0="00040000" w:csb1="00000000"/>
    <w:embedRegular r:id="rId6" w:fontKey="{792A9C8B-F844-43E2-B6CE-8B519A4AF913}"/>
  </w:font>
  <w:font w:name="等线">
    <w:panose1 w:val="02010600030101010101"/>
    <w:charset w:val="86"/>
    <w:family w:val="auto"/>
    <w:pitch w:val="default"/>
    <w:sig w:usb0="A00002BF" w:usb1="38CF7CFA" w:usb2="00000016" w:usb3="00000000" w:csb0="0004000F" w:csb1="00000000"/>
    <w:embedRegular r:id="rId7" w:fontKey="{A8761063-6729-42C2-8868-B3CA41F596EE}"/>
  </w:font>
  <w:font w:name="..">
    <w:altName w:val="宋体"/>
    <w:panose1 w:val="00000000000000000000"/>
    <w:charset w:val="86"/>
    <w:family w:val="auto"/>
    <w:pitch w:val="default"/>
    <w:sig w:usb0="00000000" w:usb1="00000000" w:usb2="00000010" w:usb3="00000000" w:csb0="00040000" w:csb1="00000000"/>
  </w:font>
  <w:font w:name="华文楷体">
    <w:panose1 w:val="02010600040101010101"/>
    <w:charset w:val="86"/>
    <w:family w:val="auto"/>
    <w:pitch w:val="default"/>
    <w:sig w:usb0="A00002BF" w:usb1="78CF7CFB" w:usb2="00000016" w:usb3="00000000" w:csb0="6006009F" w:csb1="DFD70000"/>
  </w:font>
  <w:font w:name="ˎ̥">
    <w:altName w:val="Times New Roman"/>
    <w:panose1 w:val="00000000000000000000"/>
    <w:charset w:val="00"/>
    <w:family w:val="roman"/>
    <w:pitch w:val="default"/>
    <w:sig w:usb0="00000000" w:usb1="00000000" w:usb2="00000000" w:usb3="00000000" w:csb0="00040001" w:csb1="00000000"/>
  </w:font>
  <w:font w:name="宋体;SimSun">
    <w:altName w:val="宋体"/>
    <w:panose1 w:val="00000000000000000000"/>
    <w:charset w:val="86"/>
    <w:family w:val="roman"/>
    <w:pitch w:val="default"/>
    <w:sig w:usb0="00000000" w:usb1="00000000" w:usb2="00000010" w:usb3="00000000" w:csb0="00040000" w:csb1="00000000"/>
    <w:embedRegular r:id="rId8" w:fontKey="{640C7921-DC7B-4204-9ABC-B3AB6B00F8C1}"/>
  </w:font>
  <w:font w:name="Noto Sans SC">
    <w:panose1 w:val="020B0200000000000000"/>
    <w:charset w:val="86"/>
    <w:family w:val="auto"/>
    <w:pitch w:val="default"/>
    <w:sig w:usb0="20000083" w:usb1="2ADF3C10" w:usb2="00000016" w:usb3="00000000" w:csb0="60060107" w:csb1="00000000"/>
    <w:embedRegular r:id="rId9" w:fontKey="{366D6A1D-6878-461B-A5DC-9BC554035741}"/>
  </w:font>
  <w:font w:name="仿宋">
    <w:panose1 w:val="02010609060101010101"/>
    <w:charset w:val="86"/>
    <w:family w:val="modern"/>
    <w:pitch w:val="default"/>
    <w:sig w:usb0="800002BF" w:usb1="38CF7CFA" w:usb2="00000016" w:usb3="00000000" w:csb0="00040001" w:csb1="00000000"/>
    <w:embedRegular r:id="rId10" w:fontKey="{F10CB897-AD1A-4535-AA6A-1C6276C9C30A}"/>
  </w:font>
  <w:font w:name="方正仿宋_GB2312">
    <w:panose1 w:val="02000000000000000000"/>
    <w:charset w:val="86"/>
    <w:family w:val="auto"/>
    <w:pitch w:val="default"/>
    <w:sig w:usb0="A00002BF" w:usb1="184F6CFA" w:usb2="00000012" w:usb3="00000000" w:csb0="00040001" w:csb1="00000000"/>
    <w:embedRegular r:id="rId11" w:fontKey="{18437DE7-0CFE-471C-AF1B-5AED513D8DB7}"/>
  </w:font>
  <w:font w:name="微软雅黑">
    <w:panose1 w:val="020B0503020204020204"/>
    <w:charset w:val="86"/>
    <w:family w:val="auto"/>
    <w:pitch w:val="default"/>
    <w:sig w:usb0="80000287" w:usb1="2ACF3C50" w:usb2="00000016" w:usb3="00000000" w:csb0="0004001F" w:csb1="00000000"/>
    <w:embedRegular r:id="rId12" w:fontKey="{3900CCE5-529C-40FF-B528-0CA2DF004456}"/>
  </w:font>
  <w:font w:name="Helvetica">
    <w:altName w:val="Arial"/>
    <w:panose1 w:val="020B0504020002020204"/>
    <w:charset w:val="00"/>
    <w:family w:val="swiss"/>
    <w:pitch w:val="default"/>
    <w:sig w:usb0="00000000" w:usb1="00000000" w:usb2="00000000" w:usb3="00000000" w:csb0="00000001" w:csb1="00000000"/>
    <w:embedRegular r:id="rId13" w:fontKey="{DD10B29F-B3B0-4A85-8A8B-99D1A2445B12}"/>
  </w:font>
  <w:font w:name="Tahoma">
    <w:panose1 w:val="020B0604030504040204"/>
    <w:charset w:val="00"/>
    <w:family w:val="swiss"/>
    <w:pitch w:val="default"/>
    <w:sig w:usb0="E1002EFF" w:usb1="C000605B" w:usb2="00000029" w:usb3="00000000" w:csb0="200101FF" w:csb1="20280000"/>
    <w:embedRegular r:id="rId14" w:fontKey="{73213123-965E-4AFF-B645-601BE0F409C9}"/>
  </w:font>
  <w:font w:name="方正小标宋_GBK">
    <w:panose1 w:val="02000000000000000000"/>
    <w:charset w:val="86"/>
    <w:family w:val="auto"/>
    <w:pitch w:val="default"/>
    <w:sig w:usb0="A00002BF" w:usb1="38CF7CFA" w:usb2="00082016" w:usb3="00000000" w:csb0="00040001" w:csb1="00000000"/>
    <w:embedRegular r:id="rId15" w:fontKey="{B80A571F-D4B2-44B5-8EE0-E68F40150154}"/>
  </w:font>
  <w:font w:name="DejaVuSans">
    <w:altName w:val="Segoe Print"/>
    <w:panose1 w:val="00000000000000000000"/>
    <w:charset w:val="00"/>
    <w:family w:val="auto"/>
    <w:pitch w:val="default"/>
    <w:sig w:usb0="00000000" w:usb1="00000000" w:usb2="00000000" w:usb3="00000000" w:csb0="00000000" w:csb1="00000000"/>
    <w:embedRegular r:id="rId16" w:fontKey="{F5C8280A-A129-496C-8A80-90A02CCF5CCC}"/>
  </w:font>
  <w:font w:name="Segoe Print">
    <w:panose1 w:val="02000600000000000000"/>
    <w:charset w:val="00"/>
    <w:family w:val="auto"/>
    <w:pitch w:val="default"/>
    <w:sig w:usb0="0000028F" w:usb1="00000000" w:usb2="00000000" w:usb3="00000000" w:csb0="2000009F" w:csb1="47010000"/>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E24FD">
    <w:pPr>
      <w:pStyle w:val="20"/>
      <w:jc w:val="cente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9B303A5">
                          <w:pPr>
                            <w:pStyle w:val="20"/>
                            <w:spacing w:line="240" w:lineRule="auto"/>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p w14:paraId="6837DC13"/>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49B303A5">
                    <w:pPr>
                      <w:pStyle w:val="20"/>
                      <w:spacing w:line="240" w:lineRule="auto"/>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p w14:paraId="6837DC13"/>
                </w:txbxContent>
              </v:textbox>
            </v:rect>
          </w:pict>
        </mc:Fallback>
      </mc:AlternateContent>
    </w:r>
  </w:p>
  <w:p w14:paraId="51083D82">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D62D6">
    <w:pPr>
      <w:pStyle w:val="20"/>
      <w:jc w:val="cente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5753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557530" cy="1828800"/>
                      </a:xfrm>
                      <a:prstGeom prst="rect">
                        <a:avLst/>
                      </a:prstGeom>
                      <a:ln>
                        <a:noFill/>
                      </a:ln>
                    </wps:spPr>
                    <wps:txbx>
                      <w:txbxContent>
                        <w:p w14:paraId="0E353F3A">
                          <w:pPr>
                            <w:pStyle w:val="20"/>
                            <w:spacing w:line="240" w:lineRule="auto"/>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p w14:paraId="08191273"/>
                      </w:txbxContent>
                    </wps:txbx>
                    <wps:bodyPr vert="horz" wrap="square" lIns="0" tIns="0" rIns="0" bIns="0" anchor="t" upright="0">
                      <a:spAutoFit/>
                    </wps:bodyPr>
                  </wps:wsp>
                </a:graphicData>
              </a:graphic>
            </wp:anchor>
          </w:drawing>
        </mc:Choice>
        <mc:Fallback>
          <w:pict>
            <v:rect id="文本框 2" o:spid="_x0000_s1026" o:spt="1" style="position:absolute;left:0pt;margin-top:0pt;height:144pt;width:43.9pt;mso-position-horizontal:center;mso-position-horizontal-relative:margin;z-index:251659264;mso-width-relative:page;mso-height-relative:page;" filled="f" stroked="f" coordsize="21600,21600" o:gfxdata="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B15LXUAAAABAEAAA8AAAAAAAAAAQAg&#10;AAAAIgAAAGRycy9kb3ducmV2LnhtbFBLAQIUABQAAAAIAIdO4kA6jfDW2QEAAJ8DAAAOAAAAAAAA&#10;AAEAIAAAACMBAABkcnMvZTJvRG9jLnhtbFBLBQYAAAAABgAGAFkBAABuBQAAAAA=&#10;">
              <v:fill on="f" focussize="0,0"/>
              <v:stroke on="f"/>
              <v:imagedata o:title=""/>
              <o:lock v:ext="edit" aspectratio="f"/>
              <v:textbox inset="0mm,0mm,0mm,0mm" style="mso-fit-shape-to-text:t;">
                <w:txbxContent>
                  <w:p w14:paraId="0E353F3A">
                    <w:pPr>
                      <w:pStyle w:val="20"/>
                      <w:spacing w:line="240" w:lineRule="auto"/>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p w14:paraId="08191273"/>
                </w:txbxContent>
              </v:textbox>
            </v:rect>
          </w:pict>
        </mc:Fallback>
      </mc:AlternateContent>
    </w:r>
  </w:p>
  <w:p w14:paraId="2FB0E07D">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3D6C">
    <w:pPr>
      <w:pStyle w:val="20"/>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91820" cy="1828800"/>
              <wp:effectExtent l="0" t="0" r="0" b="0"/>
              <wp:wrapNone/>
              <wp:docPr id="4099" name="文本框 4"/>
              <wp:cNvGraphicFramePr/>
              <a:graphic xmlns:a="http://schemas.openxmlformats.org/drawingml/2006/main">
                <a:graphicData uri="http://schemas.microsoft.com/office/word/2010/wordprocessingShape">
                  <wps:wsp>
                    <wps:cNvSpPr/>
                    <wps:spPr>
                      <a:xfrm>
                        <a:off x="0" y="0"/>
                        <a:ext cx="591820" cy="1828800"/>
                      </a:xfrm>
                      <a:prstGeom prst="rect">
                        <a:avLst/>
                      </a:prstGeom>
                      <a:ln>
                        <a:noFill/>
                      </a:ln>
                    </wps:spPr>
                    <wps:txbx>
                      <w:txbxContent>
                        <w:p w14:paraId="68D2BAAB">
                          <w:pPr>
                            <w:pStyle w:val="20"/>
                            <w:keepNext w:val="0"/>
                            <w:keepLines w:val="0"/>
                            <w:pageBreakBefore w:val="0"/>
                            <w:widowControl w:val="0"/>
                            <w:kinsoku/>
                            <w:wordWrap/>
                            <w:overflowPunct/>
                            <w:topLinePunct w:val="0"/>
                            <w:bidi w:val="0"/>
                            <w:adjustRightInd/>
                            <w:snapToGrid w:val="0"/>
                            <w:spacing w:line="240" w:lineRule="auto"/>
                            <w:jc w:val="center"/>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67</w:t>
                          </w:r>
                          <w:r>
                            <w:rPr>
                              <w:sz w:val="21"/>
                              <w:szCs w:val="21"/>
                            </w:rPr>
                            <w:fldChar w:fldCharType="end"/>
                          </w:r>
                        </w:p>
                      </w:txbxContent>
                    </wps:txbx>
                    <wps:bodyPr vert="horz" wrap="square" lIns="0" tIns="0" rIns="0" bIns="0" anchor="t" upright="0">
                      <a:spAutoFit/>
                    </wps:bodyPr>
                  </wps:wsp>
                </a:graphicData>
              </a:graphic>
            </wp:anchor>
          </w:drawing>
        </mc:Choice>
        <mc:Fallback>
          <w:pict>
            <v:rect id="文本框 4" o:spid="_x0000_s1026" o:spt="1" style="position:absolute;left:0pt;margin-top:0pt;height:144pt;width:46.6pt;mso-position-horizontal:center;mso-position-horizontal-relative:margin;z-index:251659264;mso-width-relative:page;mso-height-relative:page;" filled="f" stroked="f" coordsize="21600,21600" o:gfxdata="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vmLtDVAAAABAEAAA8AAAAAAAAAAQAg&#10;AAAAIgAAAGRycy9kb3ducmV2LnhtbFBLAQIUABQAAAAIAIdO4kDN5Jih2AEAAJ8DAAAOAAAAAAAA&#10;AAEAIAAAACQBAABkcnMvZTJvRG9jLnhtbFBLBQYAAAAABgAGAFkBAABuBQAAAAA=&#10;">
              <v:fill on="f" focussize="0,0"/>
              <v:stroke on="f"/>
              <v:imagedata o:title=""/>
              <o:lock v:ext="edit" aspectratio="f"/>
              <v:textbox inset="0mm,0mm,0mm,0mm" style="mso-fit-shape-to-text:t;">
                <w:txbxContent>
                  <w:p w14:paraId="68D2BAAB">
                    <w:pPr>
                      <w:pStyle w:val="20"/>
                      <w:keepNext w:val="0"/>
                      <w:keepLines w:val="0"/>
                      <w:pageBreakBefore w:val="0"/>
                      <w:widowControl w:val="0"/>
                      <w:kinsoku/>
                      <w:wordWrap/>
                      <w:overflowPunct/>
                      <w:topLinePunct w:val="0"/>
                      <w:bidi w:val="0"/>
                      <w:adjustRightInd/>
                      <w:snapToGrid w:val="0"/>
                      <w:spacing w:line="240" w:lineRule="auto"/>
                      <w:jc w:val="center"/>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67</w:t>
                    </w:r>
                    <w:r>
                      <w:rPr>
                        <w:sz w:val="21"/>
                        <w:szCs w:val="21"/>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60738">
    <w:pPr>
      <w:pStyle w:val="20"/>
      <w:rPr>
        <w:rFonts w:hint="eastAsia"/>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1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9C3EAB9">
                          <w:pPr>
                            <w:pStyle w:val="20"/>
                            <w:rPr>
                              <w:rFonts w:hint="eastAsia"/>
                            </w:rPr>
                          </w:pPr>
                          <w:r>
                            <w:fldChar w:fldCharType="begin"/>
                          </w:r>
                          <w:r>
                            <w:instrText xml:space="preserve"> PAGE  \* MERGEFORMAT </w:instrText>
                          </w:r>
                          <w:r>
                            <w:fldChar w:fldCharType="separate"/>
                          </w:r>
                          <w:r>
                            <w:t>55</w:t>
                          </w:r>
                          <w:r>
                            <w:fldChar w:fldCharType="end"/>
                          </w:r>
                        </w:p>
                      </w:txbxContent>
                    </wps:txbx>
                    <wps:bodyPr vert="horz" wrap="none" lIns="0" tIns="0" rIns="0" bIns="0" anchor="t">
                      <a:spAutoFit/>
                    </wps:bodyPr>
                  </wps:wsp>
                </a:graphicData>
              </a:graphic>
            </wp:anchor>
          </w:drawing>
        </mc:Choice>
        <mc:Fallback>
          <w:pict>
            <v:rect id="文本框 1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JRyDEckBAACTAwAADgAAAAAAAAABACAAAAAfAQAAZHJzL2Uyb0Rv&#10;Yy54bWxQSwUGAAAAAAYABgBZAQAAWgUAAAAA&#10;">
              <v:fill on="f" focussize="0,0"/>
              <v:stroke on="f"/>
              <v:imagedata o:title=""/>
              <o:lock v:ext="edit" aspectratio="f"/>
              <v:textbox inset="0mm,0mm,0mm,0mm" style="mso-fit-shape-to-text:t;">
                <w:txbxContent>
                  <w:p w14:paraId="49C3EAB9">
                    <w:pPr>
                      <w:pStyle w:val="20"/>
                      <w:rPr>
                        <w:rFonts w:hint="eastAsia"/>
                      </w:rPr>
                    </w:pPr>
                    <w:r>
                      <w:fldChar w:fldCharType="begin"/>
                    </w:r>
                    <w:r>
                      <w:instrText xml:space="preserve"> PAGE  \* MERGEFORMAT </w:instrText>
                    </w:r>
                    <w:r>
                      <w:fldChar w:fldCharType="separate"/>
                    </w:r>
                    <w:r>
                      <w:t>55</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A1FB1">
    <w:pPr>
      <w:pStyle w:val="21"/>
      <w:pBdr>
        <w:bottom w:val="none" w:color="auto" w:sz="0" w:space="1"/>
      </w:pBdr>
      <w:tabs>
        <w:tab w:val="left" w:pos="3120"/>
      </w:tabs>
      <w:spacing w:line="240" w:lineRule="auto"/>
      <w:jc w:val="right"/>
      <w:rPr>
        <w:rFonts w:hint="default"/>
        <w:sz w:val="18"/>
        <w:szCs w:val="18"/>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13183">
    <w:pPr>
      <w:pStyle w:val="21"/>
      <w:pBdr>
        <w:bottom w:val="none" w:color="auto" w:sz="0" w:space="1"/>
      </w:pBdr>
      <w:spacing w:line="240" w:lineRule="auto"/>
    </w:pPr>
    <w:r>
      <w:rPr>
        <w:rFonts w:hint="eastAsia"/>
        <w:sz w:val="24"/>
        <w:szCs w:val="24"/>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FA84B">
    <w:pPr>
      <w:pStyle w:val="21"/>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D3797"/>
    <w:multiLevelType w:val="singleLevel"/>
    <w:tmpl w:val="A75D3797"/>
    <w:lvl w:ilvl="0" w:tentative="0">
      <w:start w:val="1"/>
      <w:numFmt w:val="chineseCounting"/>
      <w:suff w:val="nothing"/>
      <w:lvlText w:val="（%1）"/>
      <w:lvlJc w:val="left"/>
      <w:rPr>
        <w:rFonts w:hint="eastAsia"/>
      </w:rPr>
    </w:lvl>
  </w:abstractNum>
  <w:abstractNum w:abstractNumId="1">
    <w:nsid w:val="00000000"/>
    <w:multiLevelType w:val="multilevel"/>
    <w:tmpl w:val="00000000"/>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1"/>
    <w:multiLevelType w:val="multilevel"/>
    <w:tmpl w:val="00000001"/>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523A68E"/>
    <w:multiLevelType w:val="multilevel"/>
    <w:tmpl w:val="0523A68E"/>
    <w:lvl w:ilvl="0" w:tentative="0">
      <w:start w:val="1"/>
      <w:numFmt w:val="chineseCounting"/>
      <w:suff w:val="nothing"/>
      <w:lvlText w:val="第%1章 "/>
      <w:lvlJc w:val="left"/>
      <w:pPr>
        <w:tabs>
          <w:tab w:val="left" w:pos="0"/>
        </w:tabs>
        <w:ind w:left="0" w:firstLine="0"/>
      </w:pPr>
      <w:rPr>
        <w:rFonts w:hint="eastAsia" w:ascii="宋体" w:hAnsi="宋体" w:eastAsia="宋体" w:cs="宋体"/>
        <w:lang w:val="en-US"/>
      </w:rPr>
    </w:lvl>
    <w:lvl w:ilvl="1" w:tentative="0">
      <w:start w:val="1"/>
      <w:numFmt w:val="decimal"/>
      <w:isLgl/>
      <w:suff w:val="nothing"/>
      <w:lvlText w:val="%1.%2."/>
      <w:lvlJc w:val="left"/>
      <w:pPr>
        <w:tabs>
          <w:tab w:val="left" w:pos="0"/>
        </w:tabs>
        <w:ind w:left="0" w:firstLine="0"/>
      </w:pPr>
      <w:rPr>
        <w:rFonts w:hint="eastAsia" w:ascii="Times New Roman" w:hAnsi="Times New Roman" w:cs="Times New Roman"/>
      </w:rPr>
    </w:lvl>
    <w:lvl w:ilvl="2" w:tentative="0">
      <w:start w:val="1"/>
      <w:numFmt w:val="decimal"/>
      <w:isLgl/>
      <w:suff w:val="nothing"/>
      <w:lvlText w:val="%1.%2.%3."/>
      <w:lvlJc w:val="left"/>
      <w:pPr>
        <w:tabs>
          <w:tab w:val="left" w:pos="283"/>
        </w:tabs>
        <w:ind w:left="603" w:firstLine="400"/>
      </w:pPr>
      <w:rPr>
        <w:color w:val="000000" w:themeColor="text1"/>
        <w:sz w:val="32"/>
        <w:szCs w:val="20"/>
        <w14:textFill>
          <w14:solidFill>
            <w14:schemeClr w14:val="tx1"/>
          </w14:solidFill>
        </w14:textFill>
      </w:rPr>
    </w:lvl>
    <w:lvl w:ilvl="3" w:tentative="0">
      <w:start w:val="1"/>
      <w:numFmt w:val="decimal"/>
      <w:isLgl/>
      <w:suff w:val="nothing"/>
      <w:lvlText w:val="%1.%2.%3.%4."/>
      <w:lvlJc w:val="left"/>
      <w:pPr>
        <w:tabs>
          <w:tab w:val="left" w:pos="1157"/>
        </w:tabs>
        <w:ind w:left="1157" w:firstLine="402"/>
      </w:pPr>
      <w:rPr>
        <w:rFonts w:hint="eastAsia"/>
      </w:rPr>
    </w:lvl>
    <w:lvl w:ilvl="4" w:tentative="0">
      <w:start w:val="1"/>
      <w:numFmt w:val="decimal"/>
      <w:pStyle w:val="8"/>
      <w:isLgl/>
      <w:suff w:val="nothing"/>
      <w:lvlText w:val="%1.%2.%3.%4.%5."/>
      <w:lvlJc w:val="left"/>
      <w:pPr>
        <w:tabs>
          <w:tab w:val="left" w:pos="0"/>
        </w:tabs>
        <w:ind w:left="0" w:firstLine="402"/>
      </w:pPr>
      <w:rPr>
        <w:rFonts w:hint="eastAsia"/>
        <w:color w:val="000000" w:themeColor="text1"/>
        <w14:textFill>
          <w14:solidFill>
            <w14:schemeClr w14:val="tx1"/>
          </w14:solidFill>
        </w14:textFill>
      </w:rPr>
    </w:lvl>
    <w:lvl w:ilvl="5" w:tentative="0">
      <w:start w:val="1"/>
      <w:numFmt w:val="decimal"/>
      <w:isLgl/>
      <w:suff w:val="nothing"/>
      <w:lvlText w:val="%1.%2.%3.%4.%5.%6."/>
      <w:lvlJc w:val="left"/>
      <w:pPr>
        <w:ind w:left="0" w:firstLine="402"/>
      </w:pPr>
      <w:rPr>
        <w:rFonts w:hint="eastAsia" w:ascii="Times New Roman" w:hAnsi="Times New Roman" w:cs="Times New Roman"/>
      </w:rPr>
    </w:lvl>
    <w:lvl w:ilvl="6" w:tentative="0">
      <w:start w:val="1"/>
      <w:numFmt w:val="lowerLetter"/>
      <w:isLgl/>
      <w:suff w:val="nothing"/>
      <w:lvlText w:val="%1.%2.%3.%4.%5.%6.%7．"/>
      <w:lvlJc w:val="left"/>
      <w:pPr>
        <w:tabs>
          <w:tab w:val="left" w:pos="0"/>
        </w:tabs>
        <w:ind w:left="0" w:firstLine="402"/>
      </w:pPr>
      <w:rPr>
        <w:rFonts w:hint="eastAsia"/>
      </w:rPr>
    </w:lvl>
    <w:lvl w:ilvl="7" w:tentative="0">
      <w:start w:val="1"/>
      <w:numFmt w:val="decimal"/>
      <w:isLgl/>
      <w:suff w:val="nothing"/>
      <w:lvlText w:val="%1.%2.%3.%4.%5.%6.%7.%8."/>
      <w:lvlJc w:val="left"/>
      <w:pPr>
        <w:ind w:left="0" w:firstLine="402"/>
      </w:pPr>
      <w:rPr>
        <w:rFonts w:hint="eastAsia" w:ascii="Times New Roman" w:hAnsi="Times New Roman" w:cs="Times New Roman"/>
      </w:rPr>
    </w:lvl>
    <w:lvl w:ilvl="8" w:tentative="0">
      <w:start w:val="1"/>
      <w:numFmt w:val="lowerRoman"/>
      <w:suff w:val="nothing"/>
      <w:lvlText w:val="%9 "/>
      <w:lvlJc w:val="left"/>
      <w:pPr>
        <w:ind w:left="0" w:firstLine="402"/>
      </w:pPr>
      <w:rPr>
        <w:rFonts w:hint="eastAsia"/>
      </w:rPr>
    </w:lvl>
  </w:abstractNum>
  <w:abstractNum w:abstractNumId="4">
    <w:nsid w:val="56CBACEC"/>
    <w:multiLevelType w:val="singleLevel"/>
    <w:tmpl w:val="56CBACEC"/>
    <w:lvl w:ilvl="0" w:tentative="0">
      <w:start w:val="1"/>
      <w:numFmt w:val="chineseCounting"/>
      <w:suff w:val="nothing"/>
      <w:lvlText w:val="%1、"/>
      <w:lvlJc w:val="left"/>
      <w:rPr>
        <w:rFonts w:hint="eastAsia"/>
      </w:rPr>
    </w:lvl>
  </w:abstractNum>
  <w:abstractNum w:abstractNumId="5">
    <w:nsid w:val="6D89D555"/>
    <w:multiLevelType w:val="multilevel"/>
    <w:tmpl w:val="6D89D555"/>
    <w:lvl w:ilvl="0" w:tentative="0">
      <w:start w:val="1"/>
      <w:numFmt w:val="decimal"/>
      <w:suff w:val="space"/>
      <w:lvlText w:val="%1"/>
      <w:lvlJc w:val="left"/>
      <w:pPr>
        <w:tabs>
          <w:tab w:val="left" w:pos="0"/>
        </w:tabs>
        <w:ind w:left="0" w:firstLine="0"/>
      </w:pPr>
      <w:rPr>
        <w:rFonts w:hint="default"/>
      </w:rPr>
    </w:lvl>
    <w:lvl w:ilvl="1" w:tentative="0">
      <w:start w:val="1"/>
      <w:numFmt w:val="decimal"/>
      <w:suff w:val="space"/>
      <w:lvlText w:val="%1.%2"/>
      <w:lvlJc w:val="left"/>
      <w:pPr>
        <w:ind w:left="426"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pStyle w:val="88"/>
      <w:suff w:val="space"/>
      <w:lvlText w:val="%1.%2.%3.%4"/>
      <w:lvlJc w:val="left"/>
      <w:pPr>
        <w:tabs>
          <w:tab w:val="left" w:pos="0"/>
        </w:tabs>
        <w:ind w:left="142" w:firstLine="0"/>
      </w:pPr>
      <w:rPr>
        <w:rFonts w:hint="default"/>
      </w:rPr>
    </w:lvl>
    <w:lvl w:ilvl="4" w:tentative="0">
      <w:start w:val="1"/>
      <w:numFmt w:val="decimal"/>
      <w:suff w:val="space"/>
      <w:lvlText w:val="%1.%2.%3.%4.%5"/>
      <w:lvlJc w:val="left"/>
      <w:pPr>
        <w:ind w:left="1985"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FE65D9"/>
    <w:rsid w:val="0238759E"/>
    <w:rsid w:val="03FF60FC"/>
    <w:rsid w:val="041E04D2"/>
    <w:rsid w:val="04B52C5F"/>
    <w:rsid w:val="05672D4A"/>
    <w:rsid w:val="05FA20DF"/>
    <w:rsid w:val="068948D4"/>
    <w:rsid w:val="06EF1EF6"/>
    <w:rsid w:val="077C7A64"/>
    <w:rsid w:val="080B3940"/>
    <w:rsid w:val="08933F1C"/>
    <w:rsid w:val="098A2122"/>
    <w:rsid w:val="0A0F5513"/>
    <w:rsid w:val="0BC215DD"/>
    <w:rsid w:val="0BC62F89"/>
    <w:rsid w:val="0C334243"/>
    <w:rsid w:val="0C882A91"/>
    <w:rsid w:val="0CC55A09"/>
    <w:rsid w:val="0D6B3A35"/>
    <w:rsid w:val="0DD35E02"/>
    <w:rsid w:val="0F206A4D"/>
    <w:rsid w:val="0F985F19"/>
    <w:rsid w:val="0FEF0283"/>
    <w:rsid w:val="118A0E3D"/>
    <w:rsid w:val="12193CC6"/>
    <w:rsid w:val="121E62E8"/>
    <w:rsid w:val="122203E6"/>
    <w:rsid w:val="12D8099F"/>
    <w:rsid w:val="14BB7682"/>
    <w:rsid w:val="14F614AD"/>
    <w:rsid w:val="16C514C2"/>
    <w:rsid w:val="17693981"/>
    <w:rsid w:val="17793FC0"/>
    <w:rsid w:val="185C01BF"/>
    <w:rsid w:val="18860259"/>
    <w:rsid w:val="18E611E1"/>
    <w:rsid w:val="196757A8"/>
    <w:rsid w:val="19E83D12"/>
    <w:rsid w:val="1A516B2E"/>
    <w:rsid w:val="1AC05FEB"/>
    <w:rsid w:val="1B745F72"/>
    <w:rsid w:val="1C063664"/>
    <w:rsid w:val="1D596426"/>
    <w:rsid w:val="1DC00253"/>
    <w:rsid w:val="1DF5516C"/>
    <w:rsid w:val="1ED9255D"/>
    <w:rsid w:val="1EDB4A9C"/>
    <w:rsid w:val="1EF503D0"/>
    <w:rsid w:val="204D7D98"/>
    <w:rsid w:val="2076109D"/>
    <w:rsid w:val="20AF2B60"/>
    <w:rsid w:val="211A2370"/>
    <w:rsid w:val="211F22B2"/>
    <w:rsid w:val="21A954A2"/>
    <w:rsid w:val="21F02D71"/>
    <w:rsid w:val="228B6D4A"/>
    <w:rsid w:val="257F09F3"/>
    <w:rsid w:val="258654B2"/>
    <w:rsid w:val="26034B6D"/>
    <w:rsid w:val="26B26BA7"/>
    <w:rsid w:val="26D37ECB"/>
    <w:rsid w:val="275014C5"/>
    <w:rsid w:val="28C22E7C"/>
    <w:rsid w:val="28C26B03"/>
    <w:rsid w:val="28CE7EEF"/>
    <w:rsid w:val="2A1750A2"/>
    <w:rsid w:val="2A326E4A"/>
    <w:rsid w:val="2BEC2408"/>
    <w:rsid w:val="2C4E1120"/>
    <w:rsid w:val="2CC713D9"/>
    <w:rsid w:val="2CE85AC6"/>
    <w:rsid w:val="2D122D03"/>
    <w:rsid w:val="2D1660E1"/>
    <w:rsid w:val="2F045D38"/>
    <w:rsid w:val="30DA63B4"/>
    <w:rsid w:val="3115045E"/>
    <w:rsid w:val="31CA2CFA"/>
    <w:rsid w:val="3300523A"/>
    <w:rsid w:val="33B57215"/>
    <w:rsid w:val="34EA39B0"/>
    <w:rsid w:val="34F71456"/>
    <w:rsid w:val="357A1E60"/>
    <w:rsid w:val="363845BC"/>
    <w:rsid w:val="37485E85"/>
    <w:rsid w:val="374B1C54"/>
    <w:rsid w:val="378258AE"/>
    <w:rsid w:val="37B02679"/>
    <w:rsid w:val="37E34E12"/>
    <w:rsid w:val="37E40B8A"/>
    <w:rsid w:val="39B90520"/>
    <w:rsid w:val="39F32E3B"/>
    <w:rsid w:val="3B171FD6"/>
    <w:rsid w:val="3B556027"/>
    <w:rsid w:val="3BCB7D33"/>
    <w:rsid w:val="3D324146"/>
    <w:rsid w:val="3D8A6929"/>
    <w:rsid w:val="3F00660C"/>
    <w:rsid w:val="41445BE3"/>
    <w:rsid w:val="414C3A28"/>
    <w:rsid w:val="41601281"/>
    <w:rsid w:val="418920BB"/>
    <w:rsid w:val="41E023C2"/>
    <w:rsid w:val="42555B97"/>
    <w:rsid w:val="43EC32A0"/>
    <w:rsid w:val="43FE4D82"/>
    <w:rsid w:val="44012546"/>
    <w:rsid w:val="443C5823"/>
    <w:rsid w:val="45B71AA0"/>
    <w:rsid w:val="45C729D7"/>
    <w:rsid w:val="46535EB3"/>
    <w:rsid w:val="4686104F"/>
    <w:rsid w:val="46DF6973"/>
    <w:rsid w:val="46E42D87"/>
    <w:rsid w:val="48207910"/>
    <w:rsid w:val="48FD2434"/>
    <w:rsid w:val="491F5A60"/>
    <w:rsid w:val="4A2F181F"/>
    <w:rsid w:val="4AC576ED"/>
    <w:rsid w:val="4B240C03"/>
    <w:rsid w:val="4B83098E"/>
    <w:rsid w:val="4C3C0B3D"/>
    <w:rsid w:val="4D833A16"/>
    <w:rsid w:val="4D9E5C73"/>
    <w:rsid w:val="4EBB21ED"/>
    <w:rsid w:val="4EC46F4A"/>
    <w:rsid w:val="4FA01DB0"/>
    <w:rsid w:val="4FE958A7"/>
    <w:rsid w:val="4FEE0289"/>
    <w:rsid w:val="54223297"/>
    <w:rsid w:val="54EF6070"/>
    <w:rsid w:val="558C48E3"/>
    <w:rsid w:val="56AD68BF"/>
    <w:rsid w:val="58AD6C47"/>
    <w:rsid w:val="597B2CA5"/>
    <w:rsid w:val="599D5FD0"/>
    <w:rsid w:val="5A932869"/>
    <w:rsid w:val="5B527A35"/>
    <w:rsid w:val="5BA75E34"/>
    <w:rsid w:val="5BFE26BB"/>
    <w:rsid w:val="5C474349"/>
    <w:rsid w:val="5C591735"/>
    <w:rsid w:val="5E800FDD"/>
    <w:rsid w:val="60B07765"/>
    <w:rsid w:val="63CB2A7A"/>
    <w:rsid w:val="63EE44F5"/>
    <w:rsid w:val="640039D6"/>
    <w:rsid w:val="64AC63B8"/>
    <w:rsid w:val="65566156"/>
    <w:rsid w:val="66886A01"/>
    <w:rsid w:val="66B912B0"/>
    <w:rsid w:val="67AD29D1"/>
    <w:rsid w:val="67BB30D1"/>
    <w:rsid w:val="6896610C"/>
    <w:rsid w:val="68A50E03"/>
    <w:rsid w:val="68D91796"/>
    <w:rsid w:val="6AA64EC7"/>
    <w:rsid w:val="6AA70028"/>
    <w:rsid w:val="6B0A1438"/>
    <w:rsid w:val="6B7D2581"/>
    <w:rsid w:val="6BBF7369"/>
    <w:rsid w:val="6BE648F5"/>
    <w:rsid w:val="6D7A0F75"/>
    <w:rsid w:val="6DE36AC3"/>
    <w:rsid w:val="6EB20ABF"/>
    <w:rsid w:val="6EBD7464"/>
    <w:rsid w:val="6FF13869"/>
    <w:rsid w:val="707419EB"/>
    <w:rsid w:val="7131740F"/>
    <w:rsid w:val="721E646B"/>
    <w:rsid w:val="72923B65"/>
    <w:rsid w:val="7293330E"/>
    <w:rsid w:val="72FA0C86"/>
    <w:rsid w:val="7329723B"/>
    <w:rsid w:val="736305DA"/>
    <w:rsid w:val="746B45CB"/>
    <w:rsid w:val="746C550D"/>
    <w:rsid w:val="74C9764A"/>
    <w:rsid w:val="74CE23CA"/>
    <w:rsid w:val="758111EB"/>
    <w:rsid w:val="77505319"/>
    <w:rsid w:val="78AB549C"/>
    <w:rsid w:val="78F0352C"/>
    <w:rsid w:val="7A196E68"/>
    <w:rsid w:val="7A276D0A"/>
    <w:rsid w:val="7BFC15CB"/>
    <w:rsid w:val="7C2A72BE"/>
    <w:rsid w:val="7C5940A0"/>
    <w:rsid w:val="7EDE55B9"/>
    <w:rsid w:val="7EEC2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99"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宋体"/>
      <w:kern w:val="2"/>
      <w:sz w:val="24"/>
      <w:szCs w:val="22"/>
      <w:lang w:val="en-US" w:eastAsia="zh-CN" w:bidi="ar-SA"/>
    </w:rPr>
  </w:style>
  <w:style w:type="paragraph" w:styleId="4">
    <w:name w:val="heading 1"/>
    <w:basedOn w:val="1"/>
    <w:next w:val="1"/>
    <w:link w:val="41"/>
    <w:qFormat/>
    <w:uiPriority w:val="9"/>
    <w:pPr>
      <w:keepNext/>
      <w:keepLines/>
      <w:spacing w:before="340" w:after="330" w:line="578" w:lineRule="auto"/>
      <w:jc w:val="center"/>
      <w:outlineLvl w:val="0"/>
    </w:pPr>
    <w:rPr>
      <w:rFonts w:eastAsia="黑体"/>
      <w:b/>
      <w:bCs/>
      <w:kern w:val="44"/>
      <w:sz w:val="44"/>
      <w:szCs w:val="44"/>
    </w:rPr>
  </w:style>
  <w:style w:type="paragraph" w:styleId="5">
    <w:name w:val="heading 2"/>
    <w:basedOn w:val="1"/>
    <w:next w:val="1"/>
    <w:link w:val="43"/>
    <w:qFormat/>
    <w:uiPriority w:val="9"/>
    <w:pPr>
      <w:keepNext/>
      <w:keepLines/>
      <w:spacing w:before="260" w:after="260" w:line="416" w:lineRule="auto"/>
      <w:outlineLvl w:val="1"/>
    </w:pPr>
    <w:rPr>
      <w:rFonts w:ascii="等线 Light" w:hAnsi="等线 Light" w:cs="宋体"/>
      <w:b/>
      <w:bCs/>
      <w:sz w:val="32"/>
      <w:szCs w:val="32"/>
    </w:rPr>
  </w:style>
  <w:style w:type="paragraph" w:styleId="6">
    <w:name w:val="heading 3"/>
    <w:basedOn w:val="1"/>
    <w:next w:val="1"/>
    <w:link w:val="52"/>
    <w:qFormat/>
    <w:uiPriority w:val="9"/>
    <w:pPr>
      <w:keepNext/>
      <w:keepLines/>
      <w:spacing w:before="260" w:after="260" w:line="416" w:lineRule="auto"/>
      <w:outlineLvl w:val="2"/>
    </w:pPr>
    <w:rPr>
      <w:b/>
      <w:bCs/>
      <w:sz w:val="32"/>
      <w:szCs w:val="32"/>
    </w:rPr>
  </w:style>
  <w:style w:type="paragraph" w:styleId="7">
    <w:name w:val="heading 4"/>
    <w:basedOn w:val="1"/>
    <w:next w:val="1"/>
    <w:link w:val="53"/>
    <w:qFormat/>
    <w:uiPriority w:val="9"/>
    <w:pPr>
      <w:keepNext/>
      <w:keepLines/>
      <w:spacing w:before="280" w:after="290" w:line="376" w:lineRule="auto"/>
      <w:outlineLvl w:val="3"/>
    </w:pPr>
    <w:rPr>
      <w:rFonts w:ascii="等线 Light" w:hAnsi="等线 Light" w:cs="宋体"/>
      <w:b/>
      <w:bCs/>
      <w:sz w:val="28"/>
      <w:szCs w:val="28"/>
    </w:rPr>
  </w:style>
  <w:style w:type="paragraph" w:styleId="8">
    <w:name w:val="heading 5"/>
    <w:basedOn w:val="1"/>
    <w:next w:val="1"/>
    <w:qFormat/>
    <w:uiPriority w:val="0"/>
    <w:pPr>
      <w:keepNext/>
      <w:keepLines/>
      <w:numPr>
        <w:ilvl w:val="4"/>
        <w:numId w:val="1"/>
      </w:numPr>
      <w:spacing w:before="120" w:after="120" w:line="360" w:lineRule="auto"/>
      <w:ind w:firstLine="0" w:firstLineChars="0"/>
      <w:outlineLvl w:val="4"/>
    </w:pPr>
    <w:rPr>
      <w:rFonts w:eastAsia="宋体"/>
      <w:b/>
      <w:sz w:val="28"/>
    </w:rPr>
  </w:style>
  <w:style w:type="character" w:default="1" w:styleId="33">
    <w:name w:val="Default Paragraph Font"/>
    <w:qFormat/>
    <w:uiPriority w:val="1"/>
  </w:style>
  <w:style w:type="table" w:default="1" w:styleId="31">
    <w:name w:val="Normal Table"/>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eastAsia="宋体"/>
    </w:rPr>
  </w:style>
  <w:style w:type="paragraph" w:styleId="3">
    <w:name w:val="Body Text Indent"/>
    <w:basedOn w:val="1"/>
    <w:qFormat/>
    <w:uiPriority w:val="0"/>
    <w:pPr>
      <w:ind w:firstLine="630"/>
    </w:pPr>
    <w:rPr>
      <w:rFonts w:eastAsia="仿宋_GB2312"/>
      <w:kern w:val="0"/>
      <w:sz w:val="32"/>
      <w:szCs w:val="20"/>
    </w:rPr>
  </w:style>
  <w:style w:type="paragraph" w:styleId="9">
    <w:name w:val="toc 7"/>
    <w:basedOn w:val="1"/>
    <w:next w:val="1"/>
    <w:qFormat/>
    <w:uiPriority w:val="39"/>
    <w:pPr>
      <w:ind w:left="1440"/>
    </w:pPr>
    <w:rPr>
      <w:rFonts w:ascii="等线" w:eastAsia="等线"/>
      <w:sz w:val="18"/>
      <w:szCs w:val="18"/>
    </w:rPr>
  </w:style>
  <w:style w:type="paragraph" w:styleId="10">
    <w:name w:val="Normal Indent"/>
    <w:basedOn w:val="1"/>
    <w:next w:val="1"/>
    <w:qFormat/>
    <w:uiPriority w:val="0"/>
    <w:pPr>
      <w:ind w:firstLine="420" w:firstLineChars="200"/>
    </w:pPr>
    <w:rPr>
      <w:rFonts w:ascii="Calibri" w:hAnsi="Calibri"/>
      <w:szCs w:val="22"/>
    </w:rPr>
  </w:style>
  <w:style w:type="paragraph" w:styleId="11">
    <w:name w:val="index 5"/>
    <w:basedOn w:val="1"/>
    <w:next w:val="1"/>
    <w:qFormat/>
    <w:uiPriority w:val="0"/>
    <w:pPr>
      <w:ind w:left="1680"/>
    </w:pPr>
    <w:rPr>
      <w:rFonts w:ascii="Calibri" w:hAnsi="Calibri" w:eastAsia="宋体" w:cs="Times New Roman"/>
    </w:rPr>
  </w:style>
  <w:style w:type="paragraph" w:styleId="12">
    <w:name w:val="List Bullet"/>
    <w:basedOn w:val="1"/>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13">
    <w:name w:val="annotation text"/>
    <w:basedOn w:val="1"/>
    <w:link w:val="50"/>
    <w:qFormat/>
    <w:uiPriority w:val="0"/>
    <w:pPr>
      <w:spacing w:line="240" w:lineRule="auto"/>
    </w:pPr>
    <w:rPr>
      <w:rFonts w:ascii="等线" w:hAnsi="等线" w:eastAsia="等线"/>
      <w:sz w:val="21"/>
      <w:szCs w:val="24"/>
    </w:rPr>
  </w:style>
  <w:style w:type="paragraph" w:styleId="14">
    <w:name w:val="Body Text 3"/>
    <w:basedOn w:val="1"/>
    <w:link w:val="46"/>
    <w:qFormat/>
    <w:uiPriority w:val="99"/>
    <w:pPr>
      <w:spacing w:after="120"/>
    </w:pPr>
    <w:rPr>
      <w:sz w:val="16"/>
      <w:szCs w:val="16"/>
    </w:rPr>
  </w:style>
  <w:style w:type="paragraph" w:styleId="15">
    <w:name w:val="Body Text"/>
    <w:basedOn w:val="1"/>
    <w:link w:val="45"/>
    <w:qFormat/>
    <w:uiPriority w:val="99"/>
    <w:pPr>
      <w:spacing w:after="120" w:line="240" w:lineRule="auto"/>
      <w:jc w:val="both"/>
    </w:pPr>
    <w:rPr>
      <w:rFonts w:ascii="Times New Roman" w:hAnsi="Times New Roman" w:cs="Times New Roman"/>
      <w:kern w:val="0"/>
      <w:sz w:val="20"/>
      <w:szCs w:val="20"/>
    </w:rPr>
  </w:style>
  <w:style w:type="paragraph" w:styleId="16">
    <w:name w:val="toc 5"/>
    <w:basedOn w:val="1"/>
    <w:next w:val="1"/>
    <w:qFormat/>
    <w:uiPriority w:val="39"/>
    <w:pPr>
      <w:ind w:left="960"/>
    </w:pPr>
    <w:rPr>
      <w:rFonts w:ascii="等线" w:eastAsia="等线"/>
      <w:sz w:val="18"/>
      <w:szCs w:val="18"/>
    </w:rPr>
  </w:style>
  <w:style w:type="paragraph" w:styleId="17">
    <w:name w:val="toc 3"/>
    <w:basedOn w:val="1"/>
    <w:next w:val="1"/>
    <w:qFormat/>
    <w:uiPriority w:val="39"/>
    <w:pPr>
      <w:ind w:left="480"/>
    </w:pPr>
    <w:rPr>
      <w:rFonts w:ascii="等线" w:eastAsia="等线"/>
      <w:i/>
      <w:iCs/>
      <w:sz w:val="20"/>
      <w:szCs w:val="20"/>
    </w:rPr>
  </w:style>
  <w:style w:type="paragraph" w:styleId="18">
    <w:name w:val="Plain Text"/>
    <w:basedOn w:val="1"/>
    <w:qFormat/>
    <w:uiPriority w:val="0"/>
    <w:rPr>
      <w:rFonts w:ascii="宋体" w:hAnsi="Courier New"/>
      <w:kern w:val="0"/>
      <w:sz w:val="20"/>
      <w:szCs w:val="20"/>
    </w:rPr>
  </w:style>
  <w:style w:type="paragraph" w:styleId="19">
    <w:name w:val="toc 8"/>
    <w:basedOn w:val="1"/>
    <w:next w:val="1"/>
    <w:qFormat/>
    <w:uiPriority w:val="39"/>
    <w:pPr>
      <w:ind w:left="1680"/>
    </w:pPr>
    <w:rPr>
      <w:rFonts w:ascii="等线" w:eastAsia="等线"/>
      <w:sz w:val="18"/>
      <w:szCs w:val="18"/>
    </w:rPr>
  </w:style>
  <w:style w:type="paragraph" w:styleId="20">
    <w:name w:val="footer"/>
    <w:basedOn w:val="1"/>
    <w:link w:val="40"/>
    <w:qFormat/>
    <w:uiPriority w:val="99"/>
    <w:pPr>
      <w:tabs>
        <w:tab w:val="center" w:pos="4153"/>
        <w:tab w:val="right" w:pos="8306"/>
      </w:tabs>
      <w:snapToGrid w:val="0"/>
    </w:pPr>
    <w:rPr>
      <w:sz w:val="18"/>
      <w:szCs w:val="18"/>
    </w:rPr>
  </w:style>
  <w:style w:type="paragraph" w:styleId="21">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spacing w:before="120" w:after="120"/>
    </w:pPr>
    <w:rPr>
      <w:rFonts w:ascii="等线" w:eastAsia="等线"/>
      <w:b/>
      <w:bCs/>
      <w:caps/>
      <w:sz w:val="20"/>
      <w:szCs w:val="20"/>
    </w:rPr>
  </w:style>
  <w:style w:type="paragraph" w:styleId="23">
    <w:name w:val="toc 4"/>
    <w:basedOn w:val="1"/>
    <w:next w:val="1"/>
    <w:qFormat/>
    <w:uiPriority w:val="39"/>
    <w:pPr>
      <w:ind w:left="720"/>
    </w:pPr>
    <w:rPr>
      <w:rFonts w:ascii="等线" w:eastAsia="等线"/>
      <w:sz w:val="18"/>
      <w:szCs w:val="18"/>
    </w:rPr>
  </w:style>
  <w:style w:type="paragraph" w:styleId="24">
    <w:name w:val="footnote text"/>
    <w:basedOn w:val="1"/>
    <w:next w:val="11"/>
    <w:qFormat/>
    <w:uiPriority w:val="0"/>
    <w:pPr>
      <w:widowControl/>
      <w:jc w:val="left"/>
    </w:pPr>
    <w:rPr>
      <w:kern w:val="0"/>
      <w:sz w:val="20"/>
      <w:szCs w:val="20"/>
      <w:lang w:val="de-DE"/>
    </w:rPr>
  </w:style>
  <w:style w:type="paragraph" w:styleId="25">
    <w:name w:val="toc 6"/>
    <w:basedOn w:val="1"/>
    <w:next w:val="1"/>
    <w:qFormat/>
    <w:uiPriority w:val="39"/>
    <w:pPr>
      <w:ind w:left="1200"/>
    </w:pPr>
    <w:rPr>
      <w:rFonts w:ascii="等线" w:eastAsia="等线"/>
      <w:sz w:val="18"/>
      <w:szCs w:val="18"/>
    </w:rPr>
  </w:style>
  <w:style w:type="paragraph" w:styleId="26">
    <w:name w:val="toc 2"/>
    <w:basedOn w:val="1"/>
    <w:next w:val="1"/>
    <w:qFormat/>
    <w:uiPriority w:val="39"/>
    <w:pPr>
      <w:ind w:left="240"/>
    </w:pPr>
    <w:rPr>
      <w:rFonts w:ascii="等线" w:eastAsia="等线"/>
      <w:smallCaps/>
      <w:sz w:val="20"/>
      <w:szCs w:val="20"/>
    </w:rPr>
  </w:style>
  <w:style w:type="paragraph" w:styleId="27">
    <w:name w:val="toc 9"/>
    <w:basedOn w:val="1"/>
    <w:next w:val="1"/>
    <w:qFormat/>
    <w:uiPriority w:val="39"/>
    <w:pPr>
      <w:ind w:left="1920"/>
    </w:pPr>
    <w:rPr>
      <w:rFonts w:ascii="等线" w:eastAsia="等线"/>
      <w:sz w:val="18"/>
      <w:szCs w:val="18"/>
    </w:rPr>
  </w:style>
  <w:style w:type="paragraph" w:styleId="28">
    <w:name w:val="Normal (Web)"/>
    <w:basedOn w:val="1"/>
    <w:qFormat/>
    <w:uiPriority w:val="0"/>
    <w:pPr>
      <w:widowControl/>
      <w:spacing w:before="100" w:beforeAutospacing="1" w:after="100" w:afterAutospacing="1" w:line="240" w:lineRule="auto"/>
    </w:pPr>
    <w:rPr>
      <w:rFonts w:cs="宋体"/>
      <w:kern w:val="0"/>
      <w:szCs w:val="20"/>
    </w:rPr>
  </w:style>
  <w:style w:type="paragraph" w:styleId="29">
    <w:name w:val="annotation subject"/>
    <w:basedOn w:val="13"/>
    <w:next w:val="13"/>
    <w:link w:val="55"/>
    <w:qFormat/>
    <w:uiPriority w:val="99"/>
    <w:pPr>
      <w:spacing w:line="360" w:lineRule="auto"/>
    </w:pPr>
    <w:rPr>
      <w:rFonts w:ascii="宋体" w:hAnsi="宋体" w:eastAsia="宋体"/>
      <w:b/>
      <w:bCs/>
      <w:sz w:val="24"/>
      <w:szCs w:val="22"/>
    </w:rPr>
  </w:style>
  <w:style w:type="paragraph" w:styleId="30">
    <w:name w:val="Body Text First Indent"/>
    <w:basedOn w:val="15"/>
    <w:qFormat/>
    <w:uiPriority w:val="0"/>
    <w:pPr>
      <w:ind w:firstLine="420"/>
    </w:pPr>
  </w:style>
  <w:style w:type="table" w:styleId="32">
    <w:name w:val="Table Grid"/>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Hyperlink"/>
    <w:basedOn w:val="33"/>
    <w:qFormat/>
    <w:uiPriority w:val="99"/>
    <w:rPr>
      <w:color w:val="0563C1"/>
      <w:u w:val="single"/>
    </w:rPr>
  </w:style>
  <w:style w:type="character" w:styleId="36">
    <w:name w:val="annotation reference"/>
    <w:basedOn w:val="33"/>
    <w:qFormat/>
    <w:uiPriority w:val="99"/>
    <w:rPr>
      <w:sz w:val="21"/>
      <w:szCs w:val="21"/>
    </w:rPr>
  </w:style>
  <w:style w:type="paragraph" w:customStyle="1" w:styleId="37">
    <w:name w:val="正文缩进1"/>
    <w:basedOn w:val="1"/>
    <w:next w:val="3"/>
    <w:qFormat/>
    <w:uiPriority w:val="0"/>
    <w:pPr>
      <w:widowControl/>
      <w:ind w:firstLine="420"/>
    </w:pPr>
    <w:rPr>
      <w:color w:val="000000"/>
    </w:rPr>
  </w:style>
  <w:style w:type="paragraph" w:customStyle="1" w:styleId="38">
    <w:name w:val="正文缩进2"/>
    <w:basedOn w:val="1"/>
    <w:qFormat/>
    <w:uiPriority w:val="0"/>
    <w:pPr>
      <w:wordWrap w:val="0"/>
      <w:ind w:firstLine="200" w:firstLineChars="200"/>
    </w:pPr>
  </w:style>
  <w:style w:type="character" w:customStyle="1" w:styleId="39">
    <w:name w:val="页眉 字符"/>
    <w:basedOn w:val="33"/>
    <w:link w:val="21"/>
    <w:qFormat/>
    <w:uiPriority w:val="99"/>
    <w:rPr>
      <w:rFonts w:eastAsia="宋体"/>
      <w:sz w:val="18"/>
      <w:szCs w:val="18"/>
    </w:rPr>
  </w:style>
  <w:style w:type="character" w:customStyle="1" w:styleId="40">
    <w:name w:val="页脚 字符"/>
    <w:basedOn w:val="33"/>
    <w:link w:val="20"/>
    <w:qFormat/>
    <w:uiPriority w:val="99"/>
    <w:rPr>
      <w:rFonts w:eastAsia="宋体"/>
      <w:sz w:val="18"/>
      <w:szCs w:val="18"/>
    </w:rPr>
  </w:style>
  <w:style w:type="character" w:customStyle="1" w:styleId="41">
    <w:name w:val="标题 1 字符"/>
    <w:basedOn w:val="33"/>
    <w:link w:val="4"/>
    <w:qFormat/>
    <w:uiPriority w:val="9"/>
    <w:rPr>
      <w:rFonts w:ascii="宋体" w:hAnsi="宋体" w:eastAsia="黑体"/>
      <w:b/>
      <w:bCs/>
      <w:kern w:val="44"/>
      <w:sz w:val="44"/>
      <w:szCs w:val="44"/>
    </w:rPr>
  </w:style>
  <w:style w:type="paragraph" w:customStyle="1" w:styleId="42">
    <w:name w:val="List Paragraph"/>
    <w:basedOn w:val="1"/>
    <w:link w:val="51"/>
    <w:qFormat/>
    <w:uiPriority w:val="34"/>
    <w:pPr>
      <w:ind w:firstLine="420" w:firstLineChars="200"/>
    </w:pPr>
  </w:style>
  <w:style w:type="character" w:customStyle="1" w:styleId="43">
    <w:name w:val="标题 2 字符"/>
    <w:basedOn w:val="33"/>
    <w:link w:val="5"/>
    <w:qFormat/>
    <w:uiPriority w:val="9"/>
    <w:rPr>
      <w:rFonts w:ascii="等线 Light" w:hAnsi="等线 Light" w:eastAsia="宋体" w:cs="宋体"/>
      <w:b/>
      <w:bCs/>
      <w:sz w:val="32"/>
      <w:szCs w:val="32"/>
    </w:rPr>
  </w:style>
  <w:style w:type="character" w:customStyle="1" w:styleId="44">
    <w:name w:val="未处理的提及1"/>
    <w:basedOn w:val="33"/>
    <w:qFormat/>
    <w:uiPriority w:val="99"/>
    <w:rPr>
      <w:color w:val="605E5C"/>
      <w:shd w:val="clear" w:color="auto" w:fill="E1DFDD"/>
    </w:rPr>
  </w:style>
  <w:style w:type="character" w:customStyle="1" w:styleId="45">
    <w:name w:val="正文文本 字符"/>
    <w:basedOn w:val="33"/>
    <w:link w:val="15"/>
    <w:qFormat/>
    <w:uiPriority w:val="99"/>
    <w:rPr>
      <w:rFonts w:ascii="Times New Roman" w:hAnsi="Times New Roman" w:eastAsia="宋体" w:cs="Times New Roman"/>
      <w:kern w:val="0"/>
      <w:sz w:val="20"/>
      <w:szCs w:val="20"/>
    </w:rPr>
  </w:style>
  <w:style w:type="character" w:customStyle="1" w:styleId="46">
    <w:name w:val="正文文本 3 字符"/>
    <w:basedOn w:val="33"/>
    <w:link w:val="14"/>
    <w:qFormat/>
    <w:uiPriority w:val="99"/>
    <w:rPr>
      <w:rFonts w:ascii="宋体" w:hAnsi="宋体" w:eastAsia="宋体"/>
      <w:sz w:val="16"/>
      <w:szCs w:val="16"/>
    </w:rPr>
  </w:style>
  <w:style w:type="paragraph" w:customStyle="1" w:styleId="47">
    <w:name w:val="Default"/>
    <w:link w:val="48"/>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48">
    <w:name w:val="Default Char Char"/>
    <w:link w:val="47"/>
    <w:qFormat/>
    <w:uiPriority w:val="0"/>
    <w:rPr>
      <w:rFonts w:ascii=".." w:hAnsi="Times New Roman" w:eastAsia=".." w:cs="Times New Roman"/>
      <w:color w:val="000000"/>
      <w:kern w:val="0"/>
      <w:sz w:val="24"/>
      <w:szCs w:val="24"/>
    </w:rPr>
  </w:style>
  <w:style w:type="paragraph" w:customStyle="1" w:styleId="49">
    <w:name w:val="No Spacing"/>
    <w:link w:val="54"/>
    <w:qFormat/>
    <w:uiPriority w:val="1"/>
    <w:pPr>
      <w:widowControl w:val="0"/>
    </w:pPr>
    <w:rPr>
      <w:rFonts w:ascii="宋体" w:hAnsi="宋体" w:eastAsia="宋体" w:cs="宋体"/>
      <w:kern w:val="2"/>
      <w:sz w:val="21"/>
      <w:szCs w:val="22"/>
      <w:lang w:val="en-US" w:eastAsia="zh-CN" w:bidi="ar-SA"/>
    </w:rPr>
  </w:style>
  <w:style w:type="character" w:customStyle="1" w:styleId="50">
    <w:name w:val="批注文字 字符"/>
    <w:basedOn w:val="33"/>
    <w:link w:val="13"/>
    <w:qFormat/>
    <w:uiPriority w:val="0"/>
    <w:rPr>
      <w:szCs w:val="24"/>
    </w:rPr>
  </w:style>
  <w:style w:type="character" w:customStyle="1" w:styleId="51">
    <w:name w:val="列表段落 字符"/>
    <w:link w:val="42"/>
    <w:qFormat/>
    <w:uiPriority w:val="34"/>
    <w:rPr>
      <w:rFonts w:ascii="宋体" w:hAnsi="宋体" w:eastAsia="宋体"/>
      <w:sz w:val="24"/>
    </w:rPr>
  </w:style>
  <w:style w:type="character" w:customStyle="1" w:styleId="52">
    <w:name w:val="标题 3 字符"/>
    <w:basedOn w:val="33"/>
    <w:link w:val="6"/>
    <w:qFormat/>
    <w:uiPriority w:val="9"/>
    <w:rPr>
      <w:rFonts w:ascii="宋体" w:hAnsi="宋体" w:eastAsia="宋体"/>
      <w:b/>
      <w:bCs/>
      <w:sz w:val="32"/>
      <w:szCs w:val="32"/>
    </w:rPr>
  </w:style>
  <w:style w:type="character" w:customStyle="1" w:styleId="53">
    <w:name w:val="标题 4 字符"/>
    <w:basedOn w:val="33"/>
    <w:link w:val="7"/>
    <w:qFormat/>
    <w:uiPriority w:val="9"/>
    <w:rPr>
      <w:rFonts w:ascii="等线 Light" w:hAnsi="等线 Light" w:eastAsia="宋体" w:cs="宋体"/>
      <w:b/>
      <w:bCs/>
      <w:sz w:val="28"/>
      <w:szCs w:val="28"/>
    </w:rPr>
  </w:style>
  <w:style w:type="character" w:customStyle="1" w:styleId="54">
    <w:name w:val="无间隔 字符"/>
    <w:link w:val="49"/>
    <w:qFormat/>
    <w:uiPriority w:val="1"/>
    <w:rPr>
      <w:rFonts w:ascii="宋体" w:hAnsi="宋体" w:eastAsia="宋体"/>
    </w:rPr>
  </w:style>
  <w:style w:type="character" w:customStyle="1" w:styleId="55">
    <w:name w:val="批注主题 字符"/>
    <w:basedOn w:val="50"/>
    <w:link w:val="29"/>
    <w:qFormat/>
    <w:uiPriority w:val="99"/>
    <w:rPr>
      <w:rFonts w:ascii="宋体" w:hAnsi="宋体" w:eastAsia="宋体"/>
      <w:b/>
      <w:bCs/>
      <w:kern w:val="2"/>
      <w:sz w:val="24"/>
      <w:szCs w:val="22"/>
    </w:rPr>
  </w:style>
  <w:style w:type="paragraph" w:customStyle="1" w:styleId="5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57">
    <w:name w:val="正文_1_1"/>
    <w:basedOn w:val="58"/>
    <w:qFormat/>
    <w:uiPriority w:val="99"/>
    <w:pPr>
      <w:widowControl w:val="0"/>
      <w:jc w:val="both"/>
    </w:pPr>
    <w:rPr>
      <w:rFonts w:ascii="Calibri" w:hAnsi="Calibri" w:eastAsia="宋体" w:cs="Times New Roman"/>
      <w:kern w:val="2"/>
      <w:sz w:val="21"/>
      <w:szCs w:val="24"/>
      <w:lang w:val="en-US" w:eastAsia="zh-CN" w:bidi="ar-SA"/>
    </w:rPr>
  </w:style>
  <w:style w:type="paragraph" w:customStyle="1" w:styleId="58">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
    <w:name w:val="正文1"/>
    <w:qFormat/>
    <w:uiPriority w:val="0"/>
    <w:pPr>
      <w:widowControl w:val="0"/>
      <w:jc w:val="both"/>
    </w:pPr>
    <w:rPr>
      <w:rFonts w:ascii="Calibri" w:hAnsi="Calibri" w:eastAsia="宋体" w:cs="Times New Roman"/>
      <w:lang w:val="en-US" w:eastAsia="zh-CN" w:bidi="ar-SA"/>
    </w:rPr>
  </w:style>
  <w:style w:type="paragraph" w:customStyle="1" w:styleId="60">
    <w:name w:val="正文_2"/>
    <w:basedOn w:val="61"/>
    <w:next w:val="62"/>
    <w:qFormat/>
    <w:uiPriority w:val="0"/>
    <w:pPr>
      <w:widowControl w:val="0"/>
      <w:jc w:val="both"/>
    </w:pPr>
    <w:rPr>
      <w:rFonts w:ascii="Calibri" w:hAnsi="Calibri" w:eastAsia="宋体" w:cs="Times New Roman"/>
      <w:lang w:val="en-US" w:eastAsia="zh-CN" w:bidi="ar-SA"/>
    </w:rPr>
  </w:style>
  <w:style w:type="paragraph" w:customStyle="1" w:styleId="61">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标题1"/>
    <w:basedOn w:val="60"/>
    <w:next w:val="60"/>
    <w:qFormat/>
    <w:uiPriority w:val="0"/>
    <w:pPr>
      <w:spacing w:before="240" w:after="60"/>
      <w:jc w:val="center"/>
      <w:outlineLvl w:val="0"/>
    </w:pPr>
    <w:rPr>
      <w:rFonts w:ascii="Arial" w:hAnsi="Arial" w:cs="Arial"/>
      <w:sz w:val="32"/>
      <w:szCs w:val="32"/>
    </w:rPr>
  </w:style>
  <w:style w:type="paragraph" w:customStyle="1" w:styleId="63">
    <w:name w:val="Normal_7987c63d-832e-4481-8423-40f46b21af43"/>
    <w:qFormat/>
    <w:uiPriority w:val="0"/>
    <w:pPr>
      <w:widowControl w:val="0"/>
      <w:jc w:val="both"/>
    </w:pPr>
    <w:rPr>
      <w:rFonts w:ascii="Times New Roman" w:hAnsi="Times New Roman" w:eastAsia="Times New Roman" w:cs="Times New Roman"/>
      <w:lang w:val="en-US" w:eastAsia="zh-CN" w:bidi="ar-SA"/>
    </w:rPr>
  </w:style>
  <w:style w:type="paragraph" w:customStyle="1" w:styleId="64">
    <w:name w:val="正文_1"/>
    <w:next w:val="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正"/>
    <w:basedOn w:val="64"/>
    <w:qFormat/>
    <w:uiPriority w:val="0"/>
    <w:pPr>
      <w:tabs>
        <w:tab w:val="left" w:pos="-120"/>
      </w:tabs>
      <w:spacing w:line="560" w:lineRule="exact"/>
      <w:ind w:firstLine="600"/>
      <w:textAlignment w:val="baseline"/>
    </w:pPr>
    <w:rPr>
      <w:rFonts w:ascii="仿宋_GB2312" w:hAnsi="仿宋_GB2312" w:eastAsia="仿宋_GB2312" w:cs="仿宋_GB2312"/>
      <w:color w:val="000000"/>
      <w:spacing w:val="20"/>
      <w:kern w:val="0"/>
    </w:rPr>
  </w:style>
  <w:style w:type="paragraph" w:customStyle="1" w:styleId="66">
    <w:name w:val="xl31"/>
    <w:basedOn w:val="1"/>
    <w:qFormat/>
    <w:uiPriority w:val="0"/>
    <w:pPr>
      <w:widowControl/>
      <w:spacing w:before="100" w:beforeAutospacing="1" w:after="100" w:afterAutospacing="1"/>
      <w:jc w:val="center"/>
    </w:pPr>
    <w:rPr>
      <w:b/>
      <w:bCs/>
      <w:kern w:val="0"/>
      <w:sz w:val="28"/>
      <w:szCs w:val="28"/>
    </w:rPr>
  </w:style>
  <w:style w:type="paragraph" w:customStyle="1" w:styleId="67">
    <w:name w:val="列出段落1"/>
    <w:basedOn w:val="1"/>
    <w:qFormat/>
    <w:uiPriority w:val="0"/>
    <w:pPr>
      <w:ind w:firstLine="420" w:firstLineChars="200"/>
    </w:pPr>
    <w:rPr>
      <w:szCs w:val="21"/>
    </w:rPr>
  </w:style>
  <w:style w:type="paragraph" w:customStyle="1" w:styleId="68">
    <w:name w:val="Normal_22"/>
    <w:qFormat/>
    <w:uiPriority w:val="0"/>
    <w:rPr>
      <w:rFonts w:ascii="Times New Roman" w:hAnsi="Times New Roman" w:eastAsia="Times New Roman" w:cs="Times New Roman"/>
      <w:sz w:val="24"/>
      <w:szCs w:val="24"/>
      <w:lang w:bidi="ar-SA"/>
    </w:rPr>
  </w:style>
  <w:style w:type="paragraph" w:customStyle="1" w:styleId="69">
    <w:name w:val="Char Char Char Char Char Char Char1 Char"/>
    <w:basedOn w:val="1"/>
    <w:qFormat/>
    <w:uiPriority w:val="0"/>
    <w:rPr>
      <w:rFonts w:ascii="Arial" w:hAnsi="Arial" w:eastAsia="宋体" w:cs="Arial"/>
      <w:sz w:val="24"/>
    </w:rPr>
  </w:style>
  <w:style w:type="paragraph" w:customStyle="1" w:styleId="70">
    <w:name w:val="正文缩进2格"/>
    <w:basedOn w:val="1"/>
    <w:qFormat/>
    <w:uiPriority w:val="0"/>
    <w:pPr>
      <w:spacing w:line="600" w:lineRule="exact"/>
      <w:ind w:firstLine="639" w:firstLineChars="206"/>
    </w:pPr>
    <w:rPr>
      <w:rFonts w:ascii="仿宋_GB2312" w:hAnsi="宋体" w:eastAsia="仿宋_GB2312"/>
      <w:kern w:val="0"/>
      <w:sz w:val="31"/>
      <w:szCs w:val="20"/>
    </w:rPr>
  </w:style>
  <w:style w:type="paragraph" w:customStyle="1" w:styleId="71">
    <w:name w:val="Default Text"/>
    <w:qFormat/>
    <w:uiPriority w:val="0"/>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72">
    <w:name w:val="正文文本_1"/>
    <w:basedOn w:val="73"/>
    <w:qFormat/>
    <w:uiPriority w:val="0"/>
    <w:pPr>
      <w:spacing w:after="120"/>
    </w:pPr>
    <w:rPr>
      <w:rFonts w:ascii="Calibri" w:hAnsi="Calibri"/>
    </w:rPr>
  </w:style>
  <w:style w:type="paragraph" w:customStyle="1" w:styleId="73">
    <w:name w:val="正文_1_0"/>
    <w:basedOn w:val="57"/>
    <w:next w:val="74"/>
    <w:qFormat/>
    <w:uiPriority w:val="0"/>
    <w:rPr>
      <w:sz w:val="28"/>
      <w:szCs w:val="22"/>
    </w:rPr>
  </w:style>
  <w:style w:type="paragraph" w:customStyle="1" w:styleId="74">
    <w:name w:val="正文首行缩进1"/>
    <w:basedOn w:val="75"/>
    <w:qFormat/>
    <w:uiPriority w:val="99"/>
    <w:pPr>
      <w:ind w:firstLine="420" w:firstLineChars="100"/>
    </w:pPr>
    <w:rPr>
      <w:szCs w:val="22"/>
    </w:rPr>
  </w:style>
  <w:style w:type="paragraph" w:customStyle="1" w:styleId="75">
    <w:name w:val="正文文本_0_0"/>
    <w:basedOn w:val="76"/>
    <w:qFormat/>
    <w:uiPriority w:val="0"/>
    <w:pPr>
      <w:spacing w:after="120"/>
    </w:pPr>
    <w:rPr>
      <w:kern w:val="0"/>
      <w:sz w:val="20"/>
    </w:rPr>
  </w:style>
  <w:style w:type="paragraph" w:customStyle="1" w:styleId="76">
    <w:name w:val="正文_1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LO-Normal"/>
    <w:qFormat/>
    <w:uiPriority w:val="0"/>
    <w:pPr>
      <w:suppressAutoHyphens/>
    </w:pPr>
    <w:rPr>
      <w:rFonts w:ascii="Times New Roman" w:hAnsi="Times New Roman" w:eastAsia="宋体" w:cs="Times New Roman"/>
      <w:sz w:val="24"/>
      <w:szCs w:val="24"/>
      <w:lang w:val="en-US" w:eastAsia="zh-CN" w:bidi="ar-SA"/>
    </w:rPr>
  </w:style>
  <w:style w:type="paragraph" w:customStyle="1" w:styleId="78">
    <w:name w:val="Normal_0"/>
    <w:qFormat/>
    <w:uiPriority w:val="0"/>
    <w:rPr>
      <w:rFonts w:ascii="Times New Roman" w:hAnsi="Times New Roman" w:eastAsia="Times New Roman" w:cs="Times New Roman"/>
      <w:sz w:val="24"/>
      <w:szCs w:val="24"/>
      <w:lang w:val="en-US" w:eastAsia="zh-CN" w:bidi="ar-SA"/>
    </w:rPr>
  </w:style>
  <w:style w:type="paragraph" w:customStyle="1" w:styleId="79">
    <w:name w:val="正文_0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
    <w:name w:val="正文_0_0_1"/>
    <w:qFormat/>
    <w:uiPriority w:val="0"/>
    <w:pPr>
      <w:widowControl w:val="0"/>
      <w:jc w:val="both"/>
    </w:pPr>
    <w:rPr>
      <w:rFonts w:ascii="Calibri" w:hAnsi="Calibri" w:eastAsia="宋体" w:cs="Times New Roman"/>
      <w:kern w:val="2"/>
      <w:sz w:val="28"/>
      <w:szCs w:val="22"/>
      <w:lang w:val="en-US" w:eastAsia="zh-CN" w:bidi="ar-SA"/>
    </w:rPr>
  </w:style>
  <w:style w:type="paragraph" w:customStyle="1" w:styleId="81">
    <w:name w:val="Normal_3"/>
    <w:qFormat/>
    <w:uiPriority w:val="0"/>
    <w:rPr>
      <w:rFonts w:ascii="黑体" w:hAnsi="黑体" w:eastAsia="黑体" w:cs="Times New Roman"/>
      <w:b/>
      <w:sz w:val="32"/>
      <w:szCs w:val="24"/>
      <w:lang w:val="en-US" w:eastAsia="zh-CN" w:bidi="ar-SA"/>
    </w:rPr>
  </w:style>
  <w:style w:type="paragraph" w:customStyle="1" w:styleId="82">
    <w:name w:val="正文_1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正文_0_0_0"/>
    <w:qFormat/>
    <w:uiPriority w:val="0"/>
    <w:pPr>
      <w:widowControl w:val="0"/>
      <w:jc w:val="both"/>
    </w:pPr>
    <w:rPr>
      <w:rFonts w:ascii="Calibri" w:hAnsi="Calibri" w:eastAsia="宋体" w:cs="Times New Roman"/>
      <w:kern w:val="2"/>
      <w:sz w:val="28"/>
      <w:szCs w:val="22"/>
      <w:lang w:val="en-US" w:eastAsia="zh-CN" w:bidi="ar-SA"/>
    </w:rPr>
  </w:style>
  <w:style w:type="character" w:customStyle="1" w:styleId="84">
    <w:name w:val="font21"/>
    <w:basedOn w:val="33"/>
    <w:qFormat/>
    <w:uiPriority w:val="0"/>
    <w:rPr>
      <w:rFonts w:hint="eastAsia" w:ascii="宋体" w:hAnsi="宋体" w:eastAsia="宋体" w:cs="宋体"/>
      <w:color w:val="000000"/>
      <w:sz w:val="20"/>
      <w:szCs w:val="20"/>
      <w:u w:val="none"/>
    </w:rPr>
  </w:style>
  <w:style w:type="paragraph" w:customStyle="1" w:styleId="85">
    <w:name w:val="BodyText1I"/>
    <w:basedOn w:val="86"/>
    <w:qFormat/>
    <w:uiPriority w:val="0"/>
    <w:pPr>
      <w:spacing w:line="312" w:lineRule="auto"/>
      <w:ind w:firstLine="420"/>
    </w:pPr>
    <w:rPr>
      <w:rFonts w:ascii="Calibri" w:hAnsi="Calibri"/>
    </w:rPr>
  </w:style>
  <w:style w:type="paragraph" w:customStyle="1" w:styleId="86">
    <w:name w:val="BodyText"/>
    <w:basedOn w:val="1"/>
    <w:next w:val="87"/>
    <w:qFormat/>
    <w:uiPriority w:val="0"/>
    <w:pPr>
      <w:spacing w:after="120"/>
      <w:textAlignment w:val="baseline"/>
    </w:pPr>
  </w:style>
  <w:style w:type="paragraph" w:customStyle="1" w:styleId="87">
    <w:name w:val="180"/>
    <w:basedOn w:val="1"/>
    <w:next w:val="1"/>
    <w:qFormat/>
    <w:uiPriority w:val="0"/>
    <w:pPr>
      <w:spacing w:after="160" w:line="259" w:lineRule="auto"/>
      <w:textAlignment w:val="baseline"/>
    </w:pPr>
    <w:rPr>
      <w:rFonts w:ascii="Calibri" w:hAnsi="Calibri" w:eastAsia="宋体"/>
      <w:i/>
      <w:iCs/>
      <w:color w:val="000000"/>
    </w:rPr>
  </w:style>
  <w:style w:type="paragraph" w:customStyle="1" w:styleId="88">
    <w:name w:val="MM Topic 4"/>
    <w:basedOn w:val="1"/>
    <w:qFormat/>
    <w:uiPriority w:val="0"/>
    <w:pPr>
      <w:numPr>
        <w:ilvl w:val="3"/>
        <w:numId w:val="2"/>
      </w:numPr>
      <w:ind w:firstLineChars="0"/>
    </w:pPr>
  </w:style>
  <w:style w:type="character" w:customStyle="1" w:styleId="89">
    <w:name w:val="样式 样式 宋体 小四 行距: 1.5 倍行距 + ˎ̥ 黑色 Char"/>
    <w:link w:val="90"/>
    <w:qFormat/>
    <w:uiPriority w:val="0"/>
    <w:rPr>
      <w:rFonts w:ascii="ˎ̥" w:hAnsi="ˎ̥"/>
      <w:color w:val="000000"/>
      <w:kern w:val="0"/>
    </w:rPr>
  </w:style>
  <w:style w:type="paragraph" w:customStyle="1" w:styleId="90">
    <w:name w:val="样式 样式 宋体 小四 行距: 1.5 倍行距 + ˎ̥ 黑色"/>
    <w:basedOn w:val="2"/>
    <w:link w:val="89"/>
    <w:qFormat/>
    <w:uiPriority w:val="0"/>
    <w:pPr>
      <w:ind w:left="200" w:firstLine="200"/>
    </w:pPr>
    <w:rPr>
      <w:rFonts w:ascii="ˎ̥" w:hAnsi="ˎ̥"/>
      <w:color w:val="000000"/>
      <w:kern w:val="0"/>
    </w:rPr>
  </w:style>
  <w:style w:type="paragraph" w:customStyle="1" w:styleId="91">
    <w:name w:val="样式 85 10 磅"/>
    <w:qFormat/>
    <w:uiPriority w:val="0"/>
    <w:pPr>
      <w:widowControl w:val="0"/>
      <w:jc w:val="both"/>
    </w:pPr>
    <w:rPr>
      <w:rFonts w:ascii="等线" w:hAnsi="Times New Roman" w:eastAsia="等线" w:cs="Arial"/>
      <w:kern w:val="2"/>
      <w:sz w:val="21"/>
      <w:szCs w:val="22"/>
      <w:lang w:val="en-US" w:eastAsia="zh-CN" w:bidi="ar-SA"/>
    </w:rPr>
  </w:style>
  <w:style w:type="paragraph" w:customStyle="1" w:styleId="92">
    <w:name w:val="No Spacing_ba8b9293-d8cc-4931-89a4-033719bb0fdf"/>
    <w:qFormat/>
    <w:uiPriority w:val="1"/>
    <w:pPr>
      <w:widowControl w:val="0"/>
    </w:pPr>
    <w:rPr>
      <w:rFonts w:ascii="宋体" w:hAnsi="宋体" w:eastAsia="宋体" w:cs="宋体"/>
      <w:kern w:val="2"/>
      <w:sz w:val="21"/>
      <w:szCs w:val="22"/>
      <w:lang w:val="en-US" w:eastAsia="zh-CN" w:bidi="ar-SA"/>
    </w:rPr>
  </w:style>
  <w:style w:type="paragraph" w:customStyle="1" w:styleId="9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94">
    <w:name w:val="font11"/>
    <w:basedOn w:val="3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134</Pages>
  <Words>653</Words>
  <Characters>723</Characters>
  <Lines>0</Lines>
  <Paragraphs>2826</Paragraphs>
  <TotalTime>10</TotalTime>
  <ScaleCrop>false</ScaleCrop>
  <LinksUpToDate>false</LinksUpToDate>
  <CharactersWithSpaces>897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2024-02-04T06:30:00Z</dcterms:created>
  <dc:creator>Qwy12</dc:creator>
  <cp:lastModifiedBy>山海.</cp:lastModifiedBy>
  <cp:lastPrinted>2024-12-28T09:35:00Z</cp:lastPrinted>
  <dcterms:modified xsi:type="dcterms:W3CDTF">2026-11-02T10:34:31Z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D6C02E748D0B4C33B16E29730F51F270_13</vt:lpwstr>
  </property>
  <property fmtid="{D5CDD505-2E9C-101B-9397-08002B2CF9AE}" pid="4" name="KSOTemplateDocerSaveRecord">
    <vt:lpwstr>eyJoZGlkIjoiZTNmZjE4ZjcwYzNlZmE4ZjFlNTMzZTIwYmJkMTg2M2IiLCJ1c2VySWQiOiI3NDA1MzQwMDEifQ==</vt:lpwstr>
  </property>
</Properties>
</file>