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2C5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napToGrid w:val="0"/>
          <w:color w:val="000000"/>
          <w:spacing w:val="8"/>
          <w:kern w:val="0"/>
          <w:sz w:val="52"/>
          <w:szCs w:val="52"/>
          <w:lang w:val="en-US" w:eastAsia="zh-CN" w:bidi="ar-SA"/>
          <w14:textOutline w14:w="5793" w14:cap="sq" w14:cmpd="sng">
            <w14:solidFill>
              <w14:srgbClr w14:val="000000"/>
            </w14:solidFill>
            <w14:prstDash w14:val="solid"/>
            <w14:bevel/>
          </w14:textOutline>
        </w:rPr>
      </w:pPr>
      <w:r>
        <w:rPr>
          <w:rFonts w:hint="eastAsia" w:ascii="仿宋" w:hAnsi="仿宋" w:eastAsia="仿宋" w:cs="仿宋"/>
          <w:snapToGrid w:val="0"/>
          <w:color w:val="000000"/>
          <w:spacing w:val="8"/>
          <w:kern w:val="0"/>
          <w:sz w:val="52"/>
          <w:szCs w:val="52"/>
          <w:lang w:val="en-US" w:eastAsia="zh-CN" w:bidi="ar-SA"/>
          <w14:textOutline w14:w="5793" w14:cap="sq" w14:cmpd="sng">
            <w14:solidFill>
              <w14:srgbClr w14:val="000000"/>
            </w14:solidFill>
            <w14:prstDash w14:val="solid"/>
            <w14:bevel/>
          </w14:textOutline>
        </w:rPr>
        <w:t>阿图什市“金色晚霞”老年人助餐服务项目（二次）</w:t>
      </w:r>
    </w:p>
    <w:p w14:paraId="48B309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bCs/>
          <w:sz w:val="32"/>
          <w:szCs w:val="40"/>
          <w:highlight w:val="none"/>
          <w:lang w:val="en-US" w:eastAsia="zh-CN"/>
        </w:rPr>
      </w:pPr>
      <w:r>
        <w:rPr>
          <w:rFonts w:hint="eastAsia" w:ascii="宋体" w:hAnsi="宋体" w:cs="宋体"/>
          <w:b/>
          <w:bCs/>
          <w:sz w:val="32"/>
          <w:szCs w:val="40"/>
          <w:highlight w:val="none"/>
          <w:lang w:val="en-US" w:eastAsia="zh-CN"/>
        </w:rPr>
        <w:t>项目编号：ATSJYZX-CG-2026129-01</w:t>
      </w:r>
    </w:p>
    <w:p w14:paraId="199DCA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bCs/>
          <w:sz w:val="32"/>
          <w:szCs w:val="40"/>
          <w:highlight w:val="none"/>
          <w:lang w:val="en-US" w:eastAsia="zh-CN"/>
        </w:rPr>
      </w:pPr>
    </w:p>
    <w:p w14:paraId="46EE0527">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竞</w:t>
      </w:r>
    </w:p>
    <w:p w14:paraId="54E5A6D8">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争</w:t>
      </w:r>
    </w:p>
    <w:p w14:paraId="23340222">
      <w:pPr>
        <w:pStyle w:val="2"/>
        <w:widowControl/>
        <w:kinsoku w:val="0"/>
        <w:autoSpaceDE w:val="0"/>
        <w:autoSpaceDN w:val="0"/>
        <w:adjustRightInd w:val="0"/>
        <w:snapToGrid w:val="0"/>
        <w:spacing w:before="247" w:after="0" w:line="761" w:lineRule="exact"/>
        <w:ind w:left="4511"/>
        <w:jc w:val="left"/>
        <w:textAlignment w:val="baseline"/>
        <w:rPr>
          <w:rFonts w:hint="default"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性</w:t>
      </w:r>
      <w:r>
        <w:rPr>
          <w:rFonts w:hint="eastAsia" w:ascii="宋体" w:hAnsi="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 xml:space="preserve"> </w:t>
      </w:r>
    </w:p>
    <w:p w14:paraId="3B4B8FAF">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磋</w:t>
      </w:r>
    </w:p>
    <w:p w14:paraId="144A84AD">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商</w:t>
      </w:r>
    </w:p>
    <w:p w14:paraId="6E150330">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文</w:t>
      </w:r>
    </w:p>
    <w:p w14:paraId="40022736">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件</w:t>
      </w:r>
    </w:p>
    <w:p w14:paraId="6538D1A2">
      <w:pPr>
        <w:pStyle w:val="34"/>
        <w:rPr>
          <w:rFonts w:hint="eastAsia"/>
          <w:lang w:val="en-US" w:eastAsia="zh-CN"/>
        </w:rPr>
      </w:pPr>
    </w:p>
    <w:p w14:paraId="47E7460C">
      <w:pPr>
        <w:keepNext w:val="0"/>
        <w:keepLines w:val="0"/>
        <w:pageBreakBefore w:val="0"/>
        <w:widowControl w:val="0"/>
        <w:kinsoku/>
        <w:wordWrap/>
        <w:overflowPunct/>
        <w:topLinePunct w:val="0"/>
        <w:autoSpaceDE/>
        <w:autoSpaceDN/>
        <w:bidi w:val="0"/>
        <w:adjustRightInd/>
        <w:snapToGrid/>
        <w:spacing w:line="480" w:lineRule="auto"/>
        <w:ind w:left="1608" w:leftChars="154" w:hanging="1285" w:hangingChars="400"/>
        <w:jc w:val="left"/>
        <w:textAlignment w:val="auto"/>
        <w:rPr>
          <w:rFonts w:hint="eastAsia" w:ascii="宋体" w:hAnsi="宋体" w:cs="宋体"/>
          <w:b/>
          <w:bCs/>
          <w:sz w:val="32"/>
          <w:szCs w:val="32"/>
          <w:highlight w:val="none"/>
          <w:lang w:val="en-US" w:eastAsia="zh-CN"/>
        </w:rPr>
      </w:pPr>
      <w:r>
        <w:rPr>
          <w:rFonts w:hint="eastAsia" w:ascii="宋体" w:hAnsi="宋体" w:eastAsia="宋体" w:cs="宋体"/>
          <w:b/>
          <w:bCs/>
          <w:sz w:val="32"/>
          <w:szCs w:val="32"/>
          <w:highlight w:val="none"/>
          <w:lang w:val="en-US" w:eastAsia="zh-CN"/>
        </w:rPr>
        <w:t>采购单位：阿图什市民政局（盖章）</w:t>
      </w:r>
    </w:p>
    <w:p w14:paraId="3F7E92C5">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项目联系人：</w:t>
      </w:r>
      <w:r>
        <w:rPr>
          <w:rFonts w:hint="eastAsia" w:ascii="宋体" w:hAnsi="宋体" w:cs="宋体"/>
          <w:b/>
          <w:bCs/>
          <w:sz w:val="32"/>
          <w:szCs w:val="32"/>
          <w:highlight w:val="none"/>
          <w:lang w:val="en-US" w:eastAsia="zh-CN"/>
        </w:rPr>
        <w:t>孜女士</w:t>
      </w:r>
      <w:r>
        <w:rPr>
          <w:rFonts w:hint="eastAsia" w:ascii="宋体" w:hAnsi="宋体" w:eastAsia="宋体" w:cs="宋体"/>
          <w:b/>
          <w:bCs/>
          <w:sz w:val="32"/>
          <w:szCs w:val="32"/>
          <w:highlight w:val="none"/>
          <w:lang w:val="en-US" w:eastAsia="zh-CN"/>
        </w:rPr>
        <w:t xml:space="preserve">           联系电话：18449420321</w:t>
      </w:r>
    </w:p>
    <w:p w14:paraId="7E292FB6">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代理机构：正大鹏安建设项目管理有限公司（盖章）</w:t>
      </w:r>
    </w:p>
    <w:p w14:paraId="14462E08">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cs="宋体"/>
          <w:b/>
          <w:bCs/>
          <w:sz w:val="32"/>
          <w:szCs w:val="32"/>
          <w:highlight w:val="none"/>
          <w:lang w:val="en-US" w:eastAsia="zh-CN"/>
        </w:rPr>
      </w:pPr>
      <w:r>
        <w:rPr>
          <w:rFonts w:hint="eastAsia" w:ascii="宋体" w:hAnsi="宋体" w:eastAsia="宋体" w:cs="宋体"/>
          <w:b/>
          <w:bCs/>
          <w:sz w:val="32"/>
          <w:szCs w:val="32"/>
          <w:highlight w:val="none"/>
          <w:lang w:val="en-US" w:eastAsia="zh-CN"/>
        </w:rPr>
        <w:t>项目联系人：</w:t>
      </w:r>
      <w:r>
        <w:rPr>
          <w:rFonts w:hint="eastAsia" w:ascii="宋体" w:hAnsi="宋体" w:cs="宋体"/>
          <w:b/>
          <w:bCs/>
          <w:sz w:val="32"/>
          <w:szCs w:val="32"/>
          <w:highlight w:val="none"/>
          <w:lang w:val="en-US" w:eastAsia="zh-CN"/>
        </w:rPr>
        <w:t>上官女士</w:t>
      </w:r>
      <w:r>
        <w:rPr>
          <w:rFonts w:hint="eastAsia" w:ascii="宋体" w:hAnsi="宋体" w:eastAsia="宋体" w:cs="宋体"/>
          <w:b/>
          <w:bCs/>
          <w:sz w:val="32"/>
          <w:szCs w:val="32"/>
          <w:highlight w:val="none"/>
          <w:lang w:val="en-US" w:eastAsia="zh-CN"/>
        </w:rPr>
        <w:t xml:space="preserve">           联系电话：</w:t>
      </w:r>
      <w:r>
        <w:rPr>
          <w:rFonts w:hint="eastAsia" w:ascii="宋体" w:hAnsi="宋体" w:cs="宋体"/>
          <w:b/>
          <w:bCs/>
          <w:sz w:val="32"/>
          <w:szCs w:val="32"/>
          <w:highlight w:val="none"/>
          <w:lang w:val="en-US" w:eastAsia="zh-CN"/>
        </w:rPr>
        <w:t>18299702765</w:t>
      </w:r>
    </w:p>
    <w:p w14:paraId="34F46385">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日期：202</w:t>
      </w:r>
      <w:r>
        <w:rPr>
          <w:rFonts w:hint="eastAsia" w:ascii="宋体" w:hAnsi="宋体" w:cs="宋体"/>
          <w:b/>
          <w:bCs/>
          <w:sz w:val="32"/>
          <w:szCs w:val="32"/>
          <w:highlight w:val="none"/>
          <w:lang w:val="en-US" w:eastAsia="zh-CN"/>
        </w:rPr>
        <w:t>6</w:t>
      </w:r>
      <w:r>
        <w:rPr>
          <w:rFonts w:hint="eastAsia" w:ascii="宋体" w:hAnsi="宋体" w:eastAsia="宋体" w:cs="宋体"/>
          <w:b/>
          <w:bCs/>
          <w:sz w:val="32"/>
          <w:szCs w:val="32"/>
          <w:highlight w:val="none"/>
          <w:lang w:val="en-US" w:eastAsia="zh-CN"/>
        </w:rPr>
        <w:t>年</w:t>
      </w:r>
      <w:r>
        <w:rPr>
          <w:rFonts w:hint="eastAsia" w:ascii="宋体" w:hAnsi="宋体" w:cs="宋体"/>
          <w:b/>
          <w:bCs/>
          <w:sz w:val="32"/>
          <w:szCs w:val="32"/>
          <w:highlight w:val="none"/>
          <w:lang w:val="en-US" w:eastAsia="zh-CN"/>
        </w:rPr>
        <w:t>11</w:t>
      </w:r>
      <w:r>
        <w:rPr>
          <w:rFonts w:hint="eastAsia" w:ascii="宋体" w:hAnsi="宋体" w:eastAsia="宋体" w:cs="宋体"/>
          <w:b/>
          <w:bCs/>
          <w:sz w:val="32"/>
          <w:szCs w:val="32"/>
          <w:highlight w:val="none"/>
          <w:lang w:val="en-US" w:eastAsia="zh-CN"/>
        </w:rPr>
        <w:t>月</w:t>
      </w:r>
    </w:p>
    <w:p w14:paraId="530D19DA">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44"/>
          <w:szCs w:val="44"/>
          <w:highlight w:val="none"/>
          <w:lang w:val="en-US" w:eastAsia="zh-CN"/>
        </w:rPr>
        <w:sectPr>
          <w:headerReference r:id="rId3" w:type="default"/>
          <w:footerReference r:id="rId4" w:type="default"/>
          <w:pgSz w:w="11906" w:h="16838"/>
          <w:pgMar w:top="1417" w:right="1417" w:bottom="1417" w:left="1417" w:header="1134" w:footer="992" w:gutter="0"/>
          <w:pgNumType w:fmt="decimal" w:start="1"/>
          <w:cols w:space="425" w:num="1"/>
          <w:docGrid w:type="lines" w:linePitch="312" w:charSpace="0"/>
        </w:sectPr>
      </w:pPr>
    </w:p>
    <w:p w14:paraId="76FB25F2">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40"/>
          <w:szCs w:val="40"/>
          <w:highlight w:val="none"/>
          <w:lang w:val="en-US" w:eastAsia="zh-CN"/>
        </w:rPr>
      </w:pPr>
    </w:p>
    <w:p w14:paraId="4435CA5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40"/>
          <w:szCs w:val="40"/>
          <w:highlight w:val="none"/>
          <w:lang w:val="en-US" w:eastAsia="zh-CN"/>
        </w:rPr>
      </w:pPr>
      <w:r>
        <w:rPr>
          <w:rFonts w:hint="eastAsia" w:ascii="宋体" w:hAnsi="宋体" w:eastAsia="宋体" w:cs="宋体"/>
          <w:b/>
          <w:bCs/>
          <w:sz w:val="40"/>
          <w:szCs w:val="40"/>
          <w:highlight w:val="none"/>
          <w:lang w:val="en-US" w:eastAsia="zh-CN"/>
        </w:rPr>
        <w:t>目  录</w:t>
      </w:r>
    </w:p>
    <w:p w14:paraId="1D8F825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第一章 磋商公告..........................................</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...1</w:t>
      </w:r>
    </w:p>
    <w:p w14:paraId="0EC3BC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第二章 投标人须知.........................................</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5</w:t>
      </w:r>
    </w:p>
    <w:p w14:paraId="6CDB9C6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第三章 评标办法.............................................</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45</w:t>
      </w:r>
    </w:p>
    <w:p w14:paraId="00A153A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 xml:space="preserve">第四章 </w:t>
      </w:r>
      <w:r>
        <w:rPr>
          <w:rFonts w:hint="eastAsia" w:ascii="宋体" w:hAnsi="宋体" w:cs="宋体"/>
          <w:b/>
          <w:bCs/>
          <w:sz w:val="28"/>
          <w:szCs w:val="28"/>
          <w:highlight w:val="none"/>
          <w:lang w:val="en-US" w:eastAsia="zh-CN"/>
        </w:rPr>
        <w:t>采购需求</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55</w:t>
      </w:r>
    </w:p>
    <w:p w14:paraId="401EF81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第五章 合同条款及格式（仅供参考）............................</w:t>
      </w:r>
      <w:r>
        <w:rPr>
          <w:rFonts w:hint="eastAsia" w:ascii="宋体" w:hAnsi="宋体" w:cs="宋体"/>
          <w:b/>
          <w:bCs/>
          <w:sz w:val="28"/>
          <w:szCs w:val="28"/>
          <w:highlight w:val="none"/>
          <w:lang w:val="en-US" w:eastAsia="zh-CN"/>
        </w:rPr>
        <w:t>.58</w:t>
      </w:r>
    </w:p>
    <w:p w14:paraId="3A6F910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 xml:space="preserve">第六章 </w:t>
      </w:r>
      <w:r>
        <w:rPr>
          <w:rFonts w:hint="eastAsia" w:ascii="宋体" w:hAnsi="宋体" w:cs="宋体"/>
          <w:b/>
          <w:bCs/>
          <w:sz w:val="28"/>
          <w:szCs w:val="28"/>
          <w:highlight w:val="none"/>
          <w:lang w:val="en-US" w:eastAsia="zh-CN"/>
        </w:rPr>
        <w:t>投标</w:t>
      </w:r>
      <w:r>
        <w:rPr>
          <w:rFonts w:hint="eastAsia" w:ascii="宋体" w:hAnsi="宋体" w:eastAsia="宋体" w:cs="宋体"/>
          <w:b/>
          <w:bCs/>
          <w:sz w:val="28"/>
          <w:szCs w:val="28"/>
          <w:highlight w:val="none"/>
          <w:lang w:val="en-US" w:eastAsia="zh-CN"/>
        </w:rPr>
        <w:t>文件格式.........................................</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67</w:t>
      </w:r>
    </w:p>
    <w:p w14:paraId="5219809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013696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37C2DF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4E94CD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147FFE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5434235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25832BE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5EF8BE1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28E299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BBFB72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BAFE04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1F9D9FF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A15D99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sectPr>
          <w:footerReference r:id="rId5" w:type="default"/>
          <w:pgSz w:w="11906" w:h="16838"/>
          <w:pgMar w:top="1417" w:right="1417" w:bottom="1417" w:left="1417" w:header="1134" w:footer="992" w:gutter="0"/>
          <w:pgNumType w:fmt="decimal" w:start="1"/>
          <w:cols w:space="425" w:num="1"/>
          <w:docGrid w:type="lines" w:linePitch="312" w:charSpace="0"/>
        </w:sectPr>
      </w:pPr>
    </w:p>
    <w:p w14:paraId="2335D03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第一章 竞争性磋商公告</w:t>
      </w:r>
    </w:p>
    <w:p w14:paraId="280E60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cs="宋体"/>
          <w:b/>
          <w:bCs/>
          <w:sz w:val="28"/>
          <w:szCs w:val="28"/>
          <w:highlight w:val="none"/>
          <w:lang w:val="en-US" w:eastAsia="zh-CN"/>
        </w:rPr>
        <w:t>阿图什市“金色晚霞”老年人助餐服务项目（二次）</w:t>
      </w:r>
      <w:r>
        <w:rPr>
          <w:rFonts w:hint="eastAsia" w:ascii="宋体" w:hAnsi="宋体" w:eastAsia="宋体" w:cs="宋体"/>
          <w:b/>
          <w:bCs/>
          <w:sz w:val="28"/>
          <w:szCs w:val="28"/>
          <w:highlight w:val="none"/>
          <w:lang w:val="en-US" w:eastAsia="zh-CN"/>
        </w:rPr>
        <w:t>竞争性磋商公告</w:t>
      </w:r>
    </w:p>
    <w:tbl>
      <w:tblPr>
        <w:tblStyle w:val="29"/>
        <w:tblW w:w="0" w:type="auto"/>
        <w:tblInd w:w="2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14:paraId="09B6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3" w:type="dxa"/>
          </w:tcPr>
          <w:p w14:paraId="3FA649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项目概况</w:t>
            </w:r>
          </w:p>
          <w:p w14:paraId="19DB8F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sz w:val="28"/>
                <w:szCs w:val="28"/>
                <w:highlight w:val="none"/>
                <w:vertAlign w:val="baseline"/>
                <w:lang w:val="en-US" w:eastAsia="zh-CN"/>
              </w:rPr>
            </w:pPr>
            <w:r>
              <w:rPr>
                <w:rFonts w:hint="eastAsia" w:ascii="宋体" w:hAnsi="宋体" w:cs="宋体"/>
                <w:b w:val="0"/>
                <w:bCs w:val="0"/>
                <w:sz w:val="24"/>
                <w:szCs w:val="24"/>
                <w:highlight w:val="none"/>
                <w:vertAlign w:val="baseline"/>
                <w:lang w:val="en-US" w:eastAsia="zh-CN"/>
              </w:rPr>
              <w:t>阿图什市“金色晚霞”老年人助餐服务项目（二次）</w:t>
            </w:r>
            <w:r>
              <w:rPr>
                <w:rFonts w:hint="eastAsia" w:ascii="宋体" w:hAnsi="宋体" w:eastAsia="宋体" w:cs="宋体"/>
                <w:b w:val="0"/>
                <w:bCs w:val="0"/>
                <w:sz w:val="24"/>
                <w:szCs w:val="24"/>
                <w:highlight w:val="none"/>
                <w:vertAlign w:val="baseline"/>
                <w:lang w:val="en-US" w:eastAsia="zh-CN"/>
              </w:rPr>
              <w:t>的潜在投标人应在政采云平台线上获取磋商文件，并于202</w:t>
            </w:r>
            <w:r>
              <w:rPr>
                <w:rFonts w:hint="eastAsia" w:ascii="宋体" w:hAnsi="宋体" w:cs="宋体"/>
                <w:b w:val="0"/>
                <w:bCs w:val="0"/>
                <w:sz w:val="24"/>
                <w:szCs w:val="24"/>
                <w:highlight w:val="none"/>
                <w:vertAlign w:val="baseline"/>
                <w:lang w:val="en-US" w:eastAsia="zh-CN"/>
              </w:rPr>
              <w:t>6</w:t>
            </w:r>
            <w:r>
              <w:rPr>
                <w:rFonts w:hint="eastAsia" w:ascii="宋体" w:hAnsi="宋体" w:eastAsia="宋体" w:cs="宋体"/>
                <w:b w:val="0"/>
                <w:bCs w:val="0"/>
                <w:sz w:val="24"/>
                <w:szCs w:val="24"/>
                <w:highlight w:val="none"/>
                <w:vertAlign w:val="baseline"/>
                <w:lang w:val="en-US" w:eastAsia="zh-CN"/>
              </w:rPr>
              <w:t>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 xml:space="preserve">  17</w:t>
            </w:r>
            <w:r>
              <w:rPr>
                <w:rFonts w:hint="eastAsia" w:ascii="宋体" w:hAnsi="宋体" w:eastAsia="宋体" w:cs="宋体"/>
                <w:b w:val="0"/>
                <w:bCs w:val="0"/>
                <w:sz w:val="24"/>
                <w:szCs w:val="24"/>
                <w:highlight w:val="none"/>
                <w:vertAlign w:val="baseline"/>
                <w:lang w:val="en-US" w:eastAsia="zh-CN"/>
              </w:rPr>
              <w:t xml:space="preserve">日 </w:t>
            </w:r>
            <w:r>
              <w:rPr>
                <w:rFonts w:hint="eastAsia" w:ascii="宋体" w:hAnsi="宋体" w:cs="宋体"/>
                <w:b w:val="0"/>
                <w:bCs w:val="0"/>
                <w:sz w:val="24"/>
                <w:szCs w:val="24"/>
                <w:highlight w:val="none"/>
                <w:vertAlign w:val="baseline"/>
                <w:lang w:val="en-US" w:eastAsia="zh-CN"/>
              </w:rPr>
              <w:t>10:10</w:t>
            </w:r>
            <w:r>
              <w:rPr>
                <w:rFonts w:hint="eastAsia" w:ascii="宋体" w:hAnsi="宋体" w:eastAsia="宋体" w:cs="宋体"/>
                <w:b w:val="0"/>
                <w:bCs w:val="0"/>
                <w:sz w:val="24"/>
                <w:szCs w:val="24"/>
                <w:highlight w:val="none"/>
                <w:vertAlign w:val="baseline"/>
                <w:lang w:val="en-US" w:eastAsia="zh-CN"/>
              </w:rPr>
              <w:t>（北京时间）前递交响应文件。</w:t>
            </w:r>
          </w:p>
        </w:tc>
      </w:tr>
    </w:tbl>
    <w:p w14:paraId="143CCC9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一、项目基本情况</w:t>
      </w:r>
    </w:p>
    <w:p w14:paraId="53E6757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项目编号：</w:t>
      </w:r>
      <w:r>
        <w:rPr>
          <w:rFonts w:hint="eastAsia" w:ascii="宋体" w:hAnsi="宋体" w:cs="宋体"/>
          <w:b w:val="0"/>
          <w:bCs w:val="0"/>
          <w:sz w:val="24"/>
          <w:szCs w:val="24"/>
          <w:highlight w:val="none"/>
          <w:lang w:val="en-US" w:eastAsia="zh-CN"/>
        </w:rPr>
        <w:t>ATSJYZX-CG-2026129-01</w:t>
      </w:r>
    </w:p>
    <w:p w14:paraId="5305B86F">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项目名称：</w:t>
      </w:r>
      <w:r>
        <w:rPr>
          <w:rFonts w:hint="eastAsia" w:ascii="宋体" w:hAnsi="宋体" w:cs="宋体"/>
          <w:b w:val="0"/>
          <w:bCs w:val="0"/>
          <w:sz w:val="24"/>
          <w:szCs w:val="24"/>
          <w:highlight w:val="none"/>
          <w:lang w:val="en-US" w:eastAsia="zh-CN"/>
        </w:rPr>
        <w:t>阿图什市“金色晚霞”老年人助餐服务项目（二次）</w:t>
      </w:r>
    </w:p>
    <w:p w14:paraId="1EFC7F2D">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采购方式：竞争性磋商</w:t>
      </w:r>
    </w:p>
    <w:p w14:paraId="66AEB18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sz w:val="24"/>
          <w:szCs w:val="24"/>
          <w:highlight w:val="none"/>
          <w:lang w:val="en-US" w:eastAsia="zh-CN"/>
        </w:rPr>
        <w:t>预算金额（元</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601200</w:t>
      </w:r>
    </w:p>
    <w:p w14:paraId="13B382FD">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最高限价（元）：601200</w:t>
      </w:r>
    </w:p>
    <w:p w14:paraId="267B8205">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采购需求：</w:t>
      </w:r>
    </w:p>
    <w:p w14:paraId="11BE75E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标项名称:</w:t>
      </w:r>
      <w:r>
        <w:rPr>
          <w:rFonts w:hint="eastAsia" w:ascii="宋体" w:hAnsi="宋体" w:cs="宋体"/>
          <w:b w:val="0"/>
          <w:bCs w:val="0"/>
          <w:sz w:val="24"/>
          <w:szCs w:val="24"/>
          <w:highlight w:val="none"/>
          <w:lang w:val="en-US" w:eastAsia="zh-CN"/>
        </w:rPr>
        <w:t>阿图什市“金色晚霞”老年人助餐服务项目（二次）</w:t>
      </w:r>
      <w:r>
        <w:rPr>
          <w:rFonts w:hint="eastAsia" w:ascii="宋体" w:hAnsi="宋体" w:eastAsia="宋体" w:cs="宋体"/>
          <w:b w:val="0"/>
          <w:bCs w:val="0"/>
          <w:sz w:val="24"/>
          <w:szCs w:val="24"/>
          <w:highlight w:val="none"/>
          <w:lang w:val="en-US" w:eastAsia="zh-CN"/>
        </w:rPr>
        <w:t>数量:</w:t>
      </w:r>
      <w:r>
        <w:rPr>
          <w:rFonts w:hint="eastAsia" w:ascii="宋体" w:hAnsi="宋体" w:cs="宋体"/>
          <w:b w:val="0"/>
          <w:bCs w:val="0"/>
          <w:sz w:val="24"/>
          <w:szCs w:val="24"/>
          <w:highlight w:val="none"/>
          <w:lang w:val="en-US" w:eastAsia="zh-CN"/>
        </w:rPr>
        <w:t>1</w:t>
      </w:r>
    </w:p>
    <w:p w14:paraId="734825C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预算金额（元）：601200</w:t>
      </w:r>
    </w:p>
    <w:p w14:paraId="4D75A1B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单位：项</w:t>
      </w:r>
    </w:p>
    <w:p w14:paraId="4A0CA1E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sz w:val="24"/>
          <w:szCs w:val="24"/>
          <w:highlight w:val="none"/>
          <w:lang w:val="en-US" w:eastAsia="zh-CN"/>
        </w:rPr>
        <w:t>简要规格描述或项目基本概况介绍、用途</w:t>
      </w:r>
      <w:r>
        <w:rPr>
          <w:rFonts w:hint="eastAsia" w:ascii="宋体" w:hAnsi="宋体" w:cs="宋体"/>
          <w:b w:val="0"/>
          <w:bCs w:val="0"/>
          <w:sz w:val="24"/>
          <w:szCs w:val="24"/>
          <w:highlight w:val="none"/>
          <w:lang w:val="en-US" w:eastAsia="zh-CN"/>
        </w:rPr>
        <w:t>：依据《自治区“金色晚霞”老年人助餐服务示范项目实施方案》(新民发(2026)72号)要求通过政府购买服务的方式，委托第三方服务机构依托老年食堂、餐饮企业等开展老年人助餐服务，老年助餐服务补贴资金按合同约定条款直接支付到第三方服务机构，由第三方服务机构定期对助餐服务点开展补贴资金结算和监管，确保资金使用合规。（详见采购需求）</w:t>
      </w:r>
    </w:p>
    <w:p w14:paraId="5AB5F1E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sz w:val="24"/>
          <w:szCs w:val="24"/>
          <w:highlight w:val="none"/>
          <w:lang w:val="en-US" w:eastAsia="zh-CN"/>
        </w:rPr>
        <w:t>备注：</w:t>
      </w:r>
      <w:r>
        <w:rPr>
          <w:rFonts w:hint="eastAsia" w:ascii="宋体" w:hAnsi="宋体" w:eastAsia="宋体" w:cs="宋体"/>
          <w:color w:val="auto"/>
          <w:sz w:val="24"/>
          <w:szCs w:val="24"/>
          <w:highlight w:val="none"/>
          <w:lang w:val="en-US" w:eastAsia="zh-CN"/>
        </w:rPr>
        <w:t>具体详见磋商文件</w:t>
      </w:r>
    </w:p>
    <w:p w14:paraId="0A0424C9">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合同履约期限：具体以签订合同为准。 </w:t>
      </w:r>
    </w:p>
    <w:p w14:paraId="1230D68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本项目（否） 接受联合体投标。</w:t>
      </w:r>
    </w:p>
    <w:p w14:paraId="5A2FF65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24"/>
          <w:szCs w:val="24"/>
          <w:highlight w:val="none"/>
          <w:lang w:val="en-US" w:eastAsia="zh-CN"/>
        </w:rPr>
        <w:t>二、申请人的资格要求</w:t>
      </w:r>
    </w:p>
    <w:p w14:paraId="174F11E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1.满足《中华人民共和国政府采购法》第二十二条规定</w:t>
      </w:r>
      <w:r>
        <w:rPr>
          <w:rFonts w:hint="eastAsia" w:ascii="宋体" w:hAnsi="宋体" w:cs="宋体"/>
          <w:b w:val="0"/>
          <w:bCs w:val="0"/>
          <w:sz w:val="24"/>
          <w:szCs w:val="24"/>
          <w:highlight w:val="none"/>
          <w:lang w:val="en-US" w:eastAsia="zh-CN"/>
        </w:rPr>
        <w:t>。</w:t>
      </w:r>
    </w:p>
    <w:p w14:paraId="7D03BAF1">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2.落实政府采购政策需满足的资格要求：</w:t>
      </w:r>
      <w:r>
        <w:rPr>
          <w:rFonts w:hint="eastAsia" w:ascii="宋体" w:hAnsi="宋体" w:eastAsia="宋体" w:cs="宋体"/>
          <w:spacing w:val="12"/>
          <w:sz w:val="24"/>
          <w:szCs w:val="24"/>
          <w:highlight w:val="none"/>
        </w:rPr>
        <w:t>标项</w:t>
      </w:r>
      <w:r>
        <w:rPr>
          <w:rFonts w:hint="eastAsia" w:ascii="宋体" w:hAnsi="宋体" w:eastAsia="宋体" w:cs="宋体"/>
          <w:spacing w:val="-19"/>
          <w:sz w:val="24"/>
          <w:szCs w:val="24"/>
          <w:highlight w:val="none"/>
        </w:rPr>
        <w:t xml:space="preserve"> </w:t>
      </w:r>
      <w:r>
        <w:rPr>
          <w:rFonts w:hint="eastAsia" w:ascii="宋体" w:hAnsi="宋体" w:eastAsia="宋体" w:cs="宋体"/>
          <w:spacing w:val="12"/>
          <w:sz w:val="24"/>
          <w:szCs w:val="24"/>
          <w:highlight w:val="none"/>
        </w:rPr>
        <w:t>1：</w:t>
      </w:r>
      <w:r>
        <w:rPr>
          <w:rFonts w:hint="eastAsia" w:ascii="宋体" w:hAnsi="宋体" w:eastAsia="宋体" w:cs="宋体"/>
          <w:b w:val="0"/>
          <w:bCs w:val="0"/>
          <w:sz w:val="24"/>
          <w:szCs w:val="24"/>
          <w:highlight w:val="none"/>
          <w:lang w:val="en-US" w:eastAsia="zh-CN"/>
        </w:rPr>
        <w:t xml:space="preserve">供应商为中小企业 </w:t>
      </w:r>
    </w:p>
    <w:p w14:paraId="74B708D1">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3.本项目的特定资格要求：</w:t>
      </w:r>
      <w:r>
        <w:rPr>
          <w:rFonts w:hint="eastAsia" w:ascii="宋体" w:hAnsi="宋体" w:eastAsia="宋体" w:cs="宋体"/>
          <w:spacing w:val="3"/>
          <w:sz w:val="24"/>
          <w:szCs w:val="24"/>
          <w:highlight w:val="none"/>
        </w:rPr>
        <w:t>【标项</w:t>
      </w:r>
      <w:r>
        <w:rPr>
          <w:rFonts w:hint="eastAsia" w:ascii="宋体" w:hAnsi="宋体" w:eastAsia="宋体" w:cs="宋体"/>
          <w:spacing w:val="-25"/>
          <w:sz w:val="24"/>
          <w:szCs w:val="24"/>
          <w:highlight w:val="none"/>
        </w:rPr>
        <w:t xml:space="preserve"> </w:t>
      </w:r>
      <w:r>
        <w:rPr>
          <w:rFonts w:hint="eastAsia" w:ascii="宋体" w:hAnsi="宋体" w:eastAsia="宋体" w:cs="宋体"/>
          <w:spacing w:val="3"/>
          <w:sz w:val="24"/>
          <w:szCs w:val="24"/>
          <w:highlight w:val="none"/>
        </w:rPr>
        <w:t>1】</w:t>
      </w:r>
    </w:p>
    <w:p w14:paraId="7927109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【标项1】</w:t>
      </w:r>
    </w:p>
    <w:p w14:paraId="68D2BD3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①具有合格有效的营业执照（三证合一）;</w:t>
      </w:r>
      <w:r>
        <w:rPr>
          <w:rFonts w:hint="eastAsia" w:ascii="宋体" w:hAnsi="宋体" w:cs="宋体"/>
          <w:b w:val="0"/>
          <w:bCs w:val="0"/>
          <w:sz w:val="24"/>
          <w:szCs w:val="24"/>
          <w:highlight w:val="none"/>
          <w:lang w:val="en-US" w:eastAsia="zh-CN"/>
        </w:rPr>
        <w:t xml:space="preserve">  </w:t>
      </w:r>
    </w:p>
    <w:p w14:paraId="70D602E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②法定代表人参与投标须提供法定代表人资格证明，授权委托人参与投标须提供法定代表人授权委托书；</w:t>
      </w:r>
    </w:p>
    <w:p w14:paraId="3E56B6F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③投标企业须提供投标人（被授权在职人员）近6个月任意一个月有效的社保证明（如若法定代表人参加投标事宜，则只需出具法人身份证正反面复印件，无需出具社保）；</w:t>
      </w:r>
    </w:p>
    <w:p w14:paraId="2E29274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④参加采购活动前三年内，投标人在“信用中国”（www.creditchina.gov.cn）和“中国政府采购网”（www.ccgp.gov.cn）网站上未被列入失信被执行人、重大税收违法案件当事人名单以及政府采购严重违法失信行为记录名单（提供查询结果网页截图并加盖供应商公章）。</w:t>
      </w:r>
    </w:p>
    <w:p w14:paraId="12E65C66">
      <w:pPr>
        <w:pStyle w:val="25"/>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⑤投标人须具备履行本项目的相关服务能力（提供承诺书）。 </w:t>
      </w:r>
    </w:p>
    <w:p w14:paraId="70A6E34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三、获取采购文件</w:t>
      </w:r>
    </w:p>
    <w:p w14:paraId="314A29F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时间：202</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日至 202</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 xml:space="preserve"> 11</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 xml:space="preserve">日，每天上午 10:00 至 </w:t>
      </w:r>
      <w:r>
        <w:rPr>
          <w:rFonts w:hint="eastAsia" w:ascii="宋体" w:hAnsi="宋体" w:cs="宋体"/>
          <w:b w:val="0"/>
          <w:bCs w:val="0"/>
          <w:sz w:val="24"/>
          <w:szCs w:val="24"/>
          <w:highlight w:val="none"/>
          <w:lang w:val="en-US" w:eastAsia="zh-CN"/>
        </w:rPr>
        <w:t>14:00</w:t>
      </w:r>
      <w:r>
        <w:rPr>
          <w:rFonts w:hint="eastAsia" w:ascii="宋体" w:hAnsi="宋体" w:eastAsia="宋体" w:cs="宋体"/>
          <w:b w:val="0"/>
          <w:bCs w:val="0"/>
          <w:sz w:val="24"/>
          <w:szCs w:val="24"/>
          <w:highlight w:val="none"/>
          <w:lang w:val="en-US" w:eastAsia="zh-CN"/>
        </w:rPr>
        <w:t>，下午 16:</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0 至</w:t>
      </w:r>
      <w:r>
        <w:rPr>
          <w:rFonts w:hint="eastAsia" w:ascii="宋体" w:hAnsi="宋体" w:cs="宋体"/>
          <w:b w:val="0"/>
          <w:bCs w:val="0"/>
          <w:sz w:val="24"/>
          <w:szCs w:val="24"/>
          <w:highlight w:val="none"/>
          <w:lang w:val="en-US" w:eastAsia="zh-CN"/>
        </w:rPr>
        <w:t>20:00</w:t>
      </w:r>
      <w:r>
        <w:rPr>
          <w:rFonts w:hint="eastAsia" w:ascii="宋体" w:hAnsi="宋体" w:eastAsia="宋体" w:cs="宋体"/>
          <w:b w:val="0"/>
          <w:bCs w:val="0"/>
          <w:sz w:val="24"/>
          <w:szCs w:val="24"/>
          <w:highlight w:val="none"/>
          <w:lang w:val="en-US" w:eastAsia="zh-CN"/>
        </w:rPr>
        <w:t>（北京时间，法定节假日除外）</w:t>
      </w:r>
    </w:p>
    <w:p w14:paraId="3AA3BFA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地点：供应商登陆政采云平台 http://www.zcygov.cn/，在线获取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文件（登录政府采购云平台→ 项目采购 → 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文件，如有操作性问题，可与政采云在线客服进行咨询，咨询电话：95763）</w:t>
      </w:r>
    </w:p>
    <w:p w14:paraId="447D4D7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方式：（1）线上获取供应商登录政采云平台 https://www.zcygov.cn/在线申请获取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文件（进入“项目采购 ”应用，在获取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文件菜单中选择项目，申请获取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文件），（2）供应商获取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 xml:space="preserve">文件前应注册成为政府采购云平台正式供应商。 </w:t>
      </w:r>
    </w:p>
    <w:p w14:paraId="4792354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售价（元）： 0</w:t>
      </w:r>
    </w:p>
    <w:p w14:paraId="0CFE02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四</w:t>
      </w:r>
      <w:r>
        <w:rPr>
          <w:rFonts w:hint="eastAsia" w:ascii="宋体" w:hAnsi="宋体" w:cs="宋体"/>
          <w:b/>
          <w:bCs/>
          <w:sz w:val="24"/>
          <w:szCs w:val="24"/>
          <w:highlight w:val="none"/>
          <w:lang w:val="en-US" w:eastAsia="zh-CN"/>
        </w:rPr>
        <w:t>、响应文件提交</w:t>
      </w:r>
    </w:p>
    <w:p w14:paraId="0E87D93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截止时间：20</w:t>
      </w:r>
      <w:r>
        <w:rPr>
          <w:rFonts w:hint="eastAsia" w:ascii="宋体" w:hAnsi="宋体" w:cs="宋体"/>
          <w:b w:val="0"/>
          <w:bCs w:val="0"/>
          <w:sz w:val="24"/>
          <w:szCs w:val="24"/>
          <w:highlight w:val="none"/>
          <w:lang w:val="en-US" w:eastAsia="zh-CN"/>
        </w:rPr>
        <w:t>26</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 xml:space="preserve"> 17</w:t>
      </w:r>
      <w:r>
        <w:rPr>
          <w:rFonts w:hint="eastAsia" w:ascii="宋体" w:hAnsi="宋体" w:eastAsia="宋体" w:cs="宋体"/>
          <w:b w:val="0"/>
          <w:bCs w:val="0"/>
          <w:sz w:val="24"/>
          <w:szCs w:val="24"/>
          <w:highlight w:val="none"/>
          <w:lang w:val="en-US" w:eastAsia="zh-CN"/>
        </w:rPr>
        <w:t>日</w:t>
      </w:r>
      <w:r>
        <w:rPr>
          <w:rFonts w:hint="eastAsia" w:ascii="宋体" w:hAnsi="宋体" w:cs="宋体"/>
          <w:b w:val="0"/>
          <w:bCs w:val="0"/>
          <w:sz w:val="24"/>
          <w:szCs w:val="24"/>
          <w:highlight w:val="none"/>
          <w:lang w:val="en-US" w:eastAsia="zh-CN"/>
        </w:rPr>
        <w:t>上午</w:t>
      </w:r>
      <w:r>
        <w:rPr>
          <w:rFonts w:hint="eastAsia" w:ascii="宋体" w:hAnsi="宋体" w:eastAsia="宋体" w:cs="宋体"/>
          <w:b w:val="0"/>
          <w:bCs w:val="0"/>
          <w:sz w:val="24"/>
          <w:szCs w:val="24"/>
          <w:highlight w:val="none"/>
          <w:lang w:val="en-US" w:eastAsia="zh-CN"/>
        </w:rPr>
        <w:t xml:space="preserve"> </w:t>
      </w:r>
      <w:r>
        <w:rPr>
          <w:rFonts w:hint="eastAsia" w:ascii="宋体" w:hAnsi="宋体" w:cs="宋体"/>
          <w:b w:val="0"/>
          <w:bCs w:val="0"/>
          <w:sz w:val="24"/>
          <w:szCs w:val="24"/>
          <w:highlight w:val="none"/>
          <w:lang w:val="en-US" w:eastAsia="zh-CN"/>
        </w:rPr>
        <w:t>10:10</w:t>
      </w:r>
      <w:r>
        <w:rPr>
          <w:rFonts w:hint="eastAsia" w:ascii="宋体" w:hAnsi="宋体" w:eastAsia="宋体" w:cs="宋体"/>
          <w:b w:val="0"/>
          <w:bCs w:val="0"/>
          <w:sz w:val="24"/>
          <w:szCs w:val="24"/>
          <w:highlight w:val="none"/>
          <w:lang w:val="en-US" w:eastAsia="zh-CN"/>
        </w:rPr>
        <w:t>（北京时间）</w:t>
      </w:r>
    </w:p>
    <w:p w14:paraId="2F66AA64">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地点：请登录政采云投标客户端投标  </w:t>
      </w:r>
    </w:p>
    <w:p w14:paraId="7532F6B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五、响应文件开启</w:t>
      </w:r>
    </w:p>
    <w:p w14:paraId="0B24D34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开启时间：2026年</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17</w:t>
      </w:r>
      <w:r>
        <w:rPr>
          <w:rFonts w:hint="eastAsia" w:ascii="宋体" w:hAnsi="宋体" w:eastAsia="宋体" w:cs="宋体"/>
          <w:b w:val="0"/>
          <w:bCs w:val="0"/>
          <w:sz w:val="24"/>
          <w:szCs w:val="24"/>
          <w:highlight w:val="none"/>
          <w:lang w:val="en-US" w:eastAsia="zh-CN"/>
        </w:rPr>
        <w:t>日 上午1</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en-US" w:eastAsia="zh-CN"/>
        </w:rPr>
        <w:t>0（北京时间）</w:t>
      </w:r>
    </w:p>
    <w:p w14:paraId="5C31CEC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地点：投标人登录政采云平台https://www.zcygov.cn/，进入“项目采购-开标评标-右边选择对应项目点击“进入项目”进入开标大厅。</w:t>
      </w:r>
    </w:p>
    <w:p w14:paraId="1ABCDB1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六</w:t>
      </w:r>
      <w:r>
        <w:rPr>
          <w:rFonts w:hint="eastAsia" w:ascii="宋体" w:hAnsi="宋体" w:eastAsia="宋体" w:cs="宋体"/>
          <w:b/>
          <w:bCs/>
          <w:sz w:val="24"/>
          <w:szCs w:val="24"/>
          <w:highlight w:val="none"/>
          <w:lang w:val="en-US" w:eastAsia="zh-CN"/>
        </w:rPr>
        <w:t>、公告期限</w:t>
      </w:r>
    </w:p>
    <w:p w14:paraId="1E509B4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自本公告发布之日起 </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 xml:space="preserve"> 个工作日。</w:t>
      </w:r>
    </w:p>
    <w:p w14:paraId="2B0651E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bCs/>
          <w:sz w:val="24"/>
          <w:szCs w:val="24"/>
          <w:highlight w:val="none"/>
          <w:lang w:val="en-US" w:eastAsia="zh-CN"/>
        </w:rPr>
        <w:t>七</w:t>
      </w:r>
      <w:r>
        <w:rPr>
          <w:rFonts w:hint="eastAsia" w:ascii="宋体" w:hAnsi="宋体" w:eastAsia="宋体" w:cs="宋体"/>
          <w:b/>
          <w:bCs/>
          <w:sz w:val="24"/>
          <w:szCs w:val="24"/>
          <w:highlight w:val="none"/>
          <w:lang w:val="en-US" w:eastAsia="zh-CN"/>
        </w:rPr>
        <w:t>、其他补充事宜</w:t>
      </w:r>
      <w:r>
        <w:rPr>
          <w:rFonts w:hint="eastAsia" w:ascii="宋体" w:hAnsi="宋体" w:eastAsia="宋体" w:cs="宋体"/>
          <w:b w:val="0"/>
          <w:bCs w:val="0"/>
          <w:sz w:val="24"/>
          <w:szCs w:val="24"/>
          <w:highlight w:val="none"/>
          <w:lang w:val="en-US" w:eastAsia="zh-CN"/>
        </w:rPr>
        <w:t xml:space="preserve"> </w:t>
      </w:r>
    </w:p>
    <w:p w14:paraId="5102842E">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1、本项目实行网上投标，采用电子投标文件。</w:t>
      </w:r>
    </w:p>
    <w:p w14:paraId="6AF7A1A5">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7EA3B709">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3、供应商将政采云电子交易客户端下载、安装完成后，可通过账号密码或CA登录客户端进行投标文件的制作。在使用政采云投标客户端时，建议使用WIN7及以上操作系统。</w:t>
      </w:r>
    </w:p>
    <w:p w14:paraId="211D0A32">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4、其他事项：</w:t>
      </w:r>
      <w:r>
        <w:rPr>
          <w:rFonts w:hint="eastAsia"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 </w:t>
      </w:r>
    </w:p>
    <w:p w14:paraId="5E219348">
      <w:pPr>
        <w:keepNext w:val="0"/>
        <w:keepLines w:val="0"/>
        <w:pageBreakBefore w:val="0"/>
        <w:widowControl w:val="0"/>
        <w:kinsoku/>
        <w:wordWrap/>
        <w:overflowPunct/>
        <w:topLinePunct w:val="0"/>
        <w:autoSpaceDE/>
        <w:autoSpaceDN/>
        <w:bidi w:val="0"/>
        <w:adjustRightInd/>
        <w:snapToGrid/>
        <w:spacing w:line="360" w:lineRule="auto"/>
        <w:ind w:firstLine="241" w:firstLineChars="100"/>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特别提示：</w:t>
      </w:r>
    </w:p>
    <w:p w14:paraId="5001796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1、采购限额标准以上，200 万元以下的货物和服务采购项目、400 万元以下的工程采购项目，适宜由中小企业提供的，采购人应当专门面向中小企业采购。</w:t>
      </w:r>
    </w:p>
    <w:p w14:paraId="58C5F30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2、超过 200 万元的货物和服务采购项目，预留该部分采购项目预算总额的30%以上专门面向中小企业采购，其中预留给小微企业的比例不低于60%。</w:t>
      </w:r>
    </w:p>
    <w:p w14:paraId="3985BC04">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3、超过 400 万元的工程采购项目中适宜由中小企业提供的，预留该部分采购项目预算总额的40%以上专门面向中小企业采购，其中预留给小微企业的比例不低于60%。</w:t>
      </w:r>
    </w:p>
    <w:p w14:paraId="40F9539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4、对于未预留份额专门面向中小企业的采购项目，以及预留份额项目中的非预留部分采购包，采购人、采购代理机构应当对符合规定的小微企业报价给予 10%~20%（工程项目为 3%~5%）的扣除，用扣除后的价格参加评审。适用招标投标法的政府采购工程建设项目，采用综合评估法但未采用低价优先法计算价格分的，评标时应当在采用原报价进行评分的基础上增加其价格得分的 3%~5%作为其价格分。</w:t>
      </w:r>
    </w:p>
    <w:p w14:paraId="65CFBBE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 4%~6%（工程项目为 1%~2%）的扣除，用扣除后的价格参加评审。适用招标投标法的政府采购工程建设项目，采用综合评估法但未采用低价优先法计算价格分的，评标时应当在采用原报价进行评分的基础上增加其价格得分的 1%~2%作为其价格分。</w:t>
      </w:r>
    </w:p>
    <w:p w14:paraId="5CDB5DB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八</w:t>
      </w:r>
      <w:r>
        <w:rPr>
          <w:rFonts w:hint="eastAsia" w:ascii="宋体" w:hAnsi="宋体" w:eastAsia="宋体" w:cs="宋体"/>
          <w:b/>
          <w:bCs/>
          <w:sz w:val="24"/>
          <w:szCs w:val="24"/>
          <w:highlight w:val="none"/>
          <w:lang w:val="en-US" w:eastAsia="zh-CN"/>
        </w:rPr>
        <w:t xml:space="preserve">、对本次采购提出询问，请按以下方式联系 </w:t>
      </w:r>
    </w:p>
    <w:p w14:paraId="62661DA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1.采购人信息</w:t>
      </w:r>
    </w:p>
    <w:p w14:paraId="32B0C17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名  称：阿图什市民政局</w:t>
      </w:r>
    </w:p>
    <w:p w14:paraId="68664D3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  址：新疆维吾尔自治区克孜勒苏柯尔克孜自治州阿图什市帕米尔西路109号（社保局综合楼8楼）</w:t>
      </w:r>
    </w:p>
    <w:p w14:paraId="25C1AB1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联系方式：18449420321</w:t>
      </w:r>
    </w:p>
    <w:p w14:paraId="1BB5743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2.采购代理机构信息</w:t>
      </w:r>
    </w:p>
    <w:p w14:paraId="1879F62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名  称：正大鹏安建设项目管理有限公司</w:t>
      </w:r>
    </w:p>
    <w:p w14:paraId="3CB5A511">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地  址：克州阿图什市友谊北路117号二楼  </w:t>
      </w:r>
    </w:p>
    <w:p w14:paraId="298279A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3.项目联系方式</w:t>
      </w:r>
    </w:p>
    <w:p w14:paraId="0A74557A">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项目联系人：</w:t>
      </w:r>
      <w:r>
        <w:rPr>
          <w:rFonts w:hint="eastAsia" w:ascii="宋体" w:hAnsi="宋体" w:cs="宋体"/>
          <w:b w:val="0"/>
          <w:bCs w:val="0"/>
          <w:sz w:val="24"/>
          <w:szCs w:val="24"/>
          <w:highlight w:val="none"/>
          <w:lang w:val="en-US" w:eastAsia="zh-CN"/>
        </w:rPr>
        <w:t>上官女士</w:t>
      </w:r>
      <w:r>
        <w:rPr>
          <w:rFonts w:hint="eastAsia" w:ascii="宋体" w:hAnsi="宋体" w:eastAsia="宋体" w:cs="宋体"/>
          <w:b w:val="0"/>
          <w:bCs w:val="0"/>
          <w:sz w:val="24"/>
          <w:szCs w:val="24"/>
          <w:highlight w:val="none"/>
          <w:lang w:val="en-US" w:eastAsia="zh-CN"/>
        </w:rPr>
        <w:t xml:space="preserve"> </w:t>
      </w:r>
    </w:p>
    <w:p w14:paraId="4A94F914">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bCs/>
          <w:sz w:val="36"/>
          <w:szCs w:val="36"/>
          <w:highlight w:val="none"/>
          <w:lang w:val="en-US" w:eastAsia="zh-CN"/>
        </w:rPr>
      </w:pPr>
      <w:r>
        <w:rPr>
          <w:rFonts w:hint="eastAsia" w:ascii="宋体" w:hAnsi="宋体" w:eastAsia="宋体" w:cs="宋体"/>
          <w:b w:val="0"/>
          <w:bCs w:val="0"/>
          <w:sz w:val="24"/>
          <w:szCs w:val="24"/>
          <w:highlight w:val="none"/>
          <w:lang w:val="en-US" w:eastAsia="zh-CN"/>
        </w:rPr>
        <w:t>电  话：18299702765</w:t>
      </w:r>
    </w:p>
    <w:p w14:paraId="206C3DE7">
      <w:pPr>
        <w:pStyle w:val="36"/>
        <w:rPr>
          <w:rFonts w:hint="eastAsia"/>
          <w:lang w:val="en-US" w:eastAsia="zh-CN"/>
        </w:rPr>
      </w:pPr>
    </w:p>
    <w:p w14:paraId="0F2FDBAE">
      <w:pPr>
        <w:rPr>
          <w:rFonts w:hint="eastAsia"/>
          <w:lang w:val="en-US" w:eastAsia="zh-CN"/>
        </w:rPr>
      </w:pPr>
    </w:p>
    <w:p w14:paraId="15F23F65">
      <w:pPr>
        <w:rPr>
          <w:rFonts w:hint="eastAsia"/>
          <w:lang w:val="en-US" w:eastAsia="zh-CN"/>
        </w:rPr>
      </w:pPr>
    </w:p>
    <w:p w14:paraId="1E6F05E8">
      <w:pPr>
        <w:rPr>
          <w:rFonts w:hint="eastAsia"/>
          <w:lang w:val="en-US" w:eastAsia="zh-CN"/>
        </w:rPr>
      </w:pPr>
    </w:p>
    <w:p w14:paraId="680EBD14">
      <w:pPr>
        <w:rPr>
          <w:rFonts w:hint="eastAsia"/>
          <w:lang w:val="en-US" w:eastAsia="zh-CN"/>
        </w:rPr>
      </w:pPr>
    </w:p>
    <w:p w14:paraId="5654B3F4">
      <w:pPr>
        <w:rPr>
          <w:rFonts w:hint="eastAsia"/>
          <w:lang w:val="en-US" w:eastAsia="zh-CN"/>
        </w:rPr>
      </w:pPr>
    </w:p>
    <w:p w14:paraId="3627F4C7">
      <w:pPr>
        <w:rPr>
          <w:rFonts w:hint="eastAsia"/>
          <w:lang w:val="en-US" w:eastAsia="zh-CN"/>
        </w:rPr>
      </w:pPr>
    </w:p>
    <w:p w14:paraId="5C7757FC">
      <w:pPr>
        <w:rPr>
          <w:rFonts w:hint="eastAsia"/>
          <w:lang w:val="en-US" w:eastAsia="zh-CN"/>
        </w:rPr>
      </w:pPr>
    </w:p>
    <w:p w14:paraId="6C43A1B9">
      <w:pPr>
        <w:rPr>
          <w:rFonts w:hint="eastAsia"/>
          <w:lang w:val="en-US" w:eastAsia="zh-CN"/>
        </w:rPr>
      </w:pPr>
    </w:p>
    <w:p w14:paraId="6C9852C9">
      <w:pPr>
        <w:rPr>
          <w:rFonts w:hint="eastAsia"/>
          <w:lang w:val="en-US" w:eastAsia="zh-CN"/>
        </w:rPr>
      </w:pPr>
    </w:p>
    <w:p w14:paraId="6306170E">
      <w:pPr>
        <w:rPr>
          <w:rFonts w:hint="eastAsia"/>
          <w:lang w:val="en-US" w:eastAsia="zh-CN"/>
        </w:rPr>
      </w:pPr>
    </w:p>
    <w:p w14:paraId="178741C3">
      <w:pPr>
        <w:rPr>
          <w:rFonts w:hint="eastAsia"/>
          <w:lang w:val="en-US" w:eastAsia="zh-CN"/>
        </w:rPr>
      </w:pPr>
    </w:p>
    <w:p w14:paraId="399D8D85">
      <w:pPr>
        <w:rPr>
          <w:rFonts w:hint="eastAsia"/>
          <w:lang w:val="en-US" w:eastAsia="zh-CN"/>
        </w:rPr>
      </w:pPr>
    </w:p>
    <w:p w14:paraId="2D29A8A6">
      <w:pPr>
        <w:rPr>
          <w:rFonts w:hint="eastAsia"/>
          <w:lang w:val="en-US" w:eastAsia="zh-CN"/>
        </w:rPr>
      </w:pPr>
    </w:p>
    <w:p w14:paraId="2DE7C7C2">
      <w:pPr>
        <w:rPr>
          <w:rFonts w:hint="eastAsia"/>
          <w:lang w:val="en-US" w:eastAsia="zh-CN"/>
        </w:rPr>
      </w:pPr>
    </w:p>
    <w:p w14:paraId="4B8501AC">
      <w:pPr>
        <w:rPr>
          <w:rFonts w:hint="eastAsia"/>
          <w:lang w:val="en-US" w:eastAsia="zh-CN"/>
        </w:rPr>
      </w:pPr>
    </w:p>
    <w:p w14:paraId="51CFB0BA">
      <w:pPr>
        <w:rPr>
          <w:rFonts w:hint="eastAsia"/>
          <w:lang w:val="en-US" w:eastAsia="zh-CN"/>
        </w:rPr>
      </w:pPr>
    </w:p>
    <w:p w14:paraId="01732A32">
      <w:pPr>
        <w:rPr>
          <w:rFonts w:hint="eastAsia"/>
          <w:lang w:val="en-US" w:eastAsia="zh-CN"/>
        </w:rPr>
      </w:pPr>
    </w:p>
    <w:p w14:paraId="3DC45661">
      <w:pPr>
        <w:rPr>
          <w:rFonts w:hint="eastAsia"/>
          <w:lang w:val="en-US" w:eastAsia="zh-CN"/>
        </w:rPr>
      </w:pPr>
    </w:p>
    <w:p w14:paraId="5FA327D8">
      <w:pPr>
        <w:rPr>
          <w:rFonts w:hint="eastAsia"/>
          <w:lang w:val="en-US" w:eastAsia="zh-CN"/>
        </w:rPr>
      </w:pPr>
    </w:p>
    <w:p w14:paraId="4EF8DD1B">
      <w:pPr>
        <w:rPr>
          <w:rFonts w:hint="eastAsia"/>
          <w:lang w:val="en-US" w:eastAsia="zh-CN"/>
        </w:rPr>
      </w:pPr>
    </w:p>
    <w:p w14:paraId="4110F1E9">
      <w:pPr>
        <w:rPr>
          <w:rFonts w:hint="eastAsia"/>
          <w:lang w:val="en-US" w:eastAsia="zh-CN"/>
        </w:rPr>
      </w:pPr>
    </w:p>
    <w:p w14:paraId="4339604B">
      <w:pPr>
        <w:rPr>
          <w:rFonts w:hint="eastAsia"/>
          <w:lang w:val="en-US" w:eastAsia="zh-CN"/>
        </w:rPr>
      </w:pPr>
    </w:p>
    <w:p w14:paraId="371C4BC6">
      <w:pPr>
        <w:rPr>
          <w:rFonts w:hint="eastAsia"/>
          <w:lang w:val="en-US" w:eastAsia="zh-CN"/>
        </w:rPr>
      </w:pPr>
    </w:p>
    <w:p w14:paraId="54433FD8">
      <w:pPr>
        <w:rPr>
          <w:rFonts w:hint="eastAsia"/>
          <w:lang w:val="en-US" w:eastAsia="zh-CN"/>
        </w:rPr>
      </w:pPr>
    </w:p>
    <w:p w14:paraId="0C79DA53">
      <w:pPr>
        <w:rPr>
          <w:rFonts w:hint="eastAsia"/>
          <w:lang w:val="en-US" w:eastAsia="zh-CN"/>
        </w:rPr>
      </w:pPr>
    </w:p>
    <w:p w14:paraId="43897233">
      <w:pPr>
        <w:rPr>
          <w:rFonts w:hint="eastAsia"/>
          <w:lang w:val="en-US" w:eastAsia="zh-CN"/>
        </w:rPr>
      </w:pPr>
    </w:p>
    <w:p w14:paraId="2DE92F84">
      <w:pPr>
        <w:rPr>
          <w:rFonts w:hint="eastAsia"/>
          <w:lang w:val="en-US" w:eastAsia="zh-CN"/>
        </w:rPr>
      </w:pPr>
    </w:p>
    <w:p w14:paraId="6257B6A7">
      <w:pPr>
        <w:rPr>
          <w:rFonts w:hint="eastAsia"/>
          <w:lang w:val="en-US" w:eastAsia="zh-CN"/>
        </w:rPr>
      </w:pPr>
    </w:p>
    <w:p w14:paraId="241E5B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highlight w:val="none"/>
          <w:lang w:val="en-US" w:eastAsia="zh-CN"/>
        </w:rPr>
      </w:pPr>
    </w:p>
    <w:p w14:paraId="16012F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highlight w:val="none"/>
          <w:lang w:val="en-US" w:eastAsia="zh-CN"/>
        </w:rPr>
      </w:pPr>
    </w:p>
    <w:p w14:paraId="7E77DD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第二章 投标人须知</w:t>
      </w:r>
    </w:p>
    <w:p w14:paraId="40D05C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一、投标人须知前附表</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839"/>
        <w:gridCol w:w="6575"/>
      </w:tblGrid>
      <w:tr w14:paraId="27F5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34B8D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序号</w:t>
            </w:r>
          </w:p>
        </w:tc>
        <w:tc>
          <w:tcPr>
            <w:tcW w:w="1839" w:type="dxa"/>
            <w:vAlign w:val="center"/>
          </w:tcPr>
          <w:p w14:paraId="099083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内容</w:t>
            </w:r>
          </w:p>
        </w:tc>
        <w:tc>
          <w:tcPr>
            <w:tcW w:w="6575" w:type="dxa"/>
            <w:vAlign w:val="center"/>
          </w:tcPr>
          <w:p w14:paraId="71FB2F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说明与要求</w:t>
            </w:r>
          </w:p>
        </w:tc>
      </w:tr>
      <w:tr w14:paraId="5FD0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64615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w:t>
            </w:r>
          </w:p>
        </w:tc>
        <w:tc>
          <w:tcPr>
            <w:tcW w:w="1839" w:type="dxa"/>
            <w:vAlign w:val="center"/>
          </w:tcPr>
          <w:p w14:paraId="70F64A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项目名称</w:t>
            </w:r>
          </w:p>
          <w:p w14:paraId="365AF4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项目编号</w:t>
            </w:r>
          </w:p>
          <w:p w14:paraId="011261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采购内容</w:t>
            </w:r>
          </w:p>
        </w:tc>
        <w:tc>
          <w:tcPr>
            <w:tcW w:w="6575" w:type="dxa"/>
            <w:vAlign w:val="center"/>
          </w:tcPr>
          <w:p w14:paraId="6FE91DB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项目名称：</w:t>
            </w:r>
            <w:r>
              <w:rPr>
                <w:rFonts w:hint="eastAsia" w:ascii="宋体" w:hAnsi="宋体" w:cs="宋体"/>
                <w:b w:val="0"/>
                <w:bCs w:val="0"/>
                <w:sz w:val="24"/>
                <w:szCs w:val="24"/>
                <w:highlight w:val="none"/>
                <w:vertAlign w:val="baseline"/>
                <w:lang w:val="en-US" w:eastAsia="zh-CN"/>
              </w:rPr>
              <w:t>阿图什市“金色晚霞”老年人助餐服务项目（二次）</w:t>
            </w:r>
          </w:p>
          <w:p w14:paraId="3E50DAA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vertAlign w:val="baseline"/>
                <w:lang w:val="en-US" w:eastAsia="zh-CN"/>
              </w:rPr>
              <w:t>项目编号：</w:t>
            </w:r>
            <w:r>
              <w:rPr>
                <w:rFonts w:hint="eastAsia" w:ascii="宋体" w:hAnsi="宋体" w:cs="宋体"/>
                <w:b w:val="0"/>
                <w:bCs w:val="0"/>
                <w:sz w:val="24"/>
                <w:szCs w:val="24"/>
                <w:highlight w:val="none"/>
                <w:lang w:val="en-US" w:eastAsia="zh-CN"/>
              </w:rPr>
              <w:t>ATSJYZX-CG-2026129-01</w:t>
            </w:r>
          </w:p>
          <w:p w14:paraId="7B04B0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采购内容：</w:t>
            </w:r>
            <w:r>
              <w:rPr>
                <w:rFonts w:hint="eastAsia" w:ascii="宋体" w:hAnsi="宋体" w:cs="宋体"/>
                <w:b w:val="0"/>
                <w:bCs w:val="0"/>
                <w:sz w:val="24"/>
                <w:szCs w:val="24"/>
                <w:highlight w:val="none"/>
                <w:lang w:val="en-US" w:eastAsia="zh-CN"/>
              </w:rPr>
              <w:t>依据《自治区“金色晚霞”老年人助餐服务示范项目实施方案》(新民发(2026)72号)要求通过政府购买服务的方式，委托第三方服务机构依托老年食堂、餐饮企业等开展老年人助餐服务，老年助餐服务补贴资金按合同约定条款直接支付到第三方服务机构，由第三方服务机构定期对助餐服务点开展补贴资金结算和监管，确保资金使用合规。（详见采购需求）</w:t>
            </w:r>
          </w:p>
        </w:tc>
      </w:tr>
      <w:tr w14:paraId="261B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828" w:type="dxa"/>
            <w:vAlign w:val="center"/>
          </w:tcPr>
          <w:p w14:paraId="7A6416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w:t>
            </w:r>
          </w:p>
        </w:tc>
        <w:tc>
          <w:tcPr>
            <w:tcW w:w="1839" w:type="dxa"/>
            <w:vAlign w:val="center"/>
          </w:tcPr>
          <w:p w14:paraId="2748CA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采购人信息</w:t>
            </w:r>
          </w:p>
        </w:tc>
        <w:tc>
          <w:tcPr>
            <w:tcW w:w="6575" w:type="dxa"/>
            <w:vAlign w:val="center"/>
          </w:tcPr>
          <w:p w14:paraId="1A2FD0C4">
            <w:pPr>
              <w:pStyle w:val="37"/>
              <w:spacing w:line="360" w:lineRule="auto"/>
              <w:rPr>
                <w:rFonts w:hint="eastAsia" w:ascii="宋体" w:hAnsi="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采购单位：</w:t>
            </w:r>
            <w:r>
              <w:rPr>
                <w:rFonts w:hint="eastAsia" w:ascii="宋体" w:hAnsi="宋体" w:cs="宋体"/>
                <w:b w:val="0"/>
                <w:bCs w:val="0"/>
                <w:sz w:val="24"/>
                <w:szCs w:val="24"/>
                <w:highlight w:val="none"/>
                <w:vertAlign w:val="baseline"/>
                <w:lang w:val="en-US" w:eastAsia="zh-CN"/>
              </w:rPr>
              <w:t>阿图什市民政局</w:t>
            </w:r>
          </w:p>
          <w:p w14:paraId="42086E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地址：新疆维吾尔自治区克孜勒苏柯尔克孜自治州阿图什市帕米尔西路109号（社保局综合楼8楼）</w:t>
            </w:r>
          </w:p>
          <w:p w14:paraId="7CBC8AB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联系人：</w:t>
            </w:r>
            <w:r>
              <w:rPr>
                <w:rFonts w:hint="eastAsia" w:ascii="宋体" w:hAnsi="宋体" w:cs="宋体"/>
                <w:b w:val="0"/>
                <w:bCs w:val="0"/>
                <w:sz w:val="24"/>
                <w:szCs w:val="24"/>
                <w:highlight w:val="none"/>
                <w:vertAlign w:val="baseline"/>
                <w:lang w:val="en-US" w:eastAsia="zh-CN"/>
              </w:rPr>
              <w:t>孜女士</w:t>
            </w:r>
            <w:r>
              <w:rPr>
                <w:rFonts w:hint="eastAsia" w:ascii="宋体" w:hAnsi="宋体" w:eastAsia="宋体" w:cs="宋体"/>
                <w:b w:val="0"/>
                <w:bCs w:val="0"/>
                <w:sz w:val="24"/>
                <w:szCs w:val="24"/>
                <w:highlight w:val="none"/>
                <w:vertAlign w:val="baseline"/>
                <w:lang w:val="en-US" w:eastAsia="zh-CN"/>
              </w:rPr>
              <w:t xml:space="preserve">    </w:t>
            </w:r>
          </w:p>
          <w:p w14:paraId="300E091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联系电话：</w:t>
            </w:r>
            <w:r>
              <w:rPr>
                <w:rFonts w:hint="eastAsia" w:ascii="宋体" w:hAnsi="宋体" w:cs="宋体"/>
                <w:b w:val="0"/>
                <w:bCs w:val="0"/>
                <w:sz w:val="24"/>
                <w:szCs w:val="24"/>
                <w:highlight w:val="none"/>
                <w:vertAlign w:val="baseline"/>
                <w:lang w:val="en-US" w:eastAsia="zh-CN"/>
              </w:rPr>
              <w:t>18449420321</w:t>
            </w:r>
          </w:p>
        </w:tc>
      </w:tr>
      <w:tr w14:paraId="26E8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183B0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w:t>
            </w:r>
          </w:p>
        </w:tc>
        <w:tc>
          <w:tcPr>
            <w:tcW w:w="1839" w:type="dxa"/>
            <w:vAlign w:val="center"/>
          </w:tcPr>
          <w:p w14:paraId="768AA5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采购代理机构</w:t>
            </w:r>
          </w:p>
        </w:tc>
        <w:tc>
          <w:tcPr>
            <w:tcW w:w="6575" w:type="dxa"/>
            <w:vAlign w:val="center"/>
          </w:tcPr>
          <w:p w14:paraId="7DF6F07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 xml:space="preserve">名称：正大鹏安建设项目管理有限公司  </w:t>
            </w:r>
          </w:p>
          <w:p w14:paraId="317D300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 xml:space="preserve">地址：克州阿图什市友谊北路117号二楼 </w:t>
            </w:r>
          </w:p>
          <w:p w14:paraId="054B65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联系人：上官女士</w:t>
            </w:r>
          </w:p>
          <w:p w14:paraId="6F4049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联系电话：</w:t>
            </w:r>
            <w:r>
              <w:rPr>
                <w:rFonts w:hint="eastAsia" w:ascii="宋体" w:hAnsi="宋体" w:cs="宋体"/>
                <w:b w:val="0"/>
                <w:bCs w:val="0"/>
                <w:color w:val="auto"/>
                <w:sz w:val="24"/>
                <w:szCs w:val="24"/>
                <w:highlight w:val="none"/>
                <w:vertAlign w:val="baseline"/>
                <w:lang w:val="en-US" w:eastAsia="zh-CN"/>
              </w:rPr>
              <w:t>18299702765</w:t>
            </w:r>
          </w:p>
        </w:tc>
      </w:tr>
      <w:tr w14:paraId="360C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28" w:type="dxa"/>
            <w:vMerge w:val="restart"/>
            <w:vAlign w:val="center"/>
          </w:tcPr>
          <w:p w14:paraId="1FF391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 xml:space="preserve"> 4</w:t>
            </w:r>
          </w:p>
        </w:tc>
        <w:tc>
          <w:tcPr>
            <w:tcW w:w="1839" w:type="dxa"/>
            <w:vMerge w:val="restart"/>
            <w:vAlign w:val="center"/>
          </w:tcPr>
          <w:p w14:paraId="3ADAD0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t>预算金额</w:t>
            </w:r>
          </w:p>
          <w:p w14:paraId="1B6018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最高限价</w:t>
            </w:r>
          </w:p>
        </w:tc>
        <w:tc>
          <w:tcPr>
            <w:tcW w:w="6575" w:type="dxa"/>
            <w:vAlign w:val="center"/>
          </w:tcPr>
          <w:p w14:paraId="3182E7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t>预算金额：60.12万</w:t>
            </w: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元</w:t>
            </w:r>
          </w:p>
        </w:tc>
      </w:tr>
      <w:tr w14:paraId="4CCB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387FE7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p>
        </w:tc>
        <w:tc>
          <w:tcPr>
            <w:tcW w:w="1839" w:type="dxa"/>
            <w:vMerge w:val="continue"/>
            <w:vAlign w:val="center"/>
          </w:tcPr>
          <w:p w14:paraId="7D1DE5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p>
        </w:tc>
        <w:tc>
          <w:tcPr>
            <w:tcW w:w="6575" w:type="dxa"/>
            <w:vAlign w:val="center"/>
          </w:tcPr>
          <w:p w14:paraId="62FB1CB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sz w:val="24"/>
                <w:szCs w:val="24"/>
              </w:rPr>
            </w:pPr>
            <w:r>
              <w:rPr>
                <w:rFonts w:ascii="宋体" w:hAnsi="宋体" w:eastAsia="宋体" w:cs="宋体"/>
                <w:sz w:val="24"/>
                <w:szCs w:val="24"/>
              </w:rPr>
              <w:t>本项目预算金额：601200元；</w:t>
            </w:r>
          </w:p>
          <w:p w14:paraId="5A05CEB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sz w:val="24"/>
                <w:szCs w:val="24"/>
              </w:rPr>
            </w:pPr>
            <w:r>
              <w:rPr>
                <w:rFonts w:ascii="宋体" w:hAnsi="宋体" w:eastAsia="宋体" w:cs="宋体"/>
                <w:sz w:val="24"/>
                <w:szCs w:val="24"/>
              </w:rPr>
              <w:t xml:space="preserve"> 本项目最高限价（总价）：601200元。 </w:t>
            </w:r>
          </w:p>
          <w:p w14:paraId="0C66D5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ascii="宋体" w:hAnsi="宋体" w:eastAsia="宋体" w:cs="宋体"/>
                <w:sz w:val="24"/>
                <w:szCs w:val="24"/>
              </w:rPr>
              <w:t>1. 供应商投标总价高于本项目总价最高限价的，按废标处理。 2. 本项目为补贴项目，餐费标准7元/人/天、送餐服务费2元/人/天为自治区补贴费用，属于不可竞争费，供应商须按该标准填报，不得高于该单价标准，也不得以此两项费用参与价格评审； 3. 价格评审仅针对可竞争的管理服务费单价，管理服务费单价上限为1元/人/天，供应商填报的管理服务费单价不得超过该上限，超过的按废标处理； 4. 单人每日综合单价组成：餐费7元/人/天+送餐服务费2元/人/天+管理服务费（供应商自主报价，≤1元/人/天）；项目结算按实际服务人数、实际服务天数乘以对应单价据实结算，结算总价不得超过本项目总价最高限价601200元。 5. 本项目采用综合评分法评审，价格评审指标仅为管理服务费单价。</w:t>
            </w:r>
          </w:p>
        </w:tc>
      </w:tr>
      <w:tr w14:paraId="4119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28" w:type="dxa"/>
            <w:vAlign w:val="center"/>
          </w:tcPr>
          <w:p w14:paraId="7D2733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5</w:t>
            </w:r>
          </w:p>
        </w:tc>
        <w:tc>
          <w:tcPr>
            <w:tcW w:w="1839" w:type="dxa"/>
            <w:vAlign w:val="center"/>
          </w:tcPr>
          <w:p w14:paraId="2B5664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资金来源</w:t>
            </w:r>
          </w:p>
        </w:tc>
        <w:tc>
          <w:tcPr>
            <w:tcW w:w="6575" w:type="dxa"/>
            <w:vAlign w:val="center"/>
          </w:tcPr>
          <w:p w14:paraId="50AEED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sz w:val="24"/>
                <w:szCs w:val="24"/>
              </w:rPr>
              <w:t>2026年中央专项彩票公益金支持地方社会公益事业发展（社会福利）资金</w:t>
            </w:r>
            <w:r>
              <w:rPr>
                <w:rFonts w:hint="eastAsia" w:ascii="宋体" w:hAnsi="宋体" w:cs="宋体"/>
                <w:b w:val="0"/>
                <w:bCs w:val="0"/>
                <w:color w:val="000000"/>
                <w:sz w:val="24"/>
                <w:szCs w:val="24"/>
                <w:lang w:val="en-US" w:eastAsia="zh-CN"/>
              </w:rPr>
              <w:t xml:space="preserve"> </w:t>
            </w:r>
          </w:p>
        </w:tc>
      </w:tr>
      <w:tr w14:paraId="4AE4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8" w:type="dxa"/>
            <w:vAlign w:val="center"/>
          </w:tcPr>
          <w:p w14:paraId="542AB8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6</w:t>
            </w:r>
          </w:p>
        </w:tc>
        <w:tc>
          <w:tcPr>
            <w:tcW w:w="1839" w:type="dxa"/>
            <w:vAlign w:val="center"/>
          </w:tcPr>
          <w:p w14:paraId="264950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付款方式</w:t>
            </w:r>
          </w:p>
        </w:tc>
        <w:tc>
          <w:tcPr>
            <w:tcW w:w="6575" w:type="dxa"/>
            <w:vAlign w:val="center"/>
          </w:tcPr>
          <w:p w14:paraId="14068C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cs="宋体"/>
                <w:b w:val="0"/>
                <w:bCs w:val="0"/>
                <w:color w:val="0000FF"/>
                <w:sz w:val="24"/>
                <w:szCs w:val="24"/>
                <w:highlight w:val="none"/>
                <w:vertAlign w:val="baseline"/>
                <w:lang w:val="en-US" w:eastAsia="zh-CN"/>
              </w:rPr>
            </w:pPr>
            <w:r>
              <w:rPr>
                <w:rFonts w:hint="eastAsia" w:ascii="宋体" w:hAnsi="宋体" w:cs="宋体"/>
                <w:color w:val="0000FF"/>
                <w:sz w:val="24"/>
                <w:szCs w:val="24"/>
                <w:highlight w:val="none"/>
                <w:lang w:val="en-US" w:eastAsia="zh-CN"/>
              </w:rPr>
              <w:t>具体以甲乙方双方签订的合同为准</w:t>
            </w:r>
          </w:p>
        </w:tc>
      </w:tr>
      <w:tr w14:paraId="5B96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28" w:type="dxa"/>
            <w:vAlign w:val="center"/>
          </w:tcPr>
          <w:p w14:paraId="422609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7</w:t>
            </w:r>
          </w:p>
        </w:tc>
        <w:tc>
          <w:tcPr>
            <w:tcW w:w="1839" w:type="dxa"/>
            <w:vAlign w:val="center"/>
          </w:tcPr>
          <w:p w14:paraId="2002F6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auto"/>
                <w:sz w:val="24"/>
                <w:szCs w:val="24"/>
                <w:highlight w:val="none"/>
                <w:lang w:val="en-US" w:eastAsia="zh-CN"/>
              </w:rPr>
              <w:t>最终服务地点</w:t>
            </w:r>
          </w:p>
        </w:tc>
        <w:tc>
          <w:tcPr>
            <w:tcW w:w="6575" w:type="dxa"/>
            <w:vAlign w:val="center"/>
          </w:tcPr>
          <w:p w14:paraId="18D70B1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FF"/>
                <w:sz w:val="24"/>
                <w:szCs w:val="24"/>
                <w:highlight w:val="none"/>
                <w:vertAlign w:val="baseline"/>
                <w:lang w:val="en-US" w:eastAsia="zh-CN"/>
              </w:rPr>
            </w:pPr>
            <w:r>
              <w:rPr>
                <w:rFonts w:hint="eastAsia" w:ascii="宋体" w:hAnsi="宋体" w:cs="宋体"/>
                <w:b w:val="0"/>
                <w:bCs w:val="0"/>
                <w:color w:val="0000FF"/>
                <w:sz w:val="24"/>
                <w:szCs w:val="24"/>
                <w:highlight w:val="none"/>
                <w:vertAlign w:val="baseline"/>
                <w:lang w:val="en-US" w:eastAsia="zh-CN"/>
              </w:rPr>
              <w:t>采购人</w:t>
            </w:r>
            <w:r>
              <w:rPr>
                <w:rFonts w:hint="eastAsia" w:ascii="宋体" w:hAnsi="宋体" w:eastAsia="宋体" w:cs="宋体"/>
                <w:b w:val="0"/>
                <w:bCs w:val="0"/>
                <w:color w:val="0000FF"/>
                <w:sz w:val="24"/>
                <w:szCs w:val="24"/>
                <w:highlight w:val="none"/>
                <w:vertAlign w:val="baseline"/>
                <w:lang w:val="en-US" w:eastAsia="zh-CN"/>
              </w:rPr>
              <w:t>指定地</w:t>
            </w:r>
            <w:r>
              <w:rPr>
                <w:rFonts w:hint="eastAsia" w:ascii="宋体" w:hAnsi="宋体" w:eastAsia="宋体" w:cs="宋体"/>
                <w:color w:val="0000FF"/>
                <w:sz w:val="24"/>
                <w:szCs w:val="24"/>
                <w:highlight w:val="none"/>
                <w:lang w:val="en-US" w:eastAsia="zh-CN"/>
              </w:rPr>
              <w:t>点，合同另有规定除外</w:t>
            </w:r>
          </w:p>
        </w:tc>
      </w:tr>
      <w:tr w14:paraId="7C2B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F6CC4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8</w:t>
            </w:r>
          </w:p>
        </w:tc>
        <w:tc>
          <w:tcPr>
            <w:tcW w:w="1839" w:type="dxa"/>
            <w:vAlign w:val="center"/>
          </w:tcPr>
          <w:p w14:paraId="4A431C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服务</w:t>
            </w:r>
            <w:r>
              <w:rPr>
                <w:rFonts w:hint="eastAsia" w:ascii="宋体" w:hAnsi="宋体" w:eastAsia="宋体" w:cs="宋体"/>
                <w:color w:val="000000" w:themeColor="text1"/>
                <w:sz w:val="24"/>
                <w:szCs w:val="24"/>
                <w:highlight w:val="none"/>
                <w:lang w:eastAsia="zh-CN"/>
                <w14:textFill>
                  <w14:solidFill>
                    <w14:schemeClr w14:val="tx1"/>
                  </w14:solidFill>
                </w14:textFill>
              </w:rPr>
              <w:t>期限</w:t>
            </w:r>
          </w:p>
        </w:tc>
        <w:tc>
          <w:tcPr>
            <w:tcW w:w="6575" w:type="dxa"/>
            <w:vAlign w:val="center"/>
          </w:tcPr>
          <w:p w14:paraId="2CC996A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t>1年，自合同之日起算（最终</w:t>
            </w: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以甲乙双方签订合同为准）</w:t>
            </w:r>
          </w:p>
        </w:tc>
      </w:tr>
      <w:tr w14:paraId="4C32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32E05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9</w:t>
            </w:r>
          </w:p>
        </w:tc>
        <w:tc>
          <w:tcPr>
            <w:tcW w:w="1839" w:type="dxa"/>
            <w:vAlign w:val="top"/>
          </w:tcPr>
          <w:p w14:paraId="285A06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服务标准</w:t>
            </w:r>
          </w:p>
        </w:tc>
        <w:tc>
          <w:tcPr>
            <w:tcW w:w="6575" w:type="dxa"/>
            <w:vAlign w:val="top"/>
          </w:tcPr>
          <w:p w14:paraId="617CBE9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满足行业规范要求，</w:t>
            </w:r>
            <w:r>
              <w:rPr>
                <w:rFonts w:hint="eastAsia" w:ascii="宋体" w:hAnsi="宋体" w:cs="宋体"/>
                <w:color w:val="000000" w:themeColor="text1"/>
                <w:sz w:val="24"/>
                <w:szCs w:val="24"/>
                <w:highlight w:val="none"/>
                <w:lang w:val="en-US" w:eastAsia="zh-CN"/>
                <w14:textFill>
                  <w14:solidFill>
                    <w14:schemeClr w14:val="tx1"/>
                  </w14:solidFill>
                </w14:textFill>
              </w:rPr>
              <w:t>合格。</w:t>
            </w:r>
          </w:p>
        </w:tc>
      </w:tr>
      <w:tr w14:paraId="11E5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828" w:type="dxa"/>
            <w:vAlign w:val="center"/>
          </w:tcPr>
          <w:p w14:paraId="7D99F0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10</w:t>
            </w:r>
          </w:p>
        </w:tc>
        <w:tc>
          <w:tcPr>
            <w:tcW w:w="1839" w:type="dxa"/>
            <w:vAlign w:val="center"/>
          </w:tcPr>
          <w:p w14:paraId="3B10C4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采购方式</w:t>
            </w:r>
          </w:p>
        </w:tc>
        <w:tc>
          <w:tcPr>
            <w:tcW w:w="6575" w:type="dxa"/>
            <w:vAlign w:val="center"/>
          </w:tcPr>
          <w:p w14:paraId="48EE3BE5">
            <w:pPr>
              <w:keepNext w:val="0"/>
              <w:keepLines w:val="0"/>
              <w:widowControl/>
              <w:suppressLineNumbers w:val="0"/>
              <w:jc w:val="left"/>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竞争性磋商</w:t>
            </w:r>
            <w:r>
              <w:rPr>
                <w:rFonts w:hint="eastAsia" w:ascii="宋体" w:hAnsi="宋体" w:cs="宋体"/>
                <w:b/>
                <w:bCs/>
                <w:color w:val="auto"/>
                <w:sz w:val="24"/>
                <w:szCs w:val="24"/>
                <w:highlight w:val="none"/>
                <w:vertAlign w:val="baseline"/>
                <w:lang w:val="en-US" w:eastAsia="zh-CN"/>
              </w:rPr>
              <w:t>（</w:t>
            </w:r>
            <w:r>
              <w:rPr>
                <w:rFonts w:hint="eastAsia" w:ascii="宋体" w:hAnsi="宋体" w:eastAsia="宋体" w:cs="宋体"/>
                <w:b/>
                <w:bCs/>
                <w:color w:val="auto"/>
                <w:kern w:val="0"/>
                <w:sz w:val="24"/>
                <w:szCs w:val="24"/>
                <w:lang w:val="en-US" w:eastAsia="zh-CN" w:bidi="ar"/>
              </w:rPr>
              <w:t>本项目采用网上电子招投标</w:t>
            </w:r>
            <w:r>
              <w:rPr>
                <w:rFonts w:hint="eastAsia" w:ascii="宋体" w:hAnsi="宋体" w:cs="宋体"/>
                <w:b/>
                <w:bCs/>
                <w:color w:val="auto"/>
                <w:sz w:val="24"/>
                <w:szCs w:val="24"/>
                <w:highlight w:val="none"/>
                <w:vertAlign w:val="baseline"/>
                <w:lang w:val="en-US" w:eastAsia="zh-CN"/>
              </w:rPr>
              <w:t>）</w:t>
            </w:r>
          </w:p>
        </w:tc>
      </w:tr>
      <w:tr w14:paraId="2EB0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28" w:type="dxa"/>
            <w:vAlign w:val="center"/>
          </w:tcPr>
          <w:p w14:paraId="6D3949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11</w:t>
            </w:r>
          </w:p>
        </w:tc>
        <w:tc>
          <w:tcPr>
            <w:tcW w:w="1839" w:type="dxa"/>
            <w:vAlign w:val="center"/>
          </w:tcPr>
          <w:p w14:paraId="28D1C547">
            <w:pPr>
              <w:keepNext w:val="0"/>
              <w:keepLines w:val="0"/>
              <w:widowControl/>
              <w:suppressLineNumbers w:val="0"/>
              <w:spacing w:line="360" w:lineRule="auto"/>
              <w:jc w:val="center"/>
              <w:rPr>
                <w:rFonts w:hint="eastAsia" w:ascii="宋体" w:hAnsi="宋体" w:cs="宋体"/>
                <w:b w:val="0"/>
                <w:bCs w:val="0"/>
                <w:color w:val="auto"/>
                <w:sz w:val="24"/>
                <w:szCs w:val="24"/>
                <w:highlight w:val="none"/>
                <w:vertAlign w:val="baseline"/>
                <w:lang w:val="en-US" w:eastAsia="zh-CN"/>
              </w:rPr>
            </w:pPr>
            <w:r>
              <w:rPr>
                <w:rFonts w:hint="eastAsia" w:ascii="宋体" w:hAnsi="宋体" w:eastAsia="宋体" w:cs="宋体"/>
                <w:color w:val="auto"/>
                <w:kern w:val="0"/>
                <w:sz w:val="24"/>
                <w:szCs w:val="24"/>
                <w:lang w:val="en-US" w:eastAsia="zh-CN" w:bidi="ar"/>
              </w:rPr>
              <w:t>是否接受联合体投标</w:t>
            </w:r>
          </w:p>
        </w:tc>
        <w:tc>
          <w:tcPr>
            <w:tcW w:w="6575" w:type="dxa"/>
            <w:vAlign w:val="center"/>
          </w:tcPr>
          <w:p w14:paraId="34D1F17D">
            <w:pPr>
              <w:keepNext w:val="0"/>
              <w:keepLines w:val="0"/>
              <w:widowControl/>
              <w:suppressLineNumbers w:val="0"/>
              <w:spacing w:line="240" w:lineRule="auto"/>
              <w:jc w:val="left"/>
              <w:rPr>
                <w:color w:val="auto"/>
              </w:rPr>
            </w:pPr>
            <w:r>
              <w:rPr>
                <w:rFonts w:hint="eastAsia" w:ascii="宋体" w:hAnsi="宋体" w:eastAsia="宋体" w:cs="宋体"/>
                <w:color w:val="auto"/>
                <w:kern w:val="0"/>
                <w:sz w:val="24"/>
                <w:szCs w:val="24"/>
                <w:lang w:val="en-US" w:eastAsia="zh-CN" w:bidi="ar"/>
              </w:rPr>
              <w:t xml:space="preserve">■不接受 </w:t>
            </w:r>
          </w:p>
          <w:p w14:paraId="488FF583">
            <w:pPr>
              <w:keepNext w:val="0"/>
              <w:keepLines w:val="0"/>
              <w:widowControl/>
              <w:suppressLineNumbers w:val="0"/>
              <w:spacing w:line="240" w:lineRule="auto"/>
              <w:jc w:val="left"/>
              <w:rPr>
                <w:rFonts w:hint="eastAsia" w:ascii="宋体" w:hAnsi="宋体" w:cs="宋体"/>
                <w:b w:val="0"/>
                <w:bCs w:val="0"/>
                <w:color w:val="auto"/>
                <w:sz w:val="24"/>
                <w:szCs w:val="24"/>
                <w:highlight w:val="none"/>
                <w:vertAlign w:val="baseline"/>
                <w:lang w:val="en-US" w:eastAsia="zh-CN"/>
              </w:rPr>
            </w:pPr>
            <w:r>
              <w:rPr>
                <w:rFonts w:hint="eastAsia"/>
                <w:color w:val="auto"/>
                <w:sz w:val="24"/>
                <w:szCs w:val="24"/>
                <w:highlight w:val="none"/>
                <w:lang w:val="en-US" w:eastAsia="zh-CN"/>
              </w:rPr>
              <w:t>□接受，联合体投标的须在投标文件中提供联合体协议书，联合体所有成员不得超过2家，联合体的任何一方均不得再与其他投标单位联合。</w:t>
            </w:r>
          </w:p>
        </w:tc>
      </w:tr>
      <w:tr w14:paraId="1092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8" w:type="dxa"/>
            <w:vAlign w:val="center"/>
          </w:tcPr>
          <w:p w14:paraId="6A4BBF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12</w:t>
            </w:r>
          </w:p>
        </w:tc>
        <w:tc>
          <w:tcPr>
            <w:tcW w:w="1839" w:type="dxa"/>
            <w:vAlign w:val="center"/>
          </w:tcPr>
          <w:p w14:paraId="2D595B4E">
            <w:pPr>
              <w:keepNext w:val="0"/>
              <w:keepLines w:val="0"/>
              <w:widowControl/>
              <w:suppressLineNumbers w:val="0"/>
              <w:spacing w:line="360" w:lineRule="auto"/>
              <w:jc w:val="center"/>
              <w:rPr>
                <w:color w:val="auto"/>
              </w:rPr>
            </w:pPr>
            <w:r>
              <w:rPr>
                <w:rFonts w:hint="eastAsia" w:ascii="宋体" w:hAnsi="宋体" w:eastAsia="宋体" w:cs="宋体"/>
                <w:color w:val="auto"/>
                <w:kern w:val="0"/>
                <w:sz w:val="24"/>
                <w:szCs w:val="24"/>
                <w:lang w:val="en-US" w:eastAsia="zh-CN" w:bidi="ar"/>
              </w:rPr>
              <w:t>投标人资格条件及其他要求</w:t>
            </w:r>
          </w:p>
          <w:p w14:paraId="3AD778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p>
        </w:tc>
        <w:tc>
          <w:tcPr>
            <w:tcW w:w="6575" w:type="dxa"/>
            <w:vAlign w:val="center"/>
          </w:tcPr>
          <w:p w14:paraId="2C641F0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1.满足《中华人民共和国政府采购法》第二十二条规定；</w:t>
            </w:r>
          </w:p>
          <w:p w14:paraId="3A410F4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2.落实政府采购政策需满足的资格要求：标项 1：供应商为中小企业</w:t>
            </w:r>
          </w:p>
          <w:p w14:paraId="6D86E85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3.本项目的特定资格要求：</w:t>
            </w:r>
          </w:p>
          <w:p w14:paraId="2E40277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（1）具有有效的三证合一营业执照副本；</w:t>
            </w:r>
          </w:p>
          <w:p w14:paraId="14F009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（2）法定代表人投标须提供法定代表人资格证明书，委托代理人投标须提供法定代表人授权委托书；</w:t>
            </w:r>
          </w:p>
          <w:p w14:paraId="0D9A1B1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(3)投标企业须提供投标人（被授权在职人员）近 6个月内任意 1 个月有效的社保证明</w:t>
            </w:r>
            <w:r>
              <w:rPr>
                <w:rFonts w:hint="eastAsia" w:ascii="宋体" w:hAnsi="宋体" w:cs="宋体"/>
                <w:b w:val="0"/>
                <w:bCs w:val="0"/>
                <w:color w:val="auto"/>
                <w:sz w:val="24"/>
                <w:szCs w:val="24"/>
                <w:highlight w:val="none"/>
                <w:vertAlign w:val="baseline"/>
                <w:lang w:val="en-US" w:eastAsia="zh-CN"/>
              </w:rPr>
              <w:t>；</w:t>
            </w:r>
          </w:p>
          <w:p w14:paraId="09E2FC8A">
            <w:pPr>
              <w:shd w:val="clear" w:color="auto" w:fill="auto"/>
              <w:spacing w:line="240" w:lineRule="auto"/>
              <w:jc w:val="both"/>
              <w:rPr>
                <w:rFonts w:hint="eastAsia" w:ascii="宋体" w:hAnsi="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（4）投标保证金缴纳凭证或投标担保函</w:t>
            </w:r>
          </w:p>
          <w:p w14:paraId="50328A4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val="0"/>
                <w:bCs w:val="0"/>
                <w:color w:val="auto"/>
                <w:sz w:val="24"/>
                <w:szCs w:val="24"/>
                <w:highlight w:val="none"/>
                <w:vertAlign w:val="baseline"/>
                <w:lang w:val="en-US" w:eastAsia="zh-CN"/>
              </w:rPr>
              <w:t>（</w:t>
            </w:r>
            <w:r>
              <w:rPr>
                <w:rFonts w:hint="eastAsia" w:ascii="宋体" w:hAnsi="宋体" w:cs="宋体"/>
                <w:b w:val="0"/>
                <w:bCs w:val="0"/>
                <w:color w:val="auto"/>
                <w:sz w:val="24"/>
                <w:szCs w:val="24"/>
                <w:highlight w:val="none"/>
                <w:vertAlign w:val="baseline"/>
                <w:lang w:val="en-US" w:eastAsia="zh-CN"/>
              </w:rPr>
              <w:t>5</w:t>
            </w:r>
            <w:r>
              <w:rPr>
                <w:rFonts w:hint="eastAsia" w:ascii="宋体" w:hAnsi="宋体" w:eastAsia="宋体" w:cs="宋体"/>
                <w:b w:val="0"/>
                <w:bCs w:val="0"/>
                <w:color w:val="auto"/>
                <w:sz w:val="24"/>
                <w:szCs w:val="24"/>
                <w:highlight w:val="none"/>
                <w:vertAlign w:val="baseline"/>
                <w:lang w:val="en-US" w:eastAsia="zh-CN"/>
              </w:rPr>
              <w:t>）</w:t>
            </w: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0400B7CF">
            <w:pPr>
              <w:spacing w:line="240" w:lineRule="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（6）中小企业声明函</w:t>
            </w:r>
          </w:p>
          <w:p w14:paraId="5D03D73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（7）</w:t>
            </w:r>
            <w:r>
              <w:rPr>
                <w:rFonts w:hint="eastAsia" w:ascii="宋体" w:hAnsi="宋体" w:eastAsia="宋体" w:cs="宋体"/>
                <w:b w:val="0"/>
                <w:bCs w:val="0"/>
                <w:color w:val="auto"/>
                <w:sz w:val="24"/>
                <w:szCs w:val="24"/>
                <w:highlight w:val="none"/>
                <w:vertAlign w:val="baseline"/>
                <w:lang w:val="en-US" w:eastAsia="zh-CN"/>
              </w:rPr>
              <w:t>本项目不接受联合体投标</w:t>
            </w:r>
          </w:p>
        </w:tc>
      </w:tr>
      <w:tr w14:paraId="0E40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56400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13</w:t>
            </w:r>
          </w:p>
        </w:tc>
        <w:tc>
          <w:tcPr>
            <w:tcW w:w="1839" w:type="dxa"/>
            <w:vAlign w:val="center"/>
          </w:tcPr>
          <w:p w14:paraId="5E7BEA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供应商信用查询</w:t>
            </w:r>
          </w:p>
        </w:tc>
        <w:tc>
          <w:tcPr>
            <w:tcW w:w="6575" w:type="dxa"/>
            <w:vAlign w:val="center"/>
          </w:tcPr>
          <w:p w14:paraId="72A5737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1、查询渠道：信用中国</w:t>
            </w:r>
          </w:p>
          <w:p w14:paraId="2191A28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（网址：http://www.creditchina.gov.cn）、中国政府采购网(网址：http://www.ccgp.gov.cn）。</w:t>
            </w:r>
          </w:p>
          <w:p w14:paraId="58C4C0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2、截止时点：开标后评标前。</w:t>
            </w:r>
          </w:p>
          <w:p w14:paraId="7447090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3、信用信息查询记录和证据留存的具体方式：由采购组织机构在规定查询时间内打印信用信息查询记录并归入项目档案。</w:t>
            </w:r>
          </w:p>
          <w:p w14:paraId="45411E6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040B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60421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14</w:t>
            </w:r>
          </w:p>
        </w:tc>
        <w:tc>
          <w:tcPr>
            <w:tcW w:w="1839" w:type="dxa"/>
            <w:vAlign w:val="center"/>
          </w:tcPr>
          <w:p w14:paraId="536F8C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踏勘现场</w:t>
            </w:r>
          </w:p>
        </w:tc>
        <w:tc>
          <w:tcPr>
            <w:tcW w:w="6575" w:type="dxa"/>
            <w:vAlign w:val="center"/>
          </w:tcPr>
          <w:p w14:paraId="2411527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不组织,</w:t>
            </w:r>
            <w:r>
              <w:rPr>
                <w:rFonts w:hint="eastAsia" w:ascii="宋体" w:hAnsi="宋体" w:cs="宋体"/>
                <w:b w:val="0"/>
                <w:bCs/>
                <w:color w:val="auto"/>
                <w:kern w:val="2"/>
                <w:sz w:val="24"/>
                <w:szCs w:val="24"/>
                <w:highlight w:val="none"/>
                <w:u w:val="none"/>
                <w:lang w:val="en-US" w:eastAsia="zh-CN" w:bidi="ar-SA"/>
              </w:rPr>
              <w:t>如有需要</w:t>
            </w:r>
            <w:r>
              <w:rPr>
                <w:rFonts w:hint="eastAsia" w:ascii="宋体" w:hAnsi="宋体" w:eastAsia="宋体" w:cs="宋体"/>
                <w:b w:val="0"/>
                <w:bCs/>
                <w:color w:val="auto"/>
                <w:kern w:val="2"/>
                <w:sz w:val="24"/>
                <w:szCs w:val="24"/>
                <w:highlight w:val="none"/>
                <w:u w:val="none"/>
                <w:lang w:val="en-US" w:eastAsia="zh-CN" w:bidi="ar-SA"/>
              </w:rPr>
              <w:t>自行踏勘现场</w:t>
            </w:r>
            <w:r>
              <w:rPr>
                <w:rFonts w:hint="eastAsia" w:ascii="宋体" w:hAnsi="宋体" w:cs="宋体"/>
                <w:b w:val="0"/>
                <w:bCs/>
                <w:color w:val="auto"/>
                <w:kern w:val="2"/>
                <w:sz w:val="24"/>
                <w:szCs w:val="24"/>
                <w:highlight w:val="none"/>
                <w:u w:val="none"/>
                <w:lang w:val="en-US" w:eastAsia="zh-CN" w:bidi="ar-SA"/>
              </w:rPr>
              <w:t>，费用自理</w:t>
            </w:r>
            <w:r>
              <w:rPr>
                <w:rFonts w:hint="eastAsia" w:ascii="宋体" w:hAnsi="宋体" w:eastAsia="宋体" w:cs="宋体"/>
                <w:b w:val="0"/>
                <w:bCs/>
                <w:color w:val="auto"/>
                <w:kern w:val="2"/>
                <w:sz w:val="24"/>
                <w:szCs w:val="24"/>
                <w:highlight w:val="none"/>
                <w:u w:val="none"/>
                <w:lang w:val="en-US" w:eastAsia="zh-CN" w:bidi="ar-SA"/>
              </w:rPr>
              <w:t>。</w:t>
            </w:r>
          </w:p>
        </w:tc>
      </w:tr>
      <w:tr w14:paraId="393F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27B15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15</w:t>
            </w:r>
          </w:p>
        </w:tc>
        <w:tc>
          <w:tcPr>
            <w:tcW w:w="1839" w:type="dxa"/>
            <w:vAlign w:val="center"/>
          </w:tcPr>
          <w:p w14:paraId="7E3A5C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投标预备会</w:t>
            </w:r>
          </w:p>
        </w:tc>
        <w:tc>
          <w:tcPr>
            <w:tcW w:w="6575" w:type="dxa"/>
            <w:vAlign w:val="center"/>
          </w:tcPr>
          <w:p w14:paraId="2A1D56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不召开</w:t>
            </w:r>
          </w:p>
        </w:tc>
      </w:tr>
      <w:tr w14:paraId="0110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12FCC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16</w:t>
            </w:r>
          </w:p>
        </w:tc>
        <w:tc>
          <w:tcPr>
            <w:tcW w:w="1839" w:type="dxa"/>
            <w:vAlign w:val="center"/>
          </w:tcPr>
          <w:p w14:paraId="476801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投标有效期</w:t>
            </w:r>
          </w:p>
        </w:tc>
        <w:tc>
          <w:tcPr>
            <w:tcW w:w="6575" w:type="dxa"/>
            <w:vAlign w:val="center"/>
          </w:tcPr>
          <w:p w14:paraId="60E624C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投标有效期为</w:t>
            </w:r>
            <w:r>
              <w:rPr>
                <w:rFonts w:hint="eastAsia" w:ascii="宋体" w:hAnsi="宋体" w:cs="宋体"/>
                <w:b w:val="0"/>
                <w:bCs/>
                <w:color w:val="auto"/>
                <w:kern w:val="2"/>
                <w:sz w:val="24"/>
                <w:szCs w:val="24"/>
                <w:highlight w:val="none"/>
                <w:u w:val="none"/>
                <w:lang w:val="en-US" w:eastAsia="zh-CN" w:bidi="ar-SA"/>
              </w:rPr>
              <w:t>60</w:t>
            </w:r>
            <w:r>
              <w:rPr>
                <w:rFonts w:hint="eastAsia" w:ascii="宋体" w:hAnsi="宋体" w:eastAsia="宋体" w:cs="宋体"/>
                <w:b w:val="0"/>
                <w:bCs/>
                <w:color w:val="auto"/>
                <w:kern w:val="2"/>
                <w:sz w:val="24"/>
                <w:szCs w:val="24"/>
                <w:highlight w:val="none"/>
                <w:u w:val="none"/>
                <w:lang w:val="en-US" w:eastAsia="zh-CN" w:bidi="ar-SA"/>
              </w:rPr>
              <w:t>日历天（从投标截止之日算起）。在此期限内，凡符合本磋商文件要求的响应文件均保持有效。</w:t>
            </w:r>
          </w:p>
        </w:tc>
      </w:tr>
      <w:tr w14:paraId="73D3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0" w:hRule="atLeast"/>
        </w:trPr>
        <w:tc>
          <w:tcPr>
            <w:tcW w:w="828" w:type="dxa"/>
            <w:vAlign w:val="center"/>
          </w:tcPr>
          <w:p w14:paraId="46BA7F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26596F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2E1855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58B88A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5FEB25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781A67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16E8F20A">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17</w:t>
            </w:r>
          </w:p>
        </w:tc>
        <w:tc>
          <w:tcPr>
            <w:tcW w:w="1839" w:type="dxa"/>
            <w:vAlign w:val="center"/>
          </w:tcPr>
          <w:p w14:paraId="547A64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290998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771B50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5087B8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4EC15F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5FD32F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4B055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66F81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15BCE42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投标保证金</w:t>
            </w:r>
          </w:p>
        </w:tc>
        <w:tc>
          <w:tcPr>
            <w:tcW w:w="6575" w:type="dxa"/>
            <w:vAlign w:val="center"/>
          </w:tcPr>
          <w:p w14:paraId="40469BC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kern w:val="0"/>
                <w:sz w:val="24"/>
                <w:szCs w:val="24"/>
                <w:lang w:val="en-US" w:eastAsia="zh-CN" w:bidi="ar"/>
              </w:rPr>
              <w:t>投标保证金交纳方式：</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供应商自主选择以支票、汇票、本票、保函等非现金形式缴纳或提交保证金。具体缴纳方式如下：</w:t>
            </w:r>
          </w:p>
          <w:p w14:paraId="4FEFC996">
            <w:pPr>
              <w:keepNext w:val="0"/>
              <w:keepLines w:val="0"/>
              <w:widowControl/>
              <w:suppressLineNumbers w:val="0"/>
              <w:spacing w:line="240" w:lineRule="auto"/>
              <w:jc w:val="left"/>
              <w:rPr>
                <w:rFonts w:hint="eastAsia" w:ascii="宋体" w:hAnsi="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投标保证金的金额：</w:t>
            </w:r>
            <w:r>
              <w:rPr>
                <w:rFonts w:hint="eastAsia" w:ascii="宋体" w:hAnsi="宋体" w:cs="宋体"/>
                <w:b w:val="0"/>
                <w:bCs w:val="0"/>
                <w:color w:val="000000"/>
                <w:kern w:val="0"/>
                <w:sz w:val="24"/>
                <w:szCs w:val="24"/>
                <w:lang w:val="en-US" w:eastAsia="zh-CN" w:bidi="ar"/>
              </w:rPr>
              <w:t>10000.00</w:t>
            </w:r>
            <w:r>
              <w:rPr>
                <w:rFonts w:hint="eastAsia" w:ascii="宋体" w:hAnsi="宋体" w:eastAsia="宋体" w:cs="宋体"/>
                <w:b w:val="0"/>
                <w:bCs w:val="0"/>
                <w:color w:val="000000"/>
                <w:kern w:val="0"/>
                <w:sz w:val="24"/>
                <w:szCs w:val="24"/>
                <w:lang w:val="en-US" w:eastAsia="zh-CN" w:bidi="ar"/>
              </w:rPr>
              <w:t>元（</w:t>
            </w:r>
            <w:r>
              <w:rPr>
                <w:rFonts w:hint="eastAsia" w:ascii="宋体" w:hAnsi="宋体" w:cs="宋体"/>
                <w:b w:val="0"/>
                <w:bCs w:val="0"/>
                <w:color w:val="000000"/>
                <w:kern w:val="0"/>
                <w:sz w:val="24"/>
                <w:szCs w:val="24"/>
                <w:lang w:val="en-US" w:eastAsia="zh-CN" w:bidi="ar"/>
              </w:rPr>
              <w:t>壹万玖仟元整</w:t>
            </w:r>
            <w:r>
              <w:rPr>
                <w:rFonts w:hint="eastAsia" w:ascii="宋体" w:hAnsi="宋体" w:eastAsia="宋体" w:cs="宋体"/>
                <w:b w:val="0"/>
                <w:bCs w:val="0"/>
                <w:color w:val="000000"/>
                <w:kern w:val="0"/>
                <w:sz w:val="24"/>
                <w:szCs w:val="24"/>
                <w:lang w:val="en-US" w:eastAsia="zh-CN" w:bidi="ar"/>
              </w:rPr>
              <w:t>）</w:t>
            </w:r>
            <w:r>
              <w:rPr>
                <w:rFonts w:hint="eastAsia" w:ascii="宋体" w:hAnsi="宋体" w:cs="宋体"/>
                <w:b w:val="0"/>
                <w:bCs w:val="0"/>
                <w:color w:val="000000"/>
                <w:kern w:val="0"/>
                <w:sz w:val="24"/>
                <w:szCs w:val="24"/>
                <w:lang w:val="en-US" w:eastAsia="zh-CN" w:bidi="ar"/>
              </w:rPr>
              <w:t>。</w:t>
            </w:r>
          </w:p>
          <w:p w14:paraId="76D205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000000"/>
                <w:kern w:val="0"/>
                <w:sz w:val="24"/>
                <w:szCs w:val="24"/>
                <w:lang w:val="en-US" w:eastAsia="zh-CN" w:bidi="ar"/>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注：每个标项的保证金应分别缴纳，合并缴纳投标保证金视为无效缴纳投标保证金。</w:t>
            </w:r>
          </w:p>
          <w:p w14:paraId="760E6D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方式一： 电子保证金</w:t>
            </w:r>
          </w:p>
          <w:p w14:paraId="12E4E4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账户信息：按系统自动生成的收款账号信息进行缴纳。具体操作在【保证金管理】页面，选择【电子保证金（在线获取账号）】，点击【新疆保证金平台】, 自动从银行获取保证金的收款户名、收款账号、收款银行信息（开户行及行号）。供应商需将保证金转入获取到的收款账号，转账时请备注项目名称。</w:t>
            </w:r>
          </w:p>
          <w:p w14:paraId="55D5703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方式二：保函</w:t>
            </w:r>
          </w:p>
          <w:p w14:paraId="4B2498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电子保函。</w:t>
            </w:r>
          </w:p>
          <w:p w14:paraId="143A7D1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（1）缴纳程序：投标人可登录新疆政府采购网“ 电子保函 ”窗口线上办理投保手续；</w:t>
            </w:r>
          </w:p>
          <w:p w14:paraId="61AA8A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（2）办理电子保函必须在投标截止时间（开标时间）前完成；</w:t>
            </w:r>
          </w:p>
          <w:p w14:paraId="2CE099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 xml:space="preserve">（3）开标前，投保人须下载加密保单并加盖公章作为保证金缴纳凭证一并上传至资格审查文件中提交； </w:t>
            </w:r>
          </w:p>
          <w:p w14:paraId="7E08B5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（4）技术支持电话详见新疆政府采购网电子保函服务系统。</w:t>
            </w:r>
          </w:p>
          <w:p w14:paraId="5825801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sz w:val="24"/>
                <w:szCs w:val="24"/>
                <w:highlight w:val="none"/>
                <w:vertAlign w:val="baseline"/>
                <w:lang w:val="en-US" w:eastAsia="zh-CN"/>
              </w:rPr>
              <w:t>保证金退还须知：开标后，未中标（成交）企业在法定工作时间内自动退还保证金，中标（成交）企业在签订合同后自动退还保证金。</w:t>
            </w:r>
          </w:p>
        </w:tc>
      </w:tr>
      <w:tr w14:paraId="7CCF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F5C18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18</w:t>
            </w:r>
          </w:p>
        </w:tc>
        <w:tc>
          <w:tcPr>
            <w:tcW w:w="1839" w:type="dxa"/>
            <w:vAlign w:val="center"/>
          </w:tcPr>
          <w:p w14:paraId="1B16AA23">
            <w:pPr>
              <w:keepNext w:val="0"/>
              <w:keepLines w:val="0"/>
              <w:widowControl/>
              <w:suppressLineNumbers w:val="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是否允许递交备选投标方案</w:t>
            </w:r>
          </w:p>
        </w:tc>
        <w:tc>
          <w:tcPr>
            <w:tcW w:w="6575" w:type="dxa"/>
            <w:vAlign w:val="center"/>
          </w:tcPr>
          <w:p w14:paraId="181D403A">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■不允许 </w:t>
            </w:r>
          </w:p>
          <w:p w14:paraId="54B7C383">
            <w:pPr>
              <w:keepNext w:val="0"/>
              <w:keepLines w:val="0"/>
              <w:widowControl/>
              <w:suppressLineNumbers w:val="0"/>
              <w:jc w:val="left"/>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□允许</w:t>
            </w:r>
          </w:p>
        </w:tc>
      </w:tr>
      <w:tr w14:paraId="78BF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88A7D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19</w:t>
            </w:r>
          </w:p>
        </w:tc>
        <w:tc>
          <w:tcPr>
            <w:tcW w:w="1839" w:type="dxa"/>
            <w:vAlign w:val="center"/>
          </w:tcPr>
          <w:p w14:paraId="406520F8">
            <w:pPr>
              <w:keepNext w:val="0"/>
              <w:keepLines w:val="0"/>
              <w:widowControl/>
              <w:suppressLineNumbers w:val="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签字和（或）盖章要求</w:t>
            </w:r>
          </w:p>
        </w:tc>
        <w:tc>
          <w:tcPr>
            <w:tcW w:w="6575" w:type="dxa"/>
            <w:vAlign w:val="center"/>
          </w:tcPr>
          <w:p w14:paraId="008D093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法人公章 </w:t>
            </w:r>
          </w:p>
          <w:p w14:paraId="159B59D5">
            <w:pPr>
              <w:keepNext w:val="0"/>
              <w:keepLines w:val="0"/>
              <w:widowControl/>
              <w:suppressLineNumbers w:val="0"/>
              <w:jc w:val="left"/>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企业法定代表人或其委托代理人</w:t>
            </w:r>
            <w:r>
              <w:rPr>
                <w:rFonts w:hint="eastAsia" w:ascii="宋体" w:hAnsi="宋体" w:cs="宋体"/>
                <w:color w:val="000000"/>
                <w:kern w:val="0"/>
                <w:sz w:val="24"/>
                <w:szCs w:val="24"/>
                <w:lang w:val="en-US" w:eastAsia="zh-CN" w:bidi="ar"/>
              </w:rPr>
              <w:t xml:space="preserve"> </w:t>
            </w:r>
          </w:p>
        </w:tc>
      </w:tr>
      <w:tr w14:paraId="2D3D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787EB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20</w:t>
            </w:r>
          </w:p>
        </w:tc>
        <w:tc>
          <w:tcPr>
            <w:tcW w:w="1839" w:type="dxa"/>
            <w:vAlign w:val="center"/>
          </w:tcPr>
          <w:p w14:paraId="60167F3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响应文件形式</w:t>
            </w:r>
          </w:p>
        </w:tc>
        <w:tc>
          <w:tcPr>
            <w:tcW w:w="6575" w:type="dxa"/>
            <w:vAlign w:val="center"/>
          </w:tcPr>
          <w:p w14:paraId="655CC84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电子响应文件包括“电子加密响应文件”，在响应文件编制完成后同时生成。</w:t>
            </w:r>
          </w:p>
          <w:p w14:paraId="31A621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1、“电子加密响应文件”是指通过“政采云电子交易客户端”完成响应文件编制后生成并加密的数据电文形式的响应文件。</w:t>
            </w:r>
          </w:p>
        </w:tc>
      </w:tr>
      <w:tr w14:paraId="1B35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570CC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21</w:t>
            </w:r>
          </w:p>
        </w:tc>
        <w:tc>
          <w:tcPr>
            <w:tcW w:w="1839" w:type="dxa"/>
            <w:vAlign w:val="center"/>
          </w:tcPr>
          <w:p w14:paraId="4A3358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响应文件份数及要求</w:t>
            </w:r>
          </w:p>
        </w:tc>
        <w:tc>
          <w:tcPr>
            <w:tcW w:w="6575" w:type="dxa"/>
            <w:vAlign w:val="center"/>
          </w:tcPr>
          <w:p w14:paraId="7FF138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1、一份电子加密标书（“.jmbs”格式）。</w:t>
            </w:r>
          </w:p>
          <w:p w14:paraId="0597C7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2、每份电子响应文件应包括资格证明文件和商务及技术文件两部分。</w:t>
            </w:r>
          </w:p>
        </w:tc>
      </w:tr>
      <w:tr w14:paraId="0B9D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B93A4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22</w:t>
            </w:r>
          </w:p>
        </w:tc>
        <w:tc>
          <w:tcPr>
            <w:tcW w:w="1839" w:type="dxa"/>
            <w:vAlign w:val="center"/>
          </w:tcPr>
          <w:p w14:paraId="1FB855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响应文件的上传和递交</w:t>
            </w:r>
          </w:p>
        </w:tc>
        <w:tc>
          <w:tcPr>
            <w:tcW w:w="6575" w:type="dxa"/>
            <w:vAlign w:val="center"/>
          </w:tcPr>
          <w:p w14:paraId="6956DD4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1.电子加密响应文件：响应文件制作完成并生成加密标书，在投标截止时间前，供应商需将加密的响应文件上传至政采云平台，</w:t>
            </w:r>
            <w:r>
              <w:rPr>
                <w:rFonts w:hint="eastAsia" w:ascii="宋体" w:hAnsi="宋体" w:eastAsia="宋体" w:cs="宋体"/>
                <w:b w:val="0"/>
                <w:bCs w:val="0"/>
                <w:sz w:val="24"/>
                <w:szCs w:val="24"/>
                <w:highlight w:val="none"/>
                <w:u w:val="single"/>
                <w:vertAlign w:val="baseline"/>
                <w:lang w:val="en-US" w:eastAsia="zh-CN"/>
              </w:rPr>
              <w:t>在开标时间开始后，待采购组织机构发出解密通知后 30 分钟内解密响应文件。</w:t>
            </w:r>
          </w:p>
          <w:p w14:paraId="323B3DC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a.供应商未能在投标截止时间前成功上传电子加密响应文件的投标无效。</w:t>
            </w:r>
          </w:p>
          <w:p w14:paraId="16B98E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b.供应商成功上传电子加密响应文件后，可自行打印响应文件接收回执。</w:t>
            </w:r>
          </w:p>
        </w:tc>
      </w:tr>
      <w:tr w14:paraId="1A05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828" w:type="dxa"/>
            <w:vAlign w:val="center"/>
          </w:tcPr>
          <w:p w14:paraId="6F6495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 xml:space="preserve"> 23</w:t>
            </w:r>
          </w:p>
        </w:tc>
        <w:tc>
          <w:tcPr>
            <w:tcW w:w="1839" w:type="dxa"/>
            <w:vAlign w:val="center"/>
          </w:tcPr>
          <w:p w14:paraId="491603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评标委员会的组建</w:t>
            </w:r>
          </w:p>
        </w:tc>
        <w:tc>
          <w:tcPr>
            <w:tcW w:w="6575" w:type="dxa"/>
            <w:vAlign w:val="center"/>
          </w:tcPr>
          <w:p w14:paraId="3147F19D">
            <w:pPr>
              <w:keepNext w:val="0"/>
              <w:keepLines w:val="0"/>
              <w:widowControl/>
              <w:suppressLineNumbers w:val="0"/>
              <w:spacing w:line="240" w:lineRule="auto"/>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评标委员会依法组建；采购人代表1人，评审专家</w:t>
            </w: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人，共</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人。</w:t>
            </w:r>
          </w:p>
          <w:p w14:paraId="302D7EF6">
            <w:pPr>
              <w:keepNext w:val="0"/>
              <w:keepLines w:val="0"/>
              <w:widowControl/>
              <w:suppressLineNumbers w:val="0"/>
              <w:spacing w:line="240" w:lineRule="auto"/>
              <w:jc w:val="left"/>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评标专家确定方式：专家评委在开标前从政采云专家库中随机抽取。</w:t>
            </w:r>
          </w:p>
        </w:tc>
      </w:tr>
      <w:tr w14:paraId="4896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E704E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24</w:t>
            </w:r>
          </w:p>
        </w:tc>
        <w:tc>
          <w:tcPr>
            <w:tcW w:w="1839" w:type="dxa"/>
            <w:vAlign w:val="center"/>
          </w:tcPr>
          <w:p w14:paraId="46E41A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是否授权评标委员会确定成交候选人</w:t>
            </w:r>
          </w:p>
        </w:tc>
        <w:tc>
          <w:tcPr>
            <w:tcW w:w="6575" w:type="dxa"/>
            <w:vAlign w:val="center"/>
          </w:tcPr>
          <w:p w14:paraId="1035C3BD">
            <w:pPr>
              <w:keepNext w:val="0"/>
              <w:keepLines w:val="0"/>
              <w:widowControl/>
              <w:suppressLineNumbers w:val="0"/>
              <w:spacing w:line="240" w:lineRule="auto"/>
              <w:jc w:val="left"/>
              <w:rPr>
                <w:rFonts w:hint="eastAsia" w:ascii="宋体" w:hAnsi="宋体" w:eastAsia="宋体" w:cs="宋体"/>
                <w:color w:val="000000"/>
                <w:kern w:val="0"/>
                <w:sz w:val="24"/>
                <w:szCs w:val="24"/>
                <w:lang w:val="en-US" w:eastAsia="zh-CN" w:bidi="ar"/>
              </w:rPr>
            </w:pPr>
            <w:r>
              <w:rPr>
                <w:rFonts w:hint="eastAsia" w:ascii="宋体" w:hAnsi="宋体" w:eastAsia="宋体" w:cs="宋体"/>
                <w:b w:val="0"/>
                <w:bCs w:val="0"/>
                <w:sz w:val="24"/>
                <w:szCs w:val="24"/>
                <w:highlight w:val="none"/>
                <w:vertAlign w:val="baseline"/>
                <w:lang w:val="en-US" w:eastAsia="zh-CN"/>
              </w:rPr>
              <w:t>是</w:t>
            </w:r>
            <w:r>
              <w:rPr>
                <w:rFonts w:hint="eastAsia" w:ascii="宋体" w:hAnsi="宋体" w:cs="宋体"/>
                <w:b w:val="0"/>
                <w:bCs w:val="0"/>
                <w:sz w:val="24"/>
                <w:szCs w:val="24"/>
                <w:highlight w:val="none"/>
                <w:vertAlign w:val="baseline"/>
                <w:lang w:val="en-US" w:eastAsia="zh-CN"/>
              </w:rPr>
              <w:t>。</w:t>
            </w:r>
          </w:p>
          <w:p w14:paraId="55E60C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vertAlign w:val="baseline"/>
                <w:lang w:val="en-US" w:eastAsia="zh-CN"/>
              </w:rPr>
            </w:pPr>
          </w:p>
        </w:tc>
      </w:tr>
      <w:tr w14:paraId="396B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BAEBC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 xml:space="preserve"> 25</w:t>
            </w:r>
          </w:p>
        </w:tc>
        <w:tc>
          <w:tcPr>
            <w:tcW w:w="1839" w:type="dxa"/>
            <w:vAlign w:val="center"/>
          </w:tcPr>
          <w:p w14:paraId="6FF28659">
            <w:pPr>
              <w:keepNext w:val="0"/>
              <w:keepLines w:val="0"/>
              <w:widowControl/>
              <w:suppressLineNumbers w:val="0"/>
              <w:spacing w:line="240" w:lineRule="auto"/>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投标截止时间及地点</w:t>
            </w:r>
          </w:p>
        </w:tc>
        <w:tc>
          <w:tcPr>
            <w:tcW w:w="6575" w:type="dxa"/>
            <w:vAlign w:val="center"/>
          </w:tcPr>
          <w:p w14:paraId="52D28292">
            <w:pPr>
              <w:keepNext w:val="0"/>
              <w:keepLines w:val="0"/>
              <w:widowControl/>
              <w:suppressLineNumbers w:val="0"/>
              <w:spacing w:line="240" w:lineRule="auto"/>
              <w:jc w:val="left"/>
            </w:pPr>
            <w:r>
              <w:rPr>
                <w:rFonts w:hint="eastAsia" w:ascii="宋体" w:hAnsi="宋体" w:eastAsia="宋体" w:cs="宋体"/>
                <w:color w:val="000000"/>
                <w:kern w:val="0"/>
                <w:sz w:val="24"/>
                <w:szCs w:val="24"/>
                <w:lang w:val="en-US" w:eastAsia="zh-CN" w:bidi="ar"/>
              </w:rPr>
              <w:t>投标截止时间：202</w:t>
            </w:r>
            <w:r>
              <w:rPr>
                <w:rFonts w:hint="eastAsia" w:ascii="宋体" w:hAnsi="宋体" w:cs="宋体"/>
                <w:color w:val="000000"/>
                <w:kern w:val="0"/>
                <w:sz w:val="24"/>
                <w:szCs w:val="24"/>
                <w:lang w:val="en-US" w:eastAsia="zh-CN" w:bidi="ar"/>
              </w:rPr>
              <w:t>6</w:t>
            </w:r>
            <w:r>
              <w:rPr>
                <w:rFonts w:hint="eastAsia" w:ascii="宋体" w:hAnsi="宋体" w:eastAsia="宋体" w:cs="宋体"/>
                <w:color w:val="000000"/>
                <w:kern w:val="0"/>
                <w:sz w:val="24"/>
                <w:szCs w:val="24"/>
                <w:lang w:val="en-US" w:eastAsia="zh-CN" w:bidi="ar"/>
              </w:rPr>
              <w:t>年</w:t>
            </w:r>
            <w:r>
              <w:rPr>
                <w:rFonts w:hint="eastAsia" w:ascii="宋体" w:hAnsi="宋体" w:cs="宋体"/>
                <w:color w:val="000000"/>
                <w:kern w:val="0"/>
                <w:sz w:val="24"/>
                <w:szCs w:val="24"/>
                <w:lang w:val="en-US" w:eastAsia="zh-CN" w:bidi="ar"/>
              </w:rPr>
              <w:t>11</w:t>
            </w:r>
            <w:r>
              <w:rPr>
                <w:rFonts w:hint="eastAsia" w:ascii="宋体" w:hAnsi="宋体" w:eastAsia="宋体" w:cs="宋体"/>
                <w:color w:val="000000"/>
                <w:kern w:val="0"/>
                <w:sz w:val="24"/>
                <w:szCs w:val="24"/>
                <w:lang w:val="en-US" w:eastAsia="zh-CN" w:bidi="ar"/>
              </w:rPr>
              <w:t>月</w:t>
            </w:r>
            <w:r>
              <w:rPr>
                <w:rFonts w:hint="eastAsia" w:ascii="宋体" w:hAnsi="宋体" w:cs="宋体"/>
                <w:color w:val="000000"/>
                <w:kern w:val="0"/>
                <w:sz w:val="24"/>
                <w:szCs w:val="24"/>
                <w:lang w:val="en-US" w:eastAsia="zh-CN" w:bidi="ar"/>
              </w:rPr>
              <w:t>17</w:t>
            </w:r>
            <w:r>
              <w:rPr>
                <w:rFonts w:hint="eastAsia" w:ascii="宋体" w:hAnsi="宋体" w:eastAsia="宋体" w:cs="宋体"/>
                <w:color w:val="000000"/>
                <w:kern w:val="0"/>
                <w:sz w:val="24"/>
                <w:szCs w:val="24"/>
                <w:lang w:val="en-US" w:eastAsia="zh-CN" w:bidi="ar"/>
              </w:rPr>
              <w:t xml:space="preserve">日 </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 xml:space="preserve">时 </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分</w:t>
            </w:r>
            <w:r>
              <w:rPr>
                <w:rFonts w:hint="eastAsia" w:ascii="宋体" w:hAnsi="宋体" w:eastAsia="宋体" w:cs="宋体"/>
                <w:color w:val="000000"/>
                <w:kern w:val="0"/>
                <w:sz w:val="24"/>
                <w:szCs w:val="24"/>
                <w:lang w:val="en-US" w:eastAsia="zh-CN" w:bidi="ar"/>
              </w:rPr>
              <w:t xml:space="preserve">（北京时间） </w:t>
            </w:r>
          </w:p>
          <w:p w14:paraId="0313DDA2">
            <w:pPr>
              <w:pStyle w:val="25"/>
              <w:keepNext w:val="0"/>
              <w:keepLines w:val="0"/>
              <w:pageBreakBefore w:val="0"/>
              <w:widowControl/>
              <w:numPr>
                <w:ilvl w:val="0"/>
                <w:numId w:val="0"/>
              </w:numPr>
              <w:suppressLineNumbers w:val="0"/>
              <w:kinsoku w:val="0"/>
              <w:wordWrap/>
              <w:overflowPunct w:val="0"/>
              <w:topLinePunct w:val="0"/>
              <w:autoSpaceDE w:val="0"/>
              <w:autoSpaceDN w:val="0"/>
              <w:bidi w:val="0"/>
              <w:adjustRightInd/>
              <w:snapToGrid w:val="0"/>
              <w:spacing w:line="240" w:lineRule="auto"/>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投标地点：</w:t>
            </w:r>
            <w:r>
              <w:rPr>
                <w:rFonts w:hint="eastAsia" w:ascii="宋体" w:hAnsi="宋体" w:eastAsia="宋体" w:cs="宋体"/>
                <w:sz w:val="24"/>
                <w:szCs w:val="24"/>
              </w:rPr>
              <w:t>请登录政采云投标客户端投标</w:t>
            </w:r>
          </w:p>
        </w:tc>
      </w:tr>
      <w:tr w14:paraId="0B3E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350D6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26</w:t>
            </w:r>
          </w:p>
        </w:tc>
        <w:tc>
          <w:tcPr>
            <w:tcW w:w="1839" w:type="dxa"/>
            <w:vAlign w:val="center"/>
          </w:tcPr>
          <w:p w14:paraId="20929C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开标时间</w:t>
            </w:r>
            <w:r>
              <w:rPr>
                <w:rFonts w:hint="eastAsia" w:ascii="宋体" w:hAnsi="宋体" w:cs="宋体"/>
                <w:b w:val="0"/>
                <w:bCs w:val="0"/>
                <w:sz w:val="24"/>
                <w:szCs w:val="24"/>
                <w:highlight w:val="none"/>
                <w:vertAlign w:val="baseline"/>
                <w:lang w:val="en-US" w:eastAsia="zh-CN"/>
              </w:rPr>
              <w:t>及</w:t>
            </w:r>
            <w:r>
              <w:rPr>
                <w:rFonts w:hint="eastAsia" w:ascii="宋体" w:hAnsi="宋体" w:eastAsia="宋体" w:cs="宋体"/>
                <w:b w:val="0"/>
                <w:bCs w:val="0"/>
                <w:sz w:val="24"/>
                <w:szCs w:val="24"/>
                <w:highlight w:val="none"/>
                <w:vertAlign w:val="baseline"/>
                <w:lang w:val="en-US" w:eastAsia="zh-CN"/>
              </w:rPr>
              <w:t>地点</w:t>
            </w:r>
          </w:p>
        </w:tc>
        <w:tc>
          <w:tcPr>
            <w:tcW w:w="6575" w:type="dxa"/>
            <w:vAlign w:val="center"/>
          </w:tcPr>
          <w:p w14:paraId="279C1C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开标时间：</w:t>
            </w:r>
            <w:r>
              <w:rPr>
                <w:rFonts w:hint="eastAsia" w:ascii="宋体" w:hAnsi="宋体" w:cs="宋体"/>
                <w:b w:val="0"/>
                <w:bCs w:val="0"/>
                <w:sz w:val="24"/>
                <w:szCs w:val="24"/>
                <w:highlight w:val="none"/>
                <w:vertAlign w:val="baseline"/>
                <w:lang w:val="en-US" w:eastAsia="zh-CN"/>
              </w:rPr>
              <w:t>同投标截止时间</w:t>
            </w:r>
          </w:p>
          <w:p w14:paraId="0377491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开标地点：</w:t>
            </w:r>
            <w:r>
              <w:rPr>
                <w:rFonts w:hint="eastAsia" w:ascii="宋体" w:hAnsi="宋体" w:eastAsia="宋体" w:cs="宋体"/>
                <w:sz w:val="24"/>
                <w:szCs w:val="24"/>
              </w:rPr>
              <w:t>投标人登录政采云平台https://www.zcygov.cn/，进入“项目采购-开标评标-右边选择对应项目点击“进入项目”进入开标大厅。</w:t>
            </w:r>
          </w:p>
        </w:tc>
      </w:tr>
      <w:tr w14:paraId="4B54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814C0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27</w:t>
            </w:r>
          </w:p>
        </w:tc>
        <w:tc>
          <w:tcPr>
            <w:tcW w:w="1839" w:type="dxa"/>
            <w:vAlign w:val="center"/>
          </w:tcPr>
          <w:p w14:paraId="5DFDA4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成交候选人公示媒介</w:t>
            </w:r>
          </w:p>
        </w:tc>
        <w:tc>
          <w:tcPr>
            <w:tcW w:w="6575" w:type="dxa"/>
            <w:vAlign w:val="center"/>
          </w:tcPr>
          <w:p w14:paraId="5EC4C23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新疆政府采购网、克州公共资源交易网，公示期为一个工作日。</w:t>
            </w:r>
          </w:p>
        </w:tc>
      </w:tr>
      <w:tr w14:paraId="483C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F4D34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28</w:t>
            </w:r>
          </w:p>
        </w:tc>
        <w:tc>
          <w:tcPr>
            <w:tcW w:w="1839" w:type="dxa"/>
            <w:vAlign w:val="center"/>
          </w:tcPr>
          <w:p w14:paraId="61FA8F9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履约保证金</w:t>
            </w:r>
          </w:p>
        </w:tc>
        <w:tc>
          <w:tcPr>
            <w:tcW w:w="6575" w:type="dxa"/>
            <w:vAlign w:val="center"/>
          </w:tcPr>
          <w:p w14:paraId="4453945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4"/>
                <w:szCs w:val="24"/>
                <w:highlight w:val="none"/>
                <w:vertAlign w:val="baseline"/>
                <w:lang w:val="en-US" w:eastAsia="zh-CN"/>
              </w:rPr>
            </w:pPr>
            <w:r>
              <w:rPr>
                <w:rFonts w:hint="eastAsia" w:ascii="宋体" w:hAnsi="宋体" w:eastAsia="宋体" w:cs="宋体"/>
                <w:b w:val="0"/>
                <w:bCs/>
                <w:color w:val="auto"/>
                <w:sz w:val="24"/>
                <w:szCs w:val="24"/>
                <w:highlight w:val="none"/>
                <w:lang w:val="en-US" w:eastAsia="zh-CN"/>
              </w:rPr>
              <w:t>中标人应在领取《中标通知书》后的五个工作日内，办理履约保证金，金额为合同总价的</w:t>
            </w:r>
            <w:r>
              <w:rPr>
                <w:rFonts w:hint="eastAsia" w:ascii="宋体" w:hAnsi="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lang w:val="en-US" w:eastAsia="zh-CN"/>
              </w:rPr>
              <w:t>%，否则招标人可取消中标人的中标资格。</w:t>
            </w:r>
            <w:r>
              <w:rPr>
                <w:rFonts w:hint="eastAsia" w:ascii="宋体" w:hAnsi="宋体" w:eastAsia="宋体" w:cs="宋体"/>
                <w:b w:val="0"/>
                <w:bCs/>
                <w:color w:val="auto"/>
                <w:kern w:val="2"/>
                <w:sz w:val="24"/>
                <w:szCs w:val="24"/>
                <w:highlight w:val="none"/>
                <w:u w:val="none"/>
                <w:lang w:val="en-US" w:eastAsia="zh-CN" w:bidi="ar-SA"/>
              </w:rPr>
              <w:t>（最终以甲乙双方签订合同为准）</w:t>
            </w:r>
          </w:p>
        </w:tc>
      </w:tr>
      <w:tr w14:paraId="4B13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8800C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29</w:t>
            </w:r>
          </w:p>
        </w:tc>
        <w:tc>
          <w:tcPr>
            <w:tcW w:w="1839" w:type="dxa"/>
            <w:vAlign w:val="center"/>
          </w:tcPr>
          <w:p w14:paraId="00C560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磋商文件领取</w:t>
            </w:r>
          </w:p>
        </w:tc>
        <w:tc>
          <w:tcPr>
            <w:tcW w:w="6575" w:type="dxa"/>
            <w:vAlign w:val="center"/>
          </w:tcPr>
          <w:p w14:paraId="5E72BD2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时间：202</w:t>
            </w:r>
            <w:r>
              <w:rPr>
                <w:rFonts w:hint="eastAsia" w:ascii="宋体" w:hAnsi="宋体" w:cs="宋体"/>
                <w:b w:val="0"/>
                <w:bCs w:val="0"/>
                <w:sz w:val="24"/>
                <w:szCs w:val="24"/>
                <w:highlight w:val="none"/>
                <w:vertAlign w:val="baseline"/>
                <w:lang w:val="en-US" w:eastAsia="zh-CN"/>
              </w:rPr>
              <w:t>6</w:t>
            </w:r>
            <w:r>
              <w:rPr>
                <w:rFonts w:hint="eastAsia" w:ascii="宋体" w:hAnsi="宋体" w:eastAsia="宋体" w:cs="宋体"/>
                <w:b w:val="0"/>
                <w:bCs w:val="0"/>
                <w:sz w:val="24"/>
                <w:szCs w:val="24"/>
                <w:highlight w:val="none"/>
                <w:vertAlign w:val="baseline"/>
                <w:lang w:val="en-US" w:eastAsia="zh-CN"/>
              </w:rPr>
              <w:t>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3</w:t>
            </w:r>
            <w:r>
              <w:rPr>
                <w:rFonts w:hint="eastAsia" w:ascii="宋体" w:hAnsi="宋体" w:eastAsia="宋体" w:cs="宋体"/>
                <w:b w:val="0"/>
                <w:bCs w:val="0"/>
                <w:sz w:val="24"/>
                <w:szCs w:val="24"/>
                <w:highlight w:val="none"/>
                <w:vertAlign w:val="baseline"/>
                <w:lang w:val="en-US" w:eastAsia="zh-CN"/>
              </w:rPr>
              <w:t>日至 202</w:t>
            </w:r>
            <w:r>
              <w:rPr>
                <w:rFonts w:hint="eastAsia" w:ascii="宋体" w:hAnsi="宋体" w:cs="宋体"/>
                <w:b w:val="0"/>
                <w:bCs w:val="0"/>
                <w:sz w:val="24"/>
                <w:szCs w:val="24"/>
                <w:highlight w:val="none"/>
                <w:vertAlign w:val="baseline"/>
                <w:lang w:val="en-US" w:eastAsia="zh-CN"/>
              </w:rPr>
              <w:t>6</w:t>
            </w:r>
            <w:r>
              <w:rPr>
                <w:rFonts w:hint="eastAsia" w:ascii="宋体" w:hAnsi="宋体" w:eastAsia="宋体" w:cs="宋体"/>
                <w:b w:val="0"/>
                <w:bCs w:val="0"/>
                <w:sz w:val="24"/>
                <w:szCs w:val="24"/>
                <w:highlight w:val="none"/>
                <w:vertAlign w:val="baseline"/>
                <w:lang w:val="en-US" w:eastAsia="zh-CN"/>
              </w:rPr>
              <w:t>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 xml:space="preserve">日，每天上午 10:00 至 14:00，下午 16:00 至 </w:t>
            </w:r>
            <w:r>
              <w:rPr>
                <w:rFonts w:hint="eastAsia" w:ascii="宋体" w:hAnsi="宋体" w:cs="宋体"/>
                <w:b w:val="0"/>
                <w:bCs w:val="0"/>
                <w:sz w:val="24"/>
                <w:szCs w:val="24"/>
                <w:highlight w:val="none"/>
                <w:vertAlign w:val="baseline"/>
                <w:lang w:val="en-US" w:eastAsia="zh-CN"/>
              </w:rPr>
              <w:t>20</w:t>
            </w:r>
            <w:r>
              <w:rPr>
                <w:rFonts w:hint="eastAsia" w:ascii="宋体" w:hAnsi="宋体" w:eastAsia="宋体" w:cs="宋体"/>
                <w:b w:val="0"/>
                <w:bCs w:val="0"/>
                <w:sz w:val="24"/>
                <w:szCs w:val="24"/>
                <w:highlight w:val="none"/>
                <w:vertAlign w:val="baseline"/>
                <w:lang w:val="en-US" w:eastAsia="zh-CN"/>
              </w:rPr>
              <w:t>：</w:t>
            </w:r>
            <w:r>
              <w:rPr>
                <w:rFonts w:hint="eastAsia" w:ascii="宋体" w:hAnsi="宋体" w:cs="宋体"/>
                <w:b w:val="0"/>
                <w:bCs w:val="0"/>
                <w:sz w:val="24"/>
                <w:szCs w:val="24"/>
                <w:highlight w:val="none"/>
                <w:vertAlign w:val="baseline"/>
                <w:lang w:val="en-US" w:eastAsia="zh-CN"/>
              </w:rPr>
              <w:t>00</w:t>
            </w:r>
            <w:r>
              <w:rPr>
                <w:rFonts w:hint="eastAsia" w:ascii="宋体" w:hAnsi="宋体" w:eastAsia="宋体" w:cs="宋体"/>
                <w:b w:val="0"/>
                <w:bCs w:val="0"/>
                <w:sz w:val="24"/>
                <w:szCs w:val="24"/>
                <w:highlight w:val="none"/>
                <w:vertAlign w:val="baseline"/>
                <w:lang w:val="en-US" w:eastAsia="zh-CN"/>
              </w:rPr>
              <w:t>（北京时间，节假日除外）</w:t>
            </w:r>
          </w:p>
          <w:p w14:paraId="4B5F417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地点：供应商登陆政采云平台 http://www.zcygov.cn/，在线申请获取磋商文件（登录政府采购云平台 → 项目采购 → 获取磋商文件 ，如有操作性问题，可与政采云在线客服进行咨询，咨询电话：95763）。</w:t>
            </w:r>
            <w:r>
              <w:rPr>
                <w:rFonts w:hint="eastAsia" w:ascii="宋体" w:hAnsi="宋体" w:cs="宋体"/>
                <w:b w:val="0"/>
                <w:bCs w:val="0"/>
                <w:sz w:val="24"/>
                <w:szCs w:val="24"/>
                <w:highlight w:val="none"/>
                <w:vertAlign w:val="baseline"/>
                <w:lang w:val="en-US" w:eastAsia="zh-CN"/>
              </w:rPr>
              <w:t xml:space="preserve"> </w:t>
            </w:r>
          </w:p>
          <w:p w14:paraId="46BC473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方式：（1）供应商登录政采云平台 https://www.zcygov.cn/在线申请获取磋商文件（进入“项目采购”应用，在获取磋商文件菜单中选择项目，申请获取磋商文件） 。</w:t>
            </w:r>
          </w:p>
          <w:p w14:paraId="43FCB07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（2）供应商获取磋商文件前应注册成为政府采购云平台正式供应商。</w:t>
            </w:r>
          </w:p>
        </w:tc>
      </w:tr>
      <w:tr w14:paraId="189C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5ED13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szCs w:val="24"/>
                <w:highlight w:val="none"/>
                <w:vertAlign w:val="baseline"/>
                <w:lang w:val="en-US" w:eastAsia="zh-CN"/>
              </w:rPr>
            </w:pPr>
          </w:p>
        </w:tc>
        <w:tc>
          <w:tcPr>
            <w:tcW w:w="1839" w:type="dxa"/>
            <w:vAlign w:val="center"/>
          </w:tcPr>
          <w:p w14:paraId="4ED2BA7A">
            <w:pPr>
              <w:snapToGrid w:val="0"/>
              <w:spacing w:line="240" w:lineRule="auto"/>
              <w:jc w:val="left"/>
              <w:rPr>
                <w:rFonts w:hint="eastAsia" w:ascii="宋体" w:hAnsi="宋体" w:eastAsia="宋体" w:cs="宋体"/>
                <w:b w:val="0"/>
                <w:bCs w:val="0"/>
                <w:sz w:val="24"/>
                <w:szCs w:val="24"/>
                <w:highlight w:val="none"/>
                <w:vertAlign w:val="baseline"/>
                <w:lang w:val="en-US" w:eastAsia="zh-CN"/>
              </w:rPr>
            </w:pPr>
            <w:r>
              <w:rPr>
                <w:rFonts w:hint="eastAsia" w:ascii="宋体"/>
                <w:color w:val="auto"/>
                <w:sz w:val="24"/>
                <w:szCs w:val="24"/>
                <w:highlight w:val="none"/>
              </w:rPr>
              <w:t>招标代理费</w:t>
            </w:r>
          </w:p>
        </w:tc>
        <w:tc>
          <w:tcPr>
            <w:tcW w:w="6575" w:type="dxa"/>
            <w:vAlign w:val="center"/>
          </w:tcPr>
          <w:p w14:paraId="49705BE6">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kern w:val="2"/>
                <w:sz w:val="24"/>
                <w:szCs w:val="24"/>
                <w:highlight w:val="none"/>
                <w:lang w:val="en-US" w:eastAsia="zh-CN" w:bidi="ar-SA"/>
              </w:rPr>
              <w:t>本项目按照采购人与招标代理机构协商双方约定招标代理服务费为:</w:t>
            </w:r>
            <w:r>
              <w:rPr>
                <w:rFonts w:hint="eastAsia" w:cs="宋体"/>
                <w:kern w:val="2"/>
                <w:sz w:val="24"/>
                <w:szCs w:val="24"/>
                <w:highlight w:val="none"/>
                <w:lang w:val="en-US" w:eastAsia="zh-CN" w:bidi="ar-SA"/>
              </w:rPr>
              <w:t>9000</w:t>
            </w:r>
            <w:r>
              <w:rPr>
                <w:rFonts w:hint="eastAsia" w:ascii="宋体" w:hAnsi="宋体" w:eastAsia="宋体" w:cs="宋体"/>
                <w:kern w:val="2"/>
                <w:sz w:val="24"/>
                <w:szCs w:val="24"/>
                <w:highlight w:val="none"/>
                <w:lang w:val="en-US" w:eastAsia="zh-CN" w:bidi="ar-SA"/>
              </w:rPr>
              <w:t>元，由成交供应商支付。  </w:t>
            </w:r>
          </w:p>
        </w:tc>
      </w:tr>
      <w:tr w14:paraId="7624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restart"/>
            <w:vAlign w:val="center"/>
          </w:tcPr>
          <w:p w14:paraId="6EAE86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30</w:t>
            </w:r>
          </w:p>
        </w:tc>
        <w:tc>
          <w:tcPr>
            <w:tcW w:w="1839" w:type="dxa"/>
            <w:vMerge w:val="restart"/>
            <w:vAlign w:val="center"/>
          </w:tcPr>
          <w:p w14:paraId="32A7622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重要说明</w:t>
            </w:r>
          </w:p>
        </w:tc>
        <w:tc>
          <w:tcPr>
            <w:tcW w:w="6575" w:type="dxa"/>
            <w:vAlign w:val="center"/>
          </w:tcPr>
          <w:p w14:paraId="2B6E367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1.本项目采用全流程不见面电子开评标，投标供应商需要使用CA加密设备，供应商可通过新疆数字证书认证中心官网（https://www.xjca.com.cn/）或下载“新疆政务通”APP自行进行申领。</w:t>
            </w:r>
          </w:p>
          <w:p w14:paraId="735C45C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2.本项目实行网上投标，采用加密电子响应文件(供应商须使用CA加密设备通过政采云电子投标客户端制作响应文件)。若供应商参与投标，自行承担投标一切费用。</w:t>
            </w:r>
          </w:p>
          <w:p w14:paraId="30F293B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7B20D6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09DAF4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5.供应商在开标时须使用制作加密电子响应文件所使用的CA锁及电脑，电脑须提前配置好浏览器（建议使用谷歌浏览器），以便开标时解锁。</w:t>
            </w:r>
          </w:p>
          <w:p w14:paraId="1BD23A3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2B32B8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7.为了保证开评标顺利进行，政采云线上开标功能完全实现，供应商开标所使用的电脑设备须具有视频及语音功能。</w:t>
            </w:r>
          </w:p>
        </w:tc>
      </w:tr>
      <w:tr w14:paraId="4CD5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61D5B82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b w:val="0"/>
                <w:bCs w:val="0"/>
                <w:sz w:val="24"/>
                <w:szCs w:val="24"/>
                <w:highlight w:val="none"/>
                <w:vertAlign w:val="baseline"/>
                <w:lang w:val="en-US" w:eastAsia="zh-CN"/>
              </w:rPr>
            </w:pPr>
          </w:p>
        </w:tc>
        <w:tc>
          <w:tcPr>
            <w:tcW w:w="1839" w:type="dxa"/>
            <w:vMerge w:val="continue"/>
            <w:vAlign w:val="center"/>
          </w:tcPr>
          <w:p w14:paraId="0E3E5CC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p>
        </w:tc>
        <w:tc>
          <w:tcPr>
            <w:tcW w:w="6575" w:type="dxa"/>
            <w:vAlign w:val="center"/>
          </w:tcPr>
          <w:p w14:paraId="472CCEE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1、电子招投标情况说明：</w:t>
            </w:r>
          </w:p>
          <w:p w14:paraId="3638E4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（1）电子招投标：本项目以数据电文形式，依托“政府采购云平台（www.zcygov.cn）”进行招投标活动。</w:t>
            </w:r>
          </w:p>
          <w:p w14:paraId="65A5010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6185CDB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（3）响应文件的制作：在“政采云电子交易客户端”中完成“填写基本信息”、“导入响应文件”、“标书关联”、“标书检查”、“电子签名”、“生成电子标书”等操作。</w:t>
            </w:r>
          </w:p>
          <w:p w14:paraId="3FF0A63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（4）响应文件的传输递交：供应商在投标截止时间前将加密的响应文件上传至政府采购云平台。</w:t>
            </w:r>
          </w:p>
          <w:p w14:paraId="577923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（5）响应文件的解密：供应商按照平台提示和磋商文件的规定在30分钟内完成在线解密。</w:t>
            </w:r>
          </w:p>
          <w:p w14:paraId="6FE5538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（6）具体操作指南：详见政采云平台“服务中心-帮助文档-项目采购-操作流程-电子招投标-政府采购项目电子交易管理操作指南-供应商”。</w:t>
            </w:r>
          </w:p>
          <w:p w14:paraId="55D3B25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（7）供应商在进行上述操作时，如遇技术问题可登录政采云（https://www.zcygov.cn/），点击右侧咨询小采，获取采小蜜智能服务管家帮助，或拨打政采云服务热线 95763 获取热线服务帮助。</w:t>
            </w:r>
          </w:p>
          <w:p w14:paraId="24624C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温馨提醒：供应商应提前上传，以便在上传时遇到技术问题，有充足的时间请教平台的技术人员。</w:t>
            </w:r>
          </w:p>
          <w:p w14:paraId="28352FA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供应商认为磋商文件使自己的权益受到损害的，可以自收到磋商文件之日（磋商文件公告期限届满之前收到磋商文件的，以完成获取磋商文件申请后下载磋商文件的时间为准）或者磋商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中国政府采购网下载专区下载。未按规定获取磋商文件或逾期提出的不予受理、答复。</w:t>
            </w:r>
          </w:p>
        </w:tc>
      </w:tr>
      <w:tr w14:paraId="7807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restart"/>
            <w:vAlign w:val="center"/>
          </w:tcPr>
          <w:p w14:paraId="4BF9C7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31</w:t>
            </w:r>
          </w:p>
        </w:tc>
        <w:tc>
          <w:tcPr>
            <w:tcW w:w="1839" w:type="dxa"/>
            <w:vMerge w:val="restart"/>
            <w:vAlign w:val="center"/>
          </w:tcPr>
          <w:p w14:paraId="04749D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中小微企业政策文件</w:t>
            </w:r>
          </w:p>
        </w:tc>
        <w:tc>
          <w:tcPr>
            <w:tcW w:w="6575" w:type="dxa"/>
            <w:vAlign w:val="center"/>
          </w:tcPr>
          <w:p w14:paraId="1DA1460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（1）根据财政部、工业和信息化部关于印发《政府采购促进中小企业发展管理办法》的通知（财库[2020]46 号）和关于进一步加大政府采购支持中小企业力度的通知-财库[2022]19 号，供应商提供的服务属于《工业和信息化部、国家统计局、国家发展和改革委员会、财政部关于印发中小企业划型标准规定的通知》（工信部联企业[2011]300 号）中规定的小型、微型企业标准的，按磋商文件格式提供《中小企业声明函（工程、</w:t>
            </w:r>
            <w:r>
              <w:rPr>
                <w:rFonts w:hint="eastAsia" w:ascii="宋体" w:hAnsi="宋体" w:cs="宋体"/>
                <w:b w:val="0"/>
                <w:bCs w:val="0"/>
                <w:sz w:val="24"/>
                <w:szCs w:val="24"/>
                <w:highlight w:val="none"/>
                <w:vertAlign w:val="baseline"/>
                <w:lang w:val="en-US" w:eastAsia="zh-CN"/>
              </w:rPr>
              <w:t>服务</w:t>
            </w:r>
            <w:r>
              <w:rPr>
                <w:rFonts w:hint="eastAsia" w:ascii="宋体" w:hAnsi="宋体" w:eastAsia="宋体" w:cs="宋体"/>
                <w:b w:val="0"/>
                <w:bCs w:val="0"/>
                <w:sz w:val="24"/>
                <w:szCs w:val="24"/>
                <w:highlight w:val="none"/>
                <w:vertAlign w:val="baseline"/>
                <w:lang w:val="en-US" w:eastAsia="zh-CN"/>
              </w:rPr>
              <w:t>）》。</w:t>
            </w:r>
          </w:p>
        </w:tc>
      </w:tr>
      <w:tr w14:paraId="730D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66F4CC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tc>
        <w:tc>
          <w:tcPr>
            <w:tcW w:w="1839" w:type="dxa"/>
            <w:vMerge w:val="continue"/>
            <w:vAlign w:val="center"/>
          </w:tcPr>
          <w:p w14:paraId="64C282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6575" w:type="dxa"/>
            <w:vAlign w:val="center"/>
          </w:tcPr>
          <w:p w14:paraId="022CB0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（2）根据财政部、司令部《关于政府采购支持监狱企业发展有关问题》的通知财库[2014]68 号，监狱企业参加本项目投标时，应当提供由省级以上监狱管理局、戒毒管理局（新疆生产建设兵团）出具的属于监狱企业的证明文件。监狱企业视同小型、微型企业。</w:t>
            </w:r>
          </w:p>
        </w:tc>
      </w:tr>
      <w:tr w14:paraId="06E3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2AC9D1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tc>
        <w:tc>
          <w:tcPr>
            <w:tcW w:w="1839" w:type="dxa"/>
            <w:vMerge w:val="continue"/>
            <w:vAlign w:val="center"/>
          </w:tcPr>
          <w:p w14:paraId="3951915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6575" w:type="dxa"/>
            <w:vAlign w:val="center"/>
          </w:tcPr>
          <w:p w14:paraId="6707A2A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（3）根据财政部、民政部、中国残疾人联合会《关于促进残疾人就业政府采购政策的通知》（财库[2017]141 号），在政府采购活动中，残疾人福利性单位视同小型、微型企业。供应商属于残疾人福利性单位的，按照磋商文件格式提供残疾人福利性单位声明函。</w:t>
            </w:r>
          </w:p>
          <w:p w14:paraId="707D351C">
            <w:pPr>
              <w:pStyle w:val="37"/>
              <w:spacing w:line="240" w:lineRule="auto"/>
              <w:rPr>
                <w:rFonts w:hint="eastAsia"/>
                <w:lang w:val="en-US" w:eastAsia="zh-CN"/>
              </w:rPr>
            </w:pPr>
            <w:r>
              <w:rPr>
                <w:rFonts w:hint="eastAsia" w:ascii="宋体" w:hAnsi="宋体" w:eastAsia="宋体" w:cs="宋体"/>
                <w:b w:val="0"/>
                <w:bCs w:val="0"/>
                <w:sz w:val="24"/>
                <w:szCs w:val="24"/>
                <w:highlight w:val="none"/>
                <w:vertAlign w:val="baseline"/>
                <w:lang w:val="en-US" w:eastAsia="zh-CN"/>
              </w:rPr>
              <w:t>（注：如属于上述企业需按采购文件要求提供相关资料）。</w:t>
            </w:r>
          </w:p>
        </w:tc>
      </w:tr>
      <w:tr w14:paraId="246A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828" w:type="dxa"/>
            <w:vMerge w:val="restart"/>
            <w:vAlign w:val="center"/>
          </w:tcPr>
          <w:p w14:paraId="7CB114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32</w:t>
            </w:r>
          </w:p>
        </w:tc>
        <w:tc>
          <w:tcPr>
            <w:tcW w:w="1839" w:type="dxa"/>
            <w:vMerge w:val="restart"/>
            <w:vAlign w:val="center"/>
          </w:tcPr>
          <w:p w14:paraId="334BC4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中小微企业政策文件说明</w:t>
            </w:r>
          </w:p>
        </w:tc>
        <w:tc>
          <w:tcPr>
            <w:tcW w:w="6575" w:type="dxa"/>
            <w:vAlign w:val="center"/>
          </w:tcPr>
          <w:p w14:paraId="0B4BC1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（1）本项目所属行业：</w:t>
            </w:r>
            <w:r>
              <w:rPr>
                <w:rFonts w:hint="eastAsia" w:ascii="宋体" w:hAnsi="宋体" w:cs="宋体"/>
                <w:color w:val="auto"/>
                <w:sz w:val="24"/>
                <w:szCs w:val="24"/>
                <w:u w:val="single"/>
                <w:lang w:val="en-US" w:eastAsia="zh-CN"/>
              </w:rPr>
              <w:t>其他未列明行业</w:t>
            </w:r>
            <w:r>
              <w:rPr>
                <w:rFonts w:hint="eastAsia" w:ascii="宋体" w:hAnsi="宋体" w:eastAsia="宋体" w:cs="宋体"/>
                <w:b w:val="0"/>
                <w:bCs/>
                <w:color w:val="auto"/>
                <w:kern w:val="2"/>
                <w:sz w:val="24"/>
                <w:szCs w:val="24"/>
                <w:highlight w:val="none"/>
                <w:u w:val="none"/>
                <w:lang w:val="en-US" w:eastAsia="zh-CN" w:bidi="ar-SA"/>
              </w:rPr>
              <w:t xml:space="preserve"> </w:t>
            </w:r>
          </w:p>
          <w:p w14:paraId="08FBE70B">
            <w:pPr>
              <w:pStyle w:val="41"/>
              <w:spacing w:before="31" w:line="240" w:lineRule="auto"/>
              <w:ind w:right="88"/>
              <w:jc w:val="both"/>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（2）本项目为专门面向中小企业，</w:t>
            </w:r>
            <w:r>
              <w:rPr>
                <w:rFonts w:hint="eastAsia" w:ascii="宋体" w:hAnsi="宋体" w:eastAsia="宋体" w:cs="宋体"/>
                <w:b w:val="0"/>
                <w:bCs w:val="0"/>
                <w:sz w:val="24"/>
                <w:szCs w:val="24"/>
                <w:highlight w:val="none"/>
                <w:vertAlign w:val="baseline"/>
                <w:lang w:val="en-US" w:eastAsia="zh-CN"/>
              </w:rPr>
              <w:t>本项目为专门面向中小企业采购项目，（小微、小型、微型） 的企业采购，不再对小微企业的价格进行扣除评审。</w:t>
            </w:r>
          </w:p>
        </w:tc>
      </w:tr>
      <w:tr w14:paraId="1EC2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828" w:type="dxa"/>
            <w:vMerge w:val="continue"/>
            <w:vAlign w:val="center"/>
          </w:tcPr>
          <w:p w14:paraId="40C2DE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szCs w:val="24"/>
                <w:highlight w:val="none"/>
                <w:vertAlign w:val="baseline"/>
                <w:lang w:val="en-US" w:eastAsia="zh-CN"/>
              </w:rPr>
            </w:pPr>
          </w:p>
        </w:tc>
        <w:tc>
          <w:tcPr>
            <w:tcW w:w="1839" w:type="dxa"/>
            <w:vMerge w:val="continue"/>
            <w:vAlign w:val="center"/>
          </w:tcPr>
          <w:p w14:paraId="621062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p>
        </w:tc>
        <w:tc>
          <w:tcPr>
            <w:tcW w:w="6575" w:type="dxa"/>
            <w:vAlign w:val="center"/>
          </w:tcPr>
          <w:p w14:paraId="596FA9B7">
            <w:pPr>
              <w:pStyle w:val="41"/>
              <w:spacing w:before="35" w:line="240" w:lineRule="auto"/>
              <w:ind w:left="111" w:right="101" w:firstLine="2"/>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一、根据《中华人民共和国中小企业促进法》和《国务院关于进一步促进中小企业发展的若干意见》(国发[2009]36 号)，制定本规定。</w:t>
            </w:r>
          </w:p>
          <w:p w14:paraId="511847EE">
            <w:pPr>
              <w:pStyle w:val="41"/>
              <w:spacing w:before="25" w:line="240" w:lineRule="auto"/>
              <w:ind w:left="114" w:right="16"/>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二、中小企业划分为中型、小型、微型三种类型， 具体标准根据企业从业人员、营业收入、资产总额等指标， 结合行业特点制定。</w:t>
            </w:r>
          </w:p>
          <w:p w14:paraId="3BC9FD4E">
            <w:pPr>
              <w:pStyle w:val="41"/>
              <w:spacing w:before="26" w:line="240" w:lineRule="auto"/>
              <w:ind w:left="110"/>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三、各行业划型标准为：</w:t>
            </w:r>
          </w:p>
          <w:p w14:paraId="108ED36B">
            <w:pPr>
              <w:pStyle w:val="41"/>
              <w:spacing w:before="27" w:line="240" w:lineRule="auto"/>
              <w:ind w:left="109" w:right="101" w:firstLine="7"/>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（一）农、林、牧、渔业。营业收入 20000 万元以下的为中小微型企业。其中， 营业收入 500 万元及以上的为中型企业，营业收入 50 万元及以上的为小型企业，营业收入 50 万元以下的为微型企业。</w:t>
            </w:r>
          </w:p>
          <w:p w14:paraId="3436CD1B">
            <w:pPr>
              <w:pStyle w:val="41"/>
              <w:spacing w:before="13" w:line="240" w:lineRule="auto"/>
              <w:ind w:left="113" w:right="101" w:firstLine="3"/>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（二）工业。从业人员 1000 人以下或营业收入 40000 万元以下的为中小微型企业。其中， 从业人员 300 人及以上，且营业收入2000 万元及以上的为中型企业；从业人员 20 人及以上，且营业收入 300 万元及以上的为小型企业；从业人员 20 人以下或营业收入 300 万元以下的为微型企业。</w:t>
            </w:r>
          </w:p>
          <w:p w14:paraId="3CB3150D">
            <w:pPr>
              <w:pStyle w:val="41"/>
              <w:spacing w:before="26" w:line="240" w:lineRule="auto"/>
              <w:ind w:left="116" w:right="10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（三）建筑业。营业收入 80000 万元以下或资产总额 80000 万元以下的为中小微型企业。其中，营业收入 6000 万元及以上，且资产总额 5000 万元及以上的为中型企业；营业收入 300 万元及以上，且资产总额 300 万元及以上的为小型企业；营业收入 300万元以下或资产总额 300 万元以下的为微型企业。</w:t>
            </w:r>
          </w:p>
          <w:p w14:paraId="2694AE25">
            <w:pPr>
              <w:pStyle w:val="41"/>
              <w:spacing w:before="26" w:line="240" w:lineRule="auto"/>
              <w:ind w:left="109" w:right="101" w:firstLine="7"/>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（四）批发业。从业人员 200 人以下或营业收入40000 万元以下的为中小微型企业。其中，从业人员 20 人及以上，且营业收入5000 万元及以上的为中型企业；从业人员 5 人及以上，且营业收入 1000 万元及以上的为小型企业；从业人员 5 人以下或营业收入 1000 万元以下的为微型企业。</w:t>
            </w:r>
          </w:p>
          <w:p w14:paraId="29323565">
            <w:pPr>
              <w:pStyle w:val="41"/>
              <w:spacing w:before="26" w:line="240" w:lineRule="auto"/>
              <w:ind w:left="116" w:right="10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（五）零售业。从业人员 300 人以下或营业收入 20000 万元以下的为中小微型企业。其中，从业人员 50 人及以上，且营业收入 500万元及以上的为中型企业；从业人员 10 人及以上，且营业收入100 万元及以上的为小型企业；从业人员 10 人以下或营业收入100 万元以下的为微型企业。</w:t>
            </w:r>
          </w:p>
          <w:p w14:paraId="732B1182">
            <w:pPr>
              <w:pStyle w:val="41"/>
              <w:spacing w:before="26" w:line="240" w:lineRule="auto"/>
              <w:ind w:left="109" w:right="101" w:firstLine="7"/>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（六）交通运输业。从业人员 1000 人以下或营业收入 30000 万元以下的为中小微型企业。其中， 从业人员 300 人及以上，且营业收入 3000 万元及以上的为中型企业；从业人员 20 人及以上，且营业收入 200 万元及以上的为小型企业；从业人员 20 人以下或营业收入 200 万元以下的为微型企业。</w:t>
            </w:r>
          </w:p>
          <w:p w14:paraId="1886B23E">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（七）仓储业。从业人员 200 人以下或营业收入 30000 万元以下的为中小微型企业。其中， 从业人员 100 人及以上，且营业收入1000 万元及以上的为中型企业；从业人员 20 人及以上，且营业收入 100 万元及以上的为小型企业；从业人员 20 人以下或营业收入 100 万元以下的为微型企业。</w:t>
            </w:r>
          </w:p>
          <w:p w14:paraId="1FA87CD2">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（八）邮政业。从业人员 1000 人以下或营业收入 30000 万元以下的为中小微型企业。其中， 从业人员 300 人及以上，且营业收入 2000 万元及以上的为中型企业；从业人员 20 人及以上，且营业收入 100 万元及以上的为小型企业；从业人员 20 人以下或营业收入 100 万元以下的为微型企业。</w:t>
            </w:r>
          </w:p>
          <w:p w14:paraId="7721C1B3">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（九）住宿业。从业人员 300 人以下或营业收入 10000 万元以下的为中小微型企业。其中， 从业人员 100 人及以上，且营业收入2000 万元及以上的为中型企业；从业人员 10 人及以上，且营业收入 100 万元及以上的为小型企业；从业人员 10 人以下或营业收入 100 万元以下的为微型企业。</w:t>
            </w:r>
          </w:p>
          <w:p w14:paraId="55E93F44">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（十）餐饮业。从业人员 300 人以下或营业收入 10000 万元以下的为中小微型企业。其中， 从业人员 100 人及以上，且营业收入2000 万元及以上的为中型企业；从业人员 10 人及以上，且营业收入 100 万元及以上的为小型企业；从业人员 10 人以下或营业收入 100 万元以下的为微型企业。</w:t>
            </w:r>
          </w:p>
          <w:p w14:paraId="2F522D76">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（十一）信息传输业。从业人员 2000 人以下或营业收入 100000万元以下的为中小微型企业。其中， 从业人员 100 人及以上，且营业收入 1000 万元及以上的为中型企业；从业人员 10 人及以上，且营业收入 100 万元及以上的为小型企业；从业人员 10 人以下或营业收入 100 万元以下的为微型企业。</w:t>
            </w:r>
          </w:p>
          <w:p w14:paraId="50987443">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（十二）软件和信息技术服务业。从业人员 300 人以下或营业收入 10000 万元以下的为中小微型企业。其中， 从业人员 100 人及以上，且营业收入 1000 万元及以上的为中型企业；从业人员 10人及以上，且营业收入 50 万元及以上的为小型企业；从业人员 10人以下或营业收入 50 万元以下的为微型企业。</w:t>
            </w:r>
          </w:p>
          <w:p w14:paraId="153FB2E1">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（十三）房地产开发经营。营业收入 200000 万元以下或资产总额 10000 万元以下的为中小微型企业。其中，营业收入 1000 万元及以上，且资产总额 5000 万元及以上的为中型企业；营业收入 100 万元及以上，且资产总额 2000 万元及以上的为小型企业；营业收入 100 万元以下或资产总额 2000 万元以下的为微型企业。</w:t>
            </w:r>
          </w:p>
          <w:p w14:paraId="76A55024">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（十四）物业管理。从业人员 1000 人以下或营业收入 5000 万元以下的为中小微型企业。其中， 从业人员 300 人及以上，且营业收入 1000 万元及以上的为中型企业；从业人员 100 人及以上，且营业收入 500 万元及以上的为小型企业；从业人员 100 人以下或营业收入 500 万元以下的为微型企业。</w:t>
            </w:r>
          </w:p>
          <w:p w14:paraId="6AB379D7">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（十五）租赁和商务服务业。从业人员 300 人以下或资产总额120000 万元以下的为中小微型企业。其中， 从业人员 100 人及以上，且资产总额 8000 万元及以上的为中型企业；从业人员 10 人及以上，且资产总额 100 万元及以上的为小型企业；从业人员 10人以下或资产总额 100 万元以下的为微型企业。</w:t>
            </w:r>
          </w:p>
          <w:p w14:paraId="601F563A">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（十六）其他未列明行业。从业人员 300 人以下的为中小微型企业。其中，从业人员 100 人及以上的为中型企业；从业人员 10人及以上的为小型企业；从业人员 10 人以下的为微型企业。</w:t>
            </w:r>
          </w:p>
          <w:p w14:paraId="455E5073">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五、企业类型的划分以统计部门的统计数据为依据。</w:t>
            </w:r>
          </w:p>
          <w:p w14:paraId="6094A7D1">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六、本规定适用于在中华人民共和国境内依法设立的各类所有制和各种组织形式的企业。个体工商户和本规定以外的行业， 参照本规定进行划型。</w:t>
            </w:r>
          </w:p>
          <w:p w14:paraId="4BBAEE49">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七、本规定的中型企业标准上限即为大型企业标准的下限， 国家统计部门据此制定大中小微型企业的统计分类。国务院有关部门据此进行相关数据分析，不得制定与本规定不一致的企业划型标准。</w:t>
            </w:r>
          </w:p>
          <w:p w14:paraId="39D38818">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八、本规定由工业和信息化部、国家统计局会同有关部门根据《国民经济行业分类》修订情况和企业发展变化情况适时修订。</w:t>
            </w:r>
          </w:p>
          <w:p w14:paraId="04937218">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九、本规定由工业和信息化部、国家统计局会同有关部门负责解释。</w:t>
            </w:r>
          </w:p>
          <w:p w14:paraId="5EC7B923">
            <w:pPr>
              <w:pStyle w:val="41"/>
              <w:spacing w:before="26" w:line="240" w:lineRule="auto"/>
              <w:ind w:left="117" w:right="101" w:hanging="1"/>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十、本规定自发布之日起执行， 原国家经贸委、原国家计委、财政部和国家统计局 2003 年颁布的《中小企业标准暂行规定》同时废止。</w:t>
            </w:r>
          </w:p>
        </w:tc>
      </w:tr>
      <w:tr w14:paraId="1E46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3"/>
            <w:vAlign w:val="center"/>
          </w:tcPr>
          <w:p w14:paraId="24CABBE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bCs/>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备注</w:t>
            </w:r>
          </w:p>
          <w:p w14:paraId="734F2FB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1、着重提醒各供应商注意，并认真查看磋商文件中的每一个条款及要求，因误读磋商文件而造成的后果，采购人概不负责。</w:t>
            </w:r>
          </w:p>
          <w:p w14:paraId="679859E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2、供应商使用相同IP 地址的，一经发现，相关部门将进一步核实，查实后按串通投标处理。</w:t>
            </w:r>
          </w:p>
          <w:p w14:paraId="004FBFE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3、为保证本项目</w:t>
            </w:r>
            <w:r>
              <w:rPr>
                <w:rFonts w:hint="eastAsia" w:ascii="宋体" w:hAnsi="宋体" w:cs="宋体"/>
                <w:b w:val="0"/>
                <w:bCs w:val="0"/>
                <w:sz w:val="24"/>
                <w:szCs w:val="24"/>
                <w:highlight w:val="none"/>
                <w:vertAlign w:val="baseline"/>
                <w:lang w:val="en-US" w:eastAsia="zh-CN"/>
              </w:rPr>
              <w:t>服务</w:t>
            </w:r>
            <w:r>
              <w:rPr>
                <w:rFonts w:hint="eastAsia" w:ascii="宋体" w:hAnsi="宋体" w:eastAsia="宋体" w:cs="宋体"/>
                <w:b w:val="0"/>
                <w:bCs w:val="0"/>
                <w:sz w:val="24"/>
                <w:szCs w:val="24"/>
                <w:highlight w:val="none"/>
                <w:vertAlign w:val="baseline"/>
                <w:lang w:val="en-US" w:eastAsia="zh-CN"/>
              </w:rPr>
              <w:t>质量</w:t>
            </w:r>
            <w:r>
              <w:rPr>
                <w:rFonts w:hint="eastAsia" w:ascii="宋体" w:hAnsi="宋体" w:cs="宋体"/>
                <w:b w:val="0"/>
                <w:bCs w:val="0"/>
                <w:sz w:val="24"/>
                <w:szCs w:val="24"/>
                <w:highlight w:val="none"/>
                <w:vertAlign w:val="baseline"/>
                <w:lang w:val="en-US" w:eastAsia="zh-CN"/>
              </w:rPr>
              <w:t>，</w:t>
            </w:r>
            <w:r>
              <w:rPr>
                <w:rFonts w:hint="eastAsia" w:ascii="宋体" w:hAnsi="宋体" w:eastAsia="宋体" w:cs="宋体"/>
                <w:b w:val="0"/>
                <w:bCs w:val="0"/>
                <w:sz w:val="24"/>
                <w:szCs w:val="24"/>
                <w:highlight w:val="none"/>
                <w:vertAlign w:val="baseline"/>
                <w:lang w:val="en-US" w:eastAsia="zh-CN"/>
              </w:rPr>
              <w:t>最低报价不作为中标的唯一依据。</w:t>
            </w:r>
          </w:p>
          <w:p w14:paraId="301C1ED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4</w:t>
            </w:r>
            <w:r>
              <w:rPr>
                <w:rFonts w:hint="eastAsia" w:ascii="宋体" w:hAnsi="宋体" w:eastAsia="宋体" w:cs="宋体"/>
                <w:b w:val="0"/>
                <w:bCs w:val="0"/>
                <w:sz w:val="24"/>
                <w:szCs w:val="24"/>
                <w:highlight w:val="none"/>
                <w:vertAlign w:val="baseline"/>
                <w:lang w:val="en-US" w:eastAsia="zh-CN"/>
              </w:rPr>
              <w:t>、其它：</w:t>
            </w:r>
          </w:p>
          <w:p w14:paraId="1209B7C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（1）投标企业严格遵守国家的法律法规及招标纪律，无违法违纪及商业贿赂行为。</w:t>
            </w:r>
          </w:p>
          <w:p w14:paraId="67BC233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（2）不管投标结果如何，供应商均应自行承担投标所需一切费用。</w:t>
            </w:r>
          </w:p>
          <w:p w14:paraId="34B9592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（3）供应商应以书面形式保证中标后由本公司组织实施，不得以任何理由将项目转包给其他机构。</w:t>
            </w:r>
          </w:p>
          <w:p w14:paraId="4CBC6CF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w:t>
            </w:r>
            <w:r>
              <w:rPr>
                <w:rFonts w:hint="eastAsia" w:ascii="宋体" w:hAnsi="宋体" w:cs="宋体"/>
                <w:b w:val="0"/>
                <w:bCs w:val="0"/>
                <w:sz w:val="24"/>
                <w:szCs w:val="24"/>
                <w:highlight w:val="none"/>
                <w:vertAlign w:val="baseline"/>
                <w:lang w:val="en-US" w:eastAsia="zh-CN"/>
              </w:rPr>
              <w:t>中标（成交）供应商</w:t>
            </w:r>
            <w:r>
              <w:rPr>
                <w:rFonts w:hint="eastAsia" w:ascii="宋体" w:hAnsi="宋体" w:eastAsia="宋体" w:cs="宋体"/>
                <w:b w:val="0"/>
                <w:bCs w:val="0"/>
                <w:sz w:val="24"/>
                <w:szCs w:val="24"/>
                <w:highlight w:val="none"/>
                <w:vertAlign w:val="baseline"/>
                <w:lang w:val="en-US" w:eastAsia="zh-CN"/>
              </w:rPr>
              <w:t>务必按照磋商文件规定的服务时间提供服务</w:t>
            </w:r>
            <w:r>
              <w:rPr>
                <w:rFonts w:hint="eastAsia"/>
                <w:b w:val="0"/>
                <w:bCs w:val="0"/>
                <w:color w:val="auto"/>
                <w:sz w:val="24"/>
                <w:szCs w:val="24"/>
                <w:highlight w:val="none"/>
                <w:lang w:val="en-US" w:eastAsia="zh-CN"/>
              </w:rPr>
              <w:t>，</w:t>
            </w:r>
            <w:r>
              <w:rPr>
                <w:rFonts w:hint="eastAsia" w:ascii="宋体" w:hAnsi="宋体" w:eastAsia="宋体" w:cs="宋体"/>
                <w:b w:val="0"/>
                <w:bCs w:val="0"/>
                <w:sz w:val="24"/>
                <w:szCs w:val="24"/>
                <w:highlight w:val="none"/>
                <w:vertAlign w:val="baseline"/>
                <w:lang w:val="en-US" w:eastAsia="zh-CN"/>
              </w:rPr>
              <w:t>如出现不能按时提供服务的，采购人有权取消中标资格。</w:t>
            </w:r>
          </w:p>
          <w:p w14:paraId="538A12B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（5）磋商文件中如出现前后不一致</w:t>
            </w:r>
            <w:r>
              <w:rPr>
                <w:rFonts w:hint="eastAsia" w:ascii="宋体" w:hAnsi="宋体" w:cs="宋体"/>
                <w:b w:val="0"/>
                <w:bCs w:val="0"/>
                <w:sz w:val="24"/>
                <w:szCs w:val="24"/>
                <w:highlight w:val="none"/>
                <w:vertAlign w:val="baseline"/>
                <w:lang w:val="en-US" w:eastAsia="zh-CN"/>
              </w:rPr>
              <w:t>的</w:t>
            </w:r>
            <w:r>
              <w:rPr>
                <w:rFonts w:hint="eastAsia" w:ascii="宋体" w:hAnsi="宋体" w:eastAsia="宋体" w:cs="宋体"/>
                <w:b w:val="0"/>
                <w:bCs w:val="0"/>
                <w:sz w:val="24"/>
                <w:szCs w:val="24"/>
                <w:highlight w:val="none"/>
                <w:vertAlign w:val="baseline"/>
                <w:lang w:val="en-US" w:eastAsia="zh-CN"/>
              </w:rPr>
              <w:t>，均以前附表内容为准。</w:t>
            </w:r>
          </w:p>
        </w:tc>
      </w:tr>
    </w:tbl>
    <w:p w14:paraId="221A9872">
      <w:pPr>
        <w:pStyle w:val="2"/>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highlight w:val="none"/>
          <w:lang w:val="en-US" w:eastAsia="zh-CN"/>
        </w:rPr>
      </w:pPr>
    </w:p>
    <w:p w14:paraId="20A95A25">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8"/>
          <w:szCs w:val="28"/>
          <w:highlight w:val="none"/>
          <w:lang w:val="en-US" w:eastAsia="zh-CN"/>
        </w:rPr>
      </w:pPr>
      <w:r>
        <w:rPr>
          <w:rFonts w:hint="default" w:ascii="宋体" w:hAnsi="宋体" w:eastAsia="宋体" w:cs="宋体"/>
          <w:b/>
          <w:bCs/>
          <w:sz w:val="28"/>
          <w:szCs w:val="28"/>
          <w:highlight w:val="none"/>
          <w:lang w:val="en-US" w:eastAsia="zh-CN"/>
        </w:rPr>
        <w:t>二、</w:t>
      </w:r>
      <w:r>
        <w:rPr>
          <w:rFonts w:hint="eastAsia" w:ascii="宋体" w:hAnsi="宋体" w:cs="宋体"/>
          <w:b/>
          <w:bCs/>
          <w:sz w:val="28"/>
          <w:szCs w:val="28"/>
          <w:highlight w:val="none"/>
          <w:lang w:val="en-US" w:eastAsia="zh-CN"/>
        </w:rPr>
        <w:t>投标人</w:t>
      </w:r>
      <w:r>
        <w:rPr>
          <w:rFonts w:hint="default" w:ascii="宋体" w:hAnsi="宋体" w:eastAsia="宋体" w:cs="宋体"/>
          <w:b/>
          <w:bCs/>
          <w:sz w:val="28"/>
          <w:szCs w:val="28"/>
          <w:highlight w:val="none"/>
          <w:lang w:val="en-US" w:eastAsia="zh-CN"/>
        </w:rPr>
        <w:t>须知</w:t>
      </w:r>
    </w:p>
    <w:p w14:paraId="7CB84C9F">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（一）总  则</w:t>
      </w:r>
    </w:p>
    <w:p w14:paraId="6BC1763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1.项目概况</w:t>
      </w:r>
    </w:p>
    <w:p w14:paraId="34F7A45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 本次采购项目名称：见投标人须知前附表。</w:t>
      </w:r>
    </w:p>
    <w:p w14:paraId="77BE64E3">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项目编号：见投标人须知前附表。 </w:t>
      </w:r>
    </w:p>
    <w:p w14:paraId="2BC369A5">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人：见投标人须知前附表。</w:t>
      </w:r>
    </w:p>
    <w:p w14:paraId="3F1672EE">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合同履约期限</w:t>
      </w:r>
      <w:r>
        <w:rPr>
          <w:rFonts w:hint="default" w:ascii="宋体" w:hAnsi="宋体" w:eastAsia="宋体" w:cs="宋体"/>
          <w:b w:val="0"/>
          <w:bCs w:val="0"/>
          <w:sz w:val="24"/>
          <w:szCs w:val="24"/>
          <w:highlight w:val="none"/>
          <w:lang w:val="en-US" w:eastAsia="zh-CN"/>
        </w:rPr>
        <w:t xml:space="preserve">：见投标人须知前附表。 </w:t>
      </w:r>
    </w:p>
    <w:p w14:paraId="0D89B46A">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服务地点</w:t>
      </w:r>
      <w:r>
        <w:rPr>
          <w:rFonts w:hint="default" w:ascii="宋体" w:hAnsi="宋体" w:eastAsia="宋体" w:cs="宋体"/>
          <w:b w:val="0"/>
          <w:bCs w:val="0"/>
          <w:sz w:val="24"/>
          <w:szCs w:val="24"/>
          <w:highlight w:val="none"/>
          <w:lang w:val="en-US" w:eastAsia="zh-CN"/>
        </w:rPr>
        <w:t>：见投标人须知前附表。</w:t>
      </w:r>
    </w:p>
    <w:p w14:paraId="49845FF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w:t>
      </w:r>
      <w:r>
        <w:rPr>
          <w:rFonts w:hint="eastAsia" w:ascii="宋体" w:hAnsi="宋体" w:eastAsia="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人及联系人:见投标人须知前附表。</w:t>
      </w:r>
    </w:p>
    <w:p w14:paraId="2408BBB3">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代理机构及联系人:见投标人须知前附表。</w:t>
      </w:r>
    </w:p>
    <w:p w14:paraId="3BE9A64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1.3资金来源：见投标人须知前附表。</w:t>
      </w:r>
    </w:p>
    <w:p w14:paraId="37D549C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1.4本项目预算：见投标人须知前附表。</w:t>
      </w:r>
    </w:p>
    <w:p w14:paraId="3D646CF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1.5本项目</w:t>
      </w:r>
      <w:r>
        <w:rPr>
          <w:rFonts w:hint="eastAsia" w:ascii="宋体" w:hAnsi="宋体" w:eastAsia="宋体" w:cs="宋体"/>
          <w:b w:val="0"/>
          <w:bCs w:val="0"/>
          <w:sz w:val="24"/>
          <w:szCs w:val="24"/>
          <w:highlight w:val="none"/>
          <w:lang w:val="en-US" w:eastAsia="zh-CN"/>
        </w:rPr>
        <w:t>最高限价</w:t>
      </w:r>
      <w:r>
        <w:rPr>
          <w:rFonts w:hint="default" w:ascii="宋体" w:hAnsi="宋体" w:eastAsia="宋体" w:cs="宋体"/>
          <w:b w:val="0"/>
          <w:bCs w:val="0"/>
          <w:sz w:val="24"/>
          <w:szCs w:val="24"/>
          <w:highlight w:val="none"/>
          <w:lang w:val="en-US" w:eastAsia="zh-CN"/>
        </w:rPr>
        <w:t>：见投标人须知前附表。</w:t>
      </w:r>
    </w:p>
    <w:p w14:paraId="7A81846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2.招标范围：</w:t>
      </w:r>
    </w:p>
    <w:p w14:paraId="31F5FF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2.1采购内容：见投标人须知前附表。</w:t>
      </w:r>
    </w:p>
    <w:p w14:paraId="0F0BC59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2.2技术要求：详见</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商务技术要求。</w:t>
      </w:r>
    </w:p>
    <w:p w14:paraId="3032C5B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3.标包划分：</w:t>
      </w:r>
    </w:p>
    <w:p w14:paraId="47AFCBD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3.1本项目划分：</w:t>
      </w:r>
      <w:r>
        <w:rPr>
          <w:rFonts w:hint="default" w:ascii="宋体" w:hAnsi="宋体" w:eastAsia="宋体" w:cs="宋体"/>
          <w:b w:val="0"/>
          <w:bCs w:val="0"/>
          <w:sz w:val="24"/>
          <w:szCs w:val="24"/>
          <w:highlight w:val="none"/>
          <w:u w:val="single"/>
          <w:lang w:val="en-US" w:eastAsia="zh-CN"/>
        </w:rPr>
        <w:t xml:space="preserve">  1  </w:t>
      </w:r>
      <w:r>
        <w:rPr>
          <w:rFonts w:hint="default" w:ascii="宋体" w:hAnsi="宋体" w:eastAsia="宋体" w:cs="宋体"/>
          <w:b w:val="0"/>
          <w:bCs w:val="0"/>
          <w:sz w:val="24"/>
          <w:szCs w:val="24"/>
          <w:highlight w:val="none"/>
          <w:lang w:val="en-US" w:eastAsia="zh-CN"/>
        </w:rPr>
        <w:t>个标包。</w:t>
      </w:r>
    </w:p>
    <w:p w14:paraId="33B95E0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方式：</w:t>
      </w:r>
    </w:p>
    <w:p w14:paraId="2FE2DEE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4.1本项目</w:t>
      </w:r>
      <w:r>
        <w:rPr>
          <w:rFonts w:hint="eastAsia" w:ascii="宋体" w:hAnsi="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方式：见投标人须知前附表。</w:t>
      </w:r>
    </w:p>
    <w:p w14:paraId="35CB33C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5.计价方式：</w:t>
      </w:r>
    </w:p>
    <w:p w14:paraId="5F83CE0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5.1本次招标项目合同采用 </w:t>
      </w:r>
      <w:r>
        <w:rPr>
          <w:rFonts w:hint="default" w:ascii="宋体" w:hAnsi="宋体" w:eastAsia="宋体" w:cs="宋体"/>
          <w:b w:val="0"/>
          <w:bCs w:val="0"/>
          <w:color w:val="auto"/>
          <w:sz w:val="24"/>
          <w:szCs w:val="24"/>
          <w:highlight w:val="none"/>
          <w:u w:val="single"/>
          <w:lang w:val="en-US" w:eastAsia="zh-CN"/>
        </w:rPr>
        <w:t xml:space="preserve">  固定</w:t>
      </w:r>
      <w:r>
        <w:rPr>
          <w:rFonts w:hint="eastAsia" w:ascii="宋体" w:hAnsi="宋体" w:cs="宋体"/>
          <w:b w:val="0"/>
          <w:bCs w:val="0"/>
          <w:color w:val="auto"/>
          <w:sz w:val="24"/>
          <w:szCs w:val="24"/>
          <w:highlight w:val="none"/>
          <w:u w:val="single"/>
          <w:lang w:val="en-US" w:eastAsia="zh-CN"/>
        </w:rPr>
        <w:t>总价</w:t>
      </w:r>
      <w:r>
        <w:rPr>
          <w:rFonts w:hint="eastAsia" w:ascii="宋体" w:hAnsi="宋体" w:eastAsia="宋体" w:cs="宋体"/>
          <w:b w:val="0"/>
          <w:bCs w:val="0"/>
          <w:color w:val="auto"/>
          <w:sz w:val="24"/>
          <w:szCs w:val="24"/>
          <w:highlight w:val="none"/>
          <w:u w:val="single"/>
          <w:lang w:val="en-US" w:eastAsia="zh-CN"/>
        </w:rPr>
        <w:t xml:space="preserve"> </w:t>
      </w:r>
      <w:r>
        <w:rPr>
          <w:rFonts w:hint="default" w:ascii="宋体" w:hAnsi="宋体" w:eastAsia="宋体" w:cs="宋体"/>
          <w:b w:val="0"/>
          <w:bCs w:val="0"/>
          <w:color w:val="auto"/>
          <w:sz w:val="24"/>
          <w:szCs w:val="24"/>
          <w:highlight w:val="none"/>
          <w:lang w:val="en-US" w:eastAsia="zh-CN"/>
        </w:rPr>
        <w:t xml:space="preserve"> 。</w:t>
      </w:r>
    </w:p>
    <w:p w14:paraId="1ECFDE6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6.评标办法：</w:t>
      </w:r>
    </w:p>
    <w:p w14:paraId="55DE10D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6.1本次招标评标采用</w:t>
      </w:r>
      <w:r>
        <w:rPr>
          <w:rFonts w:hint="default"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u w:val="single"/>
          <w:lang w:val="en-US" w:eastAsia="zh-CN"/>
        </w:rPr>
        <w:t>符合竞争性磋商文件的综合评分法</w:t>
      </w:r>
      <w:r>
        <w:rPr>
          <w:rFonts w:hint="default" w:ascii="宋体" w:hAnsi="宋体" w:eastAsia="宋体" w:cs="宋体"/>
          <w:b w:val="0"/>
          <w:bCs w:val="0"/>
          <w:sz w:val="24"/>
          <w:szCs w:val="24"/>
          <w:highlight w:val="none"/>
          <w:u w:val="single"/>
          <w:lang w:val="en-US" w:eastAsia="zh-CN"/>
        </w:rPr>
        <w:t xml:space="preserve"> </w:t>
      </w:r>
      <w:r>
        <w:rPr>
          <w:rFonts w:hint="default" w:ascii="宋体" w:hAnsi="宋体" w:eastAsia="宋体" w:cs="宋体"/>
          <w:b w:val="0"/>
          <w:bCs w:val="0"/>
          <w:sz w:val="24"/>
          <w:szCs w:val="24"/>
          <w:highlight w:val="none"/>
          <w:lang w:val="en-US" w:eastAsia="zh-CN"/>
        </w:rPr>
        <w:t xml:space="preserve">（详见第三章评标办法） </w:t>
      </w:r>
    </w:p>
    <w:p w14:paraId="0488396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7.投标人资格：</w:t>
      </w:r>
    </w:p>
    <w:p w14:paraId="05F7C17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7.1参与采购活动的投标人必须是满足《中华人民共和国政府采购法》规定条件的法人、其他组织或者自然人：</w:t>
      </w:r>
    </w:p>
    <w:p w14:paraId="289EEDE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7.2由于政府采购项目的差异性，投标人在参与具体政府采购项目活动时，应仔细阅读该项目的资质要求</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具体见投标人须知前附表。</w:t>
      </w:r>
    </w:p>
    <w:p w14:paraId="229022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7.3根据电子化政府采购的特点，各供应商在开标前应确保成为新疆维吾尔自治区政府采购网正式注册入库供应商，并完成 CA 数字证书申领。因未注册入库、未办理 CA 数字证书等原因造成无法投标或投标失败等后果由供应商自行承担。</w:t>
      </w:r>
    </w:p>
    <w:p w14:paraId="16548CD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7.4投标人必须确保自己在信息库中注册的信息真实、准确，并保证</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中的有关信息与库中的信息相一致。否则，投标人因此蒙受损失，</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概不负责。</w:t>
      </w:r>
    </w:p>
    <w:p w14:paraId="3D8E93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 投标费用</w:t>
      </w:r>
    </w:p>
    <w:p w14:paraId="288E4B1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8.1 投标人准备和参加投标活动发生的费用自理。</w:t>
      </w:r>
    </w:p>
    <w:p w14:paraId="6493831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 踏勘现场</w:t>
      </w:r>
    </w:p>
    <w:p w14:paraId="5229D0C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9.1投标人须知前附表规定组织踏勘现场的，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按投标人须知前附表规定的时间、地点组织投标人踏勘项目现场。如需踏勘现场，投标人自行踏勘现场的，可咨询本项目采购人或采购代理机构联系人。投标人自行踏勘现场的，可咨询本项目采购人或采购代理机构联系人。</w:t>
      </w:r>
    </w:p>
    <w:p w14:paraId="0312112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9.2投标人踏勘现场发生的费用自理。</w:t>
      </w:r>
    </w:p>
    <w:p w14:paraId="14A0C0F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9.3除</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的原因外，投标人自行负责在踏勘现场中所发生的人员伤亡和财产损失。</w:t>
      </w:r>
    </w:p>
    <w:p w14:paraId="18B19CF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9.4</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在踏勘现场中介绍的场地和相关的周边环境情况，供投标人在编制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时参考，</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不对投标人据此作出的判断和决策负责。</w:t>
      </w:r>
    </w:p>
    <w:p w14:paraId="11A03A6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10.投标预备会</w:t>
      </w:r>
    </w:p>
    <w:p w14:paraId="4C3F55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10.1投标人须知前附表规定召开投标预备会的，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按投标人须知前附表规定的时间和地点召开投标预备会，澄清投标人提出的问题。</w:t>
      </w:r>
    </w:p>
    <w:p w14:paraId="7A082D6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10.2投标人应在投标人须知前附表规定的时间前，将提出的问题送达</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，以便</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澄清。</w:t>
      </w:r>
    </w:p>
    <w:p w14:paraId="4345F38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10.3</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在投标人须知前附表规定的时间，将对投标人所提的问题进行澄清。该澄清内容为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w:t>
      </w:r>
    </w:p>
    <w:p w14:paraId="71A9839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11.联合投标</w:t>
      </w:r>
    </w:p>
    <w:p w14:paraId="3C53849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11.1两个以上投标人可以组成一个投标联合体，以一个投标人的身份投标。以联合体形式参加投标的， 联合体各方均应当符合《政府采购法》第二十二条规定的条件。</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根据采购项目的特殊要求规定投标人特定条件的，联合体各方中至少应当有一方符合</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规定的特定条件。</w:t>
      </w:r>
    </w:p>
    <w:p w14:paraId="2189336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11.2联合体各方之间应当签订共同投标协议，明确约定联合体各方承担的工作和相应的责任，并将共 同投标协议连同</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一并提交</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。联合体各方签订共同投标协议后，不得再以自己名义单独在同一项目中投标，也不得组成新的联合体参加同一项目投标。</w:t>
      </w:r>
    </w:p>
    <w:p w14:paraId="441799B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11.3联合体应当确定其中一个单位为投标的全权代表，负责参加投标的一切事务，并承担投标及履约 中应承担的全部责任与义务。</w:t>
      </w:r>
    </w:p>
    <w:p w14:paraId="102DDAD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11.4联合体各方应当共同与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签订采购合同，就采购合同约定的事项对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承担连带责任。</w:t>
      </w:r>
    </w:p>
    <w:p w14:paraId="64F3AD4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12.代理</w:t>
      </w:r>
      <w:r>
        <w:rPr>
          <w:rFonts w:hint="eastAsia" w:ascii="宋体" w:hAnsi="宋体" w:eastAsia="宋体" w:cs="宋体"/>
          <w:b w:val="0"/>
          <w:bCs w:val="0"/>
          <w:sz w:val="24"/>
          <w:szCs w:val="24"/>
          <w:highlight w:val="none"/>
          <w:lang w:val="en-US" w:eastAsia="zh-CN"/>
        </w:rPr>
        <w:t>服务</w:t>
      </w:r>
      <w:r>
        <w:rPr>
          <w:rFonts w:hint="default" w:ascii="宋体" w:hAnsi="宋体" w:eastAsia="宋体" w:cs="宋体"/>
          <w:b w:val="0"/>
          <w:bCs w:val="0"/>
          <w:sz w:val="24"/>
          <w:szCs w:val="24"/>
          <w:highlight w:val="none"/>
          <w:lang w:val="en-US" w:eastAsia="zh-CN"/>
        </w:rPr>
        <w:t>费</w:t>
      </w:r>
    </w:p>
    <w:p w14:paraId="25EEC5C2">
      <w:pPr>
        <w:shd w:val="clear" w:color="auto" w:fill="auto"/>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olor w:val="auto"/>
          <w:sz w:val="24"/>
          <w:szCs w:val="24"/>
          <w:highlight w:val="none"/>
          <w:lang w:eastAsia="zh-CN"/>
        </w:rPr>
        <w:t>中标单位在领取本项目中标通知书时，根据《中华人民共和国招标投标法》《中华人民共和国招标投标法实施条例》《国家发展改革委关于进一步放开建设项目专业服务价格的通知》（发改价格[2015]299号）文件等规定由中标单位向招标代理机构支付本项目代理费</w:t>
      </w:r>
      <w:r>
        <w:rPr>
          <w:rFonts w:hint="eastAsia" w:ascii="宋体" w:hAnsi="宋体" w:eastAsia="宋体" w:cs="宋体"/>
          <w:color w:val="auto"/>
          <w:sz w:val="24"/>
          <w:szCs w:val="24"/>
          <w:highlight w:val="none"/>
          <w:lang w:eastAsia="zh-CN"/>
        </w:rPr>
        <w:t>。</w:t>
      </w:r>
    </w:p>
    <w:p w14:paraId="498F722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13.投标人应注意的事项</w:t>
      </w:r>
    </w:p>
    <w:p w14:paraId="1813FC4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13.1投标人一旦按规定缴纳了投标保证金并参加投标，即被认为接受了本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中的所有条件和规定。投标人必须严格按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宜编制页码和目录，以便评委审核。否则， 由此产生的一切后果由投标人承担。</w:t>
      </w:r>
    </w:p>
    <w:p w14:paraId="002F436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13.2投标人对采购内容中规定的技术参数、规格等要求必须完全响应或优于</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中的要求。 </w:t>
      </w:r>
    </w:p>
    <w:p w14:paraId="257ED15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13.3所有投标人的投标保证金都应在</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规定的投标保证金缴纳截止日期前缴纳。</w:t>
      </w:r>
    </w:p>
    <w:p w14:paraId="5811811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w:t>
      </w:r>
      <w:r>
        <w:rPr>
          <w:rFonts w:hint="eastAsia" w:ascii="宋体" w:hAnsi="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本项目只接受成为新疆维吾尔自治区政府采购网正式注册入库并完成 CA 数字证书申领供应商参与投标。因未注册入库、未办理 CA 数字证书等原因造成无法投标或投标失败等后果由供应商自行承担。</w:t>
      </w:r>
    </w:p>
    <w:p w14:paraId="6F19C9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 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不再对上述情况进行描述</w:t>
      </w:r>
      <w:r>
        <w:rPr>
          <w:rFonts w:hint="eastAsia" w:ascii="宋体" w:hAnsi="宋体" w:eastAsia="宋体" w:cs="宋体"/>
          <w:b w:val="0"/>
          <w:bCs w:val="0"/>
          <w:sz w:val="24"/>
          <w:szCs w:val="24"/>
          <w:highlight w:val="none"/>
          <w:lang w:val="en-US" w:eastAsia="zh-CN"/>
        </w:rPr>
        <w:t>。</w:t>
      </w:r>
    </w:p>
    <w:p w14:paraId="3E889727">
      <w:pPr>
        <w:pStyle w:val="34"/>
        <w:rPr>
          <w:rFonts w:hint="eastAsia" w:ascii="宋体" w:hAnsi="宋体" w:eastAsia="宋体" w:cs="宋体"/>
          <w:b w:val="0"/>
          <w:bCs w:val="0"/>
          <w:sz w:val="24"/>
          <w:szCs w:val="24"/>
          <w:highlight w:val="none"/>
          <w:lang w:val="en-US" w:eastAsia="zh-CN"/>
        </w:rPr>
      </w:pPr>
    </w:p>
    <w:p w14:paraId="1BB2F158">
      <w:pPr>
        <w:rPr>
          <w:rFonts w:hint="eastAsia" w:ascii="宋体" w:hAnsi="宋体" w:eastAsia="宋体" w:cs="宋体"/>
          <w:b w:val="0"/>
          <w:bCs w:val="0"/>
          <w:sz w:val="24"/>
          <w:szCs w:val="24"/>
          <w:highlight w:val="none"/>
          <w:lang w:val="en-US" w:eastAsia="zh-CN"/>
        </w:rPr>
      </w:pPr>
    </w:p>
    <w:p w14:paraId="264EBBCC">
      <w:pPr>
        <w:rPr>
          <w:rFonts w:hint="eastAsia" w:ascii="宋体" w:hAnsi="宋体" w:eastAsia="宋体" w:cs="宋体"/>
          <w:b w:val="0"/>
          <w:bCs w:val="0"/>
          <w:sz w:val="24"/>
          <w:szCs w:val="24"/>
          <w:highlight w:val="none"/>
          <w:lang w:val="en-US" w:eastAsia="zh-CN"/>
        </w:rPr>
      </w:pPr>
    </w:p>
    <w:p w14:paraId="05C13C89">
      <w:pPr>
        <w:rPr>
          <w:rFonts w:hint="default" w:ascii="宋体" w:hAnsi="宋体" w:eastAsia="宋体" w:cs="宋体"/>
          <w:b w:val="0"/>
          <w:bCs w:val="0"/>
          <w:sz w:val="24"/>
          <w:szCs w:val="24"/>
          <w:highlight w:val="none"/>
          <w:lang w:val="en-US" w:eastAsia="zh-CN"/>
        </w:rPr>
      </w:pPr>
    </w:p>
    <w:p w14:paraId="7A17C60B">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（二）</w:t>
      </w:r>
      <w:r>
        <w:rPr>
          <w:rFonts w:hint="eastAsia" w:ascii="宋体" w:hAnsi="宋体" w:cs="宋体"/>
          <w:b/>
          <w:bCs/>
          <w:sz w:val="24"/>
          <w:szCs w:val="24"/>
          <w:highlight w:val="none"/>
          <w:lang w:val="en-US" w:eastAsia="zh-CN"/>
        </w:rPr>
        <w:t>竞争性</w:t>
      </w:r>
      <w:r>
        <w:rPr>
          <w:rFonts w:hint="eastAsia" w:ascii="宋体" w:hAnsi="宋体" w:eastAsia="宋体" w:cs="宋体"/>
          <w:b/>
          <w:bCs/>
          <w:sz w:val="24"/>
          <w:szCs w:val="24"/>
          <w:highlight w:val="none"/>
          <w:lang w:val="en-US" w:eastAsia="zh-CN"/>
        </w:rPr>
        <w:t>磋商文件</w:t>
      </w:r>
    </w:p>
    <w:p w14:paraId="6968410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的编制依据</w:t>
      </w:r>
    </w:p>
    <w:p w14:paraId="6A7B9320">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根据《中华人民共和国政府采购法》、《政府采购货物和服务招标投标管理办法》和《中华人民共和国</w:t>
      </w:r>
      <w:r>
        <w:rPr>
          <w:rFonts w:hint="eastAsia" w:ascii="宋体" w:hAnsi="宋体" w:eastAsia="宋体" w:cs="宋体"/>
          <w:b w:val="0"/>
          <w:bCs w:val="0"/>
          <w:sz w:val="24"/>
          <w:szCs w:val="24"/>
          <w:highlight w:val="none"/>
          <w:lang w:val="en-US" w:eastAsia="zh-CN"/>
        </w:rPr>
        <w:t>民法典</w:t>
      </w:r>
      <w:r>
        <w:rPr>
          <w:rFonts w:hint="default" w:ascii="宋体" w:hAnsi="宋体" w:eastAsia="宋体" w:cs="宋体"/>
          <w:b w:val="0"/>
          <w:bCs w:val="0"/>
          <w:sz w:val="24"/>
          <w:szCs w:val="24"/>
          <w:highlight w:val="none"/>
          <w:lang w:val="en-US" w:eastAsia="zh-CN"/>
        </w:rPr>
        <w:t>》等相关法律法规和规章及部、省、市级规范性文件的规定，编制本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p>
    <w:p w14:paraId="45975B81">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w:t>
      </w:r>
    </w:p>
    <w:p w14:paraId="7EF09A08">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15.1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包括内容：</w:t>
      </w:r>
    </w:p>
    <w:p w14:paraId="432D7C68">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第一章  </w:t>
      </w:r>
      <w:r>
        <w:rPr>
          <w:rFonts w:hint="eastAsia" w:ascii="宋体" w:hAnsi="宋体" w:eastAsia="宋体" w:cs="宋体"/>
          <w:b w:val="0"/>
          <w:bCs w:val="0"/>
          <w:sz w:val="24"/>
          <w:szCs w:val="24"/>
          <w:highlight w:val="none"/>
          <w:lang w:val="en-US" w:eastAsia="zh-CN"/>
        </w:rPr>
        <w:t>竞争性磋商</w:t>
      </w:r>
      <w:r>
        <w:rPr>
          <w:rFonts w:hint="default" w:ascii="宋体" w:hAnsi="宋体" w:eastAsia="宋体" w:cs="宋体"/>
          <w:b w:val="0"/>
          <w:bCs w:val="0"/>
          <w:sz w:val="24"/>
          <w:szCs w:val="24"/>
          <w:highlight w:val="none"/>
          <w:lang w:val="en-US" w:eastAsia="zh-CN"/>
        </w:rPr>
        <w:t>公告</w:t>
      </w:r>
    </w:p>
    <w:p w14:paraId="49BD335B">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第二章  投标</w:t>
      </w:r>
      <w:r>
        <w:rPr>
          <w:rFonts w:hint="eastAsia" w:ascii="宋体" w:hAnsi="宋体" w:eastAsia="宋体" w:cs="宋体"/>
          <w:b w:val="0"/>
          <w:bCs w:val="0"/>
          <w:sz w:val="24"/>
          <w:szCs w:val="24"/>
          <w:highlight w:val="none"/>
          <w:lang w:val="en-US" w:eastAsia="zh-CN"/>
        </w:rPr>
        <w:t>人</w:t>
      </w:r>
      <w:r>
        <w:rPr>
          <w:rFonts w:hint="default" w:ascii="宋体" w:hAnsi="宋体" w:eastAsia="宋体" w:cs="宋体"/>
          <w:b w:val="0"/>
          <w:bCs w:val="0"/>
          <w:sz w:val="24"/>
          <w:szCs w:val="24"/>
          <w:highlight w:val="none"/>
          <w:lang w:val="en-US" w:eastAsia="zh-CN"/>
        </w:rPr>
        <w:t>须知</w:t>
      </w:r>
    </w:p>
    <w:p w14:paraId="2863CE93">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第三章  评标办法</w:t>
      </w:r>
    </w:p>
    <w:p w14:paraId="7B57A77D">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第四章 </w:t>
      </w:r>
      <w:r>
        <w:rPr>
          <w:rFonts w:hint="eastAsia" w:ascii="宋体" w:hAnsi="宋体" w:cs="宋体"/>
          <w:b w:val="0"/>
          <w:bCs w:val="0"/>
          <w:sz w:val="24"/>
          <w:szCs w:val="24"/>
          <w:highlight w:val="none"/>
          <w:lang w:val="en-US" w:eastAsia="zh-CN"/>
        </w:rPr>
        <w:t>采购内容及服务要求</w:t>
      </w:r>
    </w:p>
    <w:p w14:paraId="73BA8C7E">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第五章  合同条款及格式</w:t>
      </w:r>
      <w:r>
        <w:rPr>
          <w:rFonts w:hint="eastAsia" w:ascii="宋体" w:hAnsi="宋体" w:cs="宋体"/>
          <w:b w:val="0"/>
          <w:bCs w:val="0"/>
          <w:sz w:val="24"/>
          <w:szCs w:val="24"/>
          <w:highlight w:val="none"/>
          <w:lang w:val="en-US" w:eastAsia="zh-CN"/>
        </w:rPr>
        <w:t>（仅供参考）</w:t>
      </w:r>
    </w:p>
    <w:p w14:paraId="1FD3ACB4">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第六章  </w:t>
      </w:r>
      <w:r>
        <w:rPr>
          <w:rFonts w:hint="eastAsia" w:ascii="宋体" w:hAnsi="宋体" w:cs="宋体"/>
          <w:b w:val="0"/>
          <w:bCs w:val="0"/>
          <w:sz w:val="24"/>
          <w:szCs w:val="24"/>
          <w:highlight w:val="none"/>
          <w:lang w:val="en-US" w:eastAsia="zh-CN"/>
        </w:rPr>
        <w:t>投标</w:t>
      </w:r>
      <w:r>
        <w:rPr>
          <w:rFonts w:hint="eastAsia" w:ascii="宋体" w:hAnsi="宋体" w:eastAsia="宋体" w:cs="宋体"/>
          <w:b w:val="0"/>
          <w:bCs w:val="0"/>
          <w:sz w:val="24"/>
          <w:szCs w:val="24"/>
          <w:highlight w:val="none"/>
          <w:lang w:val="en-US" w:eastAsia="zh-CN"/>
        </w:rPr>
        <w:t>文件</w:t>
      </w:r>
      <w:r>
        <w:rPr>
          <w:rFonts w:hint="default" w:ascii="宋体" w:hAnsi="宋体" w:eastAsia="宋体" w:cs="宋体"/>
          <w:b w:val="0"/>
          <w:bCs w:val="0"/>
          <w:sz w:val="24"/>
          <w:szCs w:val="24"/>
          <w:highlight w:val="none"/>
          <w:lang w:val="en-US" w:eastAsia="zh-CN"/>
        </w:rPr>
        <w:t>格式</w:t>
      </w:r>
    </w:p>
    <w:p w14:paraId="345CCE35">
      <w:pPr>
        <w:shd w:val="clear" w:color="auto" w:fill="auto"/>
        <w:spacing w:line="360" w:lineRule="auto"/>
        <w:ind w:firstLine="480" w:firstLineChars="200"/>
        <w:rPr>
          <w:rFonts w:hint="default"/>
          <w:lang w:val="en-US" w:eastAsia="zh-CN"/>
        </w:rPr>
      </w:pPr>
      <w:r>
        <w:rPr>
          <w:rFonts w:hint="eastAsia" w:ascii="宋体"/>
          <w:color w:val="auto"/>
          <w:sz w:val="24"/>
          <w:szCs w:val="24"/>
          <w:highlight w:val="none"/>
        </w:rPr>
        <w:t>第七章  招标单位、招标代理机构对本文件的确认</w:t>
      </w:r>
    </w:p>
    <w:p w14:paraId="7B19D86D">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15.2除 15.1 内容外，招标答疑亦为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和投标人起约束作用。</w:t>
      </w:r>
    </w:p>
    <w:p w14:paraId="284E4A8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15.3投标人应仔细阅读和检查</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的全部内容。如发现缺页或附件不全，应及时向</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提出，以便补齐。如有疑问，投标人应在以书面形式一次性向采购人和采购代理机构提出同一环节的质疑。</w:t>
      </w:r>
    </w:p>
    <w:p w14:paraId="048310A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15.4供应商认为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使自己的权益受到损害的，可以自收到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之日（</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公告期限届满之前收到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的，以完成获取</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申请后下载</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的时间为准）或者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公告期限届满之日（公告发布后的第</w:t>
      </w:r>
      <w:r>
        <w:rPr>
          <w:rFonts w:hint="eastAsia" w:ascii="宋体" w:hAnsi="宋体" w:cs="宋体"/>
          <w:b w:val="0"/>
          <w:bCs w:val="0"/>
          <w:sz w:val="24"/>
          <w:szCs w:val="24"/>
          <w:highlight w:val="none"/>
          <w:lang w:val="en-US" w:eastAsia="zh-CN"/>
        </w:rPr>
        <w:t>6</w:t>
      </w:r>
      <w:r>
        <w:rPr>
          <w:rFonts w:hint="default" w:ascii="宋体" w:hAnsi="宋体" w:eastAsia="宋体" w:cs="宋体"/>
          <w:b w:val="0"/>
          <w:bCs w:val="0"/>
          <w:sz w:val="24"/>
          <w:szCs w:val="24"/>
          <w:highlight w:val="none"/>
          <w:lang w:val="en-US" w:eastAsia="zh-CN"/>
        </w:rPr>
        <w:t xml:space="preserve">个工作日）起 </w:t>
      </w: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个工作日内且应当在采购响应截止时间之前， 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宋体" w:hAnsi="宋体" w:cs="宋体"/>
          <w:b w:val="0"/>
          <w:bCs w:val="0"/>
          <w:sz w:val="24"/>
          <w:szCs w:val="24"/>
          <w:highlight w:val="none"/>
          <w:lang w:val="en-US" w:eastAsia="zh-CN"/>
        </w:rPr>
        <w:t>新疆</w:t>
      </w:r>
      <w:r>
        <w:rPr>
          <w:rFonts w:hint="default" w:ascii="宋体" w:hAnsi="宋体" w:eastAsia="宋体" w:cs="宋体"/>
          <w:b w:val="0"/>
          <w:bCs w:val="0"/>
          <w:sz w:val="24"/>
          <w:szCs w:val="24"/>
          <w:highlight w:val="none"/>
          <w:lang w:val="en-US" w:eastAsia="zh-CN"/>
        </w:rPr>
        <w:t>政府采购网下载专区下载。</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的澄清将在政采云平台“更正公告 ”栏目予以公告，但不指明澄清问题的来源。如果澄清内容影响</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编制的，将相应延长投标截止时间。</w:t>
      </w:r>
    </w:p>
    <w:p w14:paraId="089C87B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的修改、补充、解释</w:t>
      </w:r>
    </w:p>
    <w:p w14:paraId="0F693A2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16.1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发出后，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在规定的投标截止时间前可对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进行必要的修改和补充，并以更正公告形式在政采云平台“更正公告 ”栏目予以公告，请各位投标人注意查看有关澄清内容，如不及时查看造成后果由投标人自负。</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的修改、补充等内容作为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的组成部分，具有约束作用。</w:t>
      </w:r>
    </w:p>
    <w:p w14:paraId="355E7E8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16.2采购代理机构可视采购具体情况对已发出的</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进行必要的澄清、修改或者补充。澄清、修改或者补充的内容可能影响</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编制的，应当在投标截止时间至少</w:t>
      </w:r>
      <w:r>
        <w:rPr>
          <w:rFonts w:hint="eastAsia" w:ascii="宋体" w:hAnsi="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日前，在原公告发布媒体上发布 澄清公告，澄清或者修改的内容为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的组成部分；不足 </w:t>
      </w:r>
      <w:r>
        <w:rPr>
          <w:rFonts w:hint="eastAsia" w:ascii="宋体" w:hAnsi="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日的，应当顺延提交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的截止时间。</w:t>
      </w:r>
    </w:p>
    <w:p w14:paraId="5C60E2A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16.3供应商在规定的时间内未对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提出疑问、质疑或要求澄清的，将视其为无异议。</w:t>
      </w:r>
    </w:p>
    <w:p w14:paraId="16201A4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16.4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的解释</w:t>
      </w:r>
    </w:p>
    <w:p w14:paraId="64CA97C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由</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（或其委托的招标代理机构）负责解释。</w:t>
      </w:r>
    </w:p>
    <w:p w14:paraId="2E5CE34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17.</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的发出</w:t>
      </w:r>
    </w:p>
    <w:p w14:paraId="5898A56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17.1</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的澄清、修改、补充及招标答疑等均应报相关部门备案后，方可发出。</w:t>
      </w:r>
    </w:p>
    <w:p w14:paraId="4465E7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18.凡需要设置样品情形时，必须明确是否需要随样品提交检测报告，并明确检测机构的要求、检测内容、中标样品封存等事项。（评标委员会无法判断样品是否合格且样品需要提供给第三方权威检测机构检测的, 在投标人提供</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认可的第三方权威检测机构检测报告后，评标委员会推荐的</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方可生效，采购人或代理机构发布中标结果公告。</w:t>
      </w:r>
    </w:p>
    <w:p w14:paraId="24A71F3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中应明确样品送检方式、检测费用支付方法、投标人在规定时间内无法提供第三方权威检测机构检测报告的处理方式。（采购人根据项目需求按上述要求自行描述）</w:t>
      </w:r>
    </w:p>
    <w:p w14:paraId="34D71919">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lang w:val="en-US" w:eastAsia="zh-CN"/>
        </w:rPr>
        <w:t>响应文件</w:t>
      </w:r>
      <w:r>
        <w:rPr>
          <w:rFonts w:hint="default" w:ascii="宋体" w:hAnsi="宋体" w:eastAsia="宋体" w:cs="宋体"/>
          <w:b/>
          <w:bCs/>
          <w:sz w:val="24"/>
          <w:szCs w:val="24"/>
          <w:highlight w:val="none"/>
          <w:lang w:val="en-US" w:eastAsia="zh-CN"/>
        </w:rPr>
        <w:t>的编制</w:t>
      </w:r>
    </w:p>
    <w:p w14:paraId="553645B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19.投标的语言及度量衡单位</w:t>
      </w:r>
    </w:p>
    <w:p w14:paraId="471BB09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19.1 投标人提交的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、技术文件和资料，以及投标人与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就有关投标的所有来往函电均应使用中文。</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中若有英文或其他语言文字的资料，应提供相应的中文翻译资料。对不同文本</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的解释发生异议的</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以中文文本为准。</w:t>
      </w:r>
    </w:p>
    <w:p w14:paraId="1B512D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19.2除</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中另有规定外，投标书所使用的度量衡均须采用法定计量单位。</w:t>
      </w:r>
    </w:p>
    <w:p w14:paraId="64A81AB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的组成</w:t>
      </w:r>
    </w:p>
    <w:p w14:paraId="2EA1A70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u w:val="single"/>
          <w:lang w:val="en-US" w:eastAsia="zh-CN"/>
        </w:rPr>
        <w:t>资格证明文件</w:t>
      </w:r>
      <w:r>
        <w:rPr>
          <w:rFonts w:hint="default" w:ascii="宋体" w:hAnsi="宋体" w:eastAsia="宋体" w:cs="宋体"/>
          <w:b w:val="0"/>
          <w:bCs w:val="0"/>
          <w:sz w:val="24"/>
          <w:szCs w:val="24"/>
          <w:highlight w:val="none"/>
          <w:lang w:val="en-US" w:eastAsia="zh-CN"/>
        </w:rPr>
        <w:t>和</w:t>
      </w:r>
      <w:r>
        <w:rPr>
          <w:rFonts w:hint="default" w:ascii="宋体" w:hAnsi="宋体" w:eastAsia="宋体" w:cs="宋体"/>
          <w:b w:val="0"/>
          <w:bCs w:val="0"/>
          <w:sz w:val="24"/>
          <w:szCs w:val="24"/>
          <w:highlight w:val="none"/>
          <w:u w:val="single"/>
          <w:lang w:val="en-US" w:eastAsia="zh-CN"/>
        </w:rPr>
        <w:t>商务及技术文件</w:t>
      </w:r>
      <w:r>
        <w:rPr>
          <w:rFonts w:hint="default" w:ascii="宋体" w:hAnsi="宋体" w:eastAsia="宋体" w:cs="宋体"/>
          <w:b w:val="0"/>
          <w:bCs w:val="0"/>
          <w:sz w:val="24"/>
          <w:szCs w:val="24"/>
          <w:highlight w:val="none"/>
          <w:lang w:val="en-US" w:eastAsia="zh-CN"/>
        </w:rPr>
        <w:t>两部分。</w:t>
      </w:r>
    </w:p>
    <w:p w14:paraId="4D55A1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20.1资格证明文件（包括但不限于）</w:t>
      </w:r>
    </w:p>
    <w:p w14:paraId="23E4E085">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资格证明文件是证明投标人有资格参加投标和中标后有能力履行合同的文件，这些文件应能满足招标的要求，否则作无效投标处理。</w:t>
      </w:r>
    </w:p>
    <w:p w14:paraId="477D5D4A">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1、法人或者非法人组织的营业执照等证明文件复印件或自然人的身份证明复印件</w:t>
      </w:r>
    </w:p>
    <w:p w14:paraId="2CB9553D">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2、法定代表人资格证明书</w:t>
      </w:r>
    </w:p>
    <w:p w14:paraId="62B8B579">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3、法定代表人授权</w:t>
      </w:r>
      <w:r>
        <w:rPr>
          <w:rFonts w:hint="eastAsia" w:ascii="宋体" w:hAnsi="宋体" w:eastAsia="宋体" w:cs="宋体"/>
          <w:b w:val="0"/>
          <w:bCs w:val="0"/>
          <w:sz w:val="24"/>
          <w:szCs w:val="24"/>
          <w:highlight w:val="none"/>
          <w:lang w:val="en-US" w:eastAsia="zh-CN"/>
        </w:rPr>
        <w:t>委托</w:t>
      </w:r>
      <w:r>
        <w:rPr>
          <w:rFonts w:hint="default" w:ascii="宋体" w:hAnsi="宋体" w:eastAsia="宋体" w:cs="宋体"/>
          <w:b w:val="0"/>
          <w:bCs w:val="0"/>
          <w:sz w:val="24"/>
          <w:szCs w:val="24"/>
          <w:highlight w:val="none"/>
          <w:lang w:val="en-US" w:eastAsia="zh-CN"/>
        </w:rPr>
        <w:t>书</w:t>
      </w:r>
    </w:p>
    <w:p w14:paraId="418E36E4">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4、投标企业须提供投标人（被授权在职人员）近 6个月内任意 1 个月有效的社保证明</w:t>
      </w:r>
    </w:p>
    <w:p w14:paraId="4418FBEE">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5、投标保证金汇款凭证或投标担保函</w:t>
      </w:r>
    </w:p>
    <w:p w14:paraId="16B34F1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firstLine="240" w:firstLineChars="1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6、</w:t>
      </w: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1B0FA683">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、投标人须知资料表要求的其他资格证明文件</w:t>
      </w:r>
      <w:r>
        <w:rPr>
          <w:rFonts w:hint="eastAsia" w:ascii="宋体" w:hAnsi="宋体" w:eastAsia="宋体" w:cs="宋体"/>
          <w:b w:val="0"/>
          <w:bCs w:val="0"/>
          <w:sz w:val="24"/>
          <w:szCs w:val="24"/>
          <w:highlight w:val="none"/>
          <w:lang w:val="en-US" w:eastAsia="zh-CN"/>
        </w:rPr>
        <w:t>。</w:t>
      </w:r>
    </w:p>
    <w:p w14:paraId="6EE1E03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20.2 商务及技术文件（包括但不限于）</w:t>
      </w:r>
    </w:p>
    <w:p w14:paraId="75B54EC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1、投标函</w:t>
      </w:r>
    </w:p>
    <w:p w14:paraId="59B5DB41">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2、开标一览表</w:t>
      </w:r>
    </w:p>
    <w:p w14:paraId="0BBC8B06">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、投标分项报价表</w:t>
      </w:r>
    </w:p>
    <w:p w14:paraId="4E10A5EA">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4、服务说明一览表</w:t>
      </w:r>
    </w:p>
    <w:p w14:paraId="42DD43D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、技术规格偏离表</w:t>
      </w:r>
    </w:p>
    <w:p w14:paraId="773FE79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lang w:val="en-US" w:eastAsia="zh-CN"/>
        </w:rPr>
      </w:pPr>
      <w:r>
        <w:rPr>
          <w:rFonts w:hint="eastAsia" w:ascii="宋体" w:hAnsi="宋体" w:eastAsia="宋体" w:cs="宋体"/>
          <w:b w:val="0"/>
          <w:bCs w:val="0"/>
          <w:sz w:val="24"/>
          <w:szCs w:val="24"/>
          <w:highlight w:val="none"/>
          <w:lang w:val="en-US" w:eastAsia="zh-CN"/>
        </w:rPr>
        <w:t>6</w:t>
      </w:r>
      <w:r>
        <w:rPr>
          <w:rFonts w:hint="default" w:ascii="宋体" w:hAnsi="宋体" w:eastAsia="宋体" w:cs="宋体"/>
          <w:b w:val="0"/>
          <w:bCs w:val="0"/>
          <w:sz w:val="24"/>
          <w:szCs w:val="24"/>
          <w:highlight w:val="none"/>
          <w:lang w:val="en-US" w:eastAsia="zh-CN"/>
        </w:rPr>
        <w:t>、商务条款偏离表</w:t>
      </w:r>
    </w:p>
    <w:p w14:paraId="4E395E4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7</w:t>
      </w:r>
      <w:r>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t>、</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本项目拟投入人员</w:t>
      </w:r>
    </w:p>
    <w:p w14:paraId="5D75B4A6">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8、近三年类似业绩</w:t>
      </w:r>
    </w:p>
    <w:p w14:paraId="51669D6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9</w:t>
      </w: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中小企业声明函（服务）</w:t>
      </w:r>
    </w:p>
    <w:p w14:paraId="35767322">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、投标人关联单位的说明（格式自拟）</w:t>
      </w:r>
    </w:p>
    <w:p w14:paraId="35C97AB8">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w:t>
      </w:r>
      <w:r>
        <w:rPr>
          <w:rFonts w:hint="default" w:ascii="宋体" w:hAnsi="宋体" w:eastAsia="宋体" w:cs="宋体"/>
          <w:b w:val="0"/>
          <w:bCs w:val="0"/>
          <w:sz w:val="24"/>
          <w:szCs w:val="24"/>
          <w:highlight w:val="none"/>
          <w:lang w:val="en-US" w:eastAsia="zh-CN"/>
        </w:rPr>
        <w:t>、评分标准和细则中技术部分证明材料</w:t>
      </w:r>
      <w:r>
        <w:rPr>
          <w:rFonts w:hint="eastAsia" w:ascii="宋体" w:hAnsi="宋体" w:eastAsia="宋体" w:cs="宋体"/>
          <w:b w:val="0"/>
          <w:bCs w:val="0"/>
          <w:sz w:val="24"/>
          <w:szCs w:val="24"/>
          <w:highlight w:val="none"/>
          <w:lang w:val="en-US" w:eastAsia="zh-CN"/>
        </w:rPr>
        <w:t>（格式自拟）</w:t>
      </w:r>
    </w:p>
    <w:p w14:paraId="17E4E074">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12</w:t>
      </w:r>
      <w:r>
        <w:rPr>
          <w:rFonts w:hint="default" w:ascii="宋体" w:hAnsi="宋体" w:eastAsia="宋体" w:cs="宋体"/>
          <w:b w:val="0"/>
          <w:bCs w:val="0"/>
          <w:sz w:val="24"/>
          <w:szCs w:val="24"/>
          <w:highlight w:val="none"/>
          <w:lang w:val="en-US" w:eastAsia="zh-CN"/>
        </w:rPr>
        <w:t>、评分标准和细则中商务部分证明材料（格式自拟）</w:t>
      </w:r>
    </w:p>
    <w:p w14:paraId="2440428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、投标人认为有必要提供的其他证明材料（格式自拟）</w:t>
      </w:r>
    </w:p>
    <w:p w14:paraId="019CBD8A">
      <w:pPr>
        <w:pStyle w:val="2"/>
        <w:keepNext w:val="0"/>
        <w:keepLines w:val="0"/>
        <w:pageBreakBefore w:val="0"/>
        <w:widowControl w:val="0"/>
        <w:kinsoku/>
        <w:wordWrap/>
        <w:overflowPunct/>
        <w:topLinePunct w:val="0"/>
        <w:autoSpaceDE/>
        <w:autoSpaceDN/>
        <w:bidi w:val="0"/>
        <w:adjustRightInd/>
        <w:snapToGrid/>
        <w:spacing w:line="360" w:lineRule="auto"/>
        <w:ind w:firstLine="241" w:firstLineChars="100"/>
        <w:jc w:val="left"/>
        <w:textAlignment w:val="auto"/>
        <w:rPr>
          <w:rFonts w:hint="default" w:ascii="宋体" w:hAnsi="宋体" w:eastAsia="宋体" w:cs="宋体"/>
          <w:b w:val="0"/>
          <w:bCs w:val="0"/>
          <w:sz w:val="24"/>
          <w:szCs w:val="24"/>
          <w:highlight w:val="none"/>
          <w:u w:val="single"/>
          <w:lang w:val="en-US" w:eastAsia="zh-CN"/>
        </w:rPr>
      </w:pPr>
      <w:r>
        <w:rPr>
          <w:rFonts w:hint="default" w:ascii="宋体" w:hAnsi="宋体" w:eastAsia="宋体" w:cs="宋体"/>
          <w:b/>
          <w:bCs/>
          <w:sz w:val="24"/>
          <w:szCs w:val="24"/>
          <w:highlight w:val="none"/>
          <w:u w:val="single"/>
          <w:lang w:val="en-US" w:eastAsia="zh-CN"/>
        </w:rPr>
        <w:t>注： 以上材料须逐页加盖单位公章。</w:t>
      </w:r>
    </w:p>
    <w:p w14:paraId="71CB9AC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20.3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的要求</w:t>
      </w:r>
    </w:p>
    <w:p w14:paraId="3CA998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（1）供应商应仔细阅读</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的所有内容，按照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的要求详细编制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，所提交的全部资料必须真实有效，并且要保证字迹清晰易于辨认。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应对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实质性内容作出响应，否则按无效标处理。</w:t>
      </w:r>
    </w:p>
    <w:p w14:paraId="535BD28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格式应按本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格式要求编制，不得对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格式进行增删更改，否则按无效标处理。</w:t>
      </w:r>
    </w:p>
    <w:p w14:paraId="4C9A2EB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格式可更改的例外情况：</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附件格式要求中明确规定表格中行数不够用时可按相同格式增加行数，其他一切内容和格式不得更改。</w:t>
      </w:r>
    </w:p>
    <w:p w14:paraId="7EA6279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为电子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按“政采云供应商项目采购-电子招投标操作指南 ”及本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要求制作、加密传输。</w:t>
      </w:r>
    </w:p>
    <w:p w14:paraId="01CD767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未在投标截止时间前完成传输的，视为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未按时解密也未提供备份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的，亦视为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w:t>
      </w:r>
    </w:p>
    <w:p w14:paraId="478D0D2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21.投标报价</w:t>
      </w:r>
    </w:p>
    <w:p w14:paraId="49F8C9E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 投标报价文件中的单价和总价全部采用人民币表示。</w:t>
      </w:r>
    </w:p>
    <w:p w14:paraId="12374164">
      <w:pPr>
        <w:shd w:val="clear" w:color="auto" w:fill="auto"/>
        <w:spacing w:line="440" w:lineRule="exact"/>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21.2 投标报价表上应清楚标明投标人拟提供货物（服务） 的名称、数量、单价和总价。 </w:t>
      </w:r>
    </w:p>
    <w:p w14:paraId="209C5D7F">
      <w:pPr>
        <w:shd w:val="clear" w:color="auto" w:fill="auto"/>
        <w:spacing w:line="440" w:lineRule="exact"/>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21.3 </w:t>
      </w:r>
      <w:r>
        <w:rPr>
          <w:rFonts w:hint="eastAsia" w:ascii="宋体"/>
          <w:color w:val="auto"/>
          <w:sz w:val="24"/>
          <w:szCs w:val="24"/>
          <w:highlight w:val="none"/>
        </w:rPr>
        <w:t>本项目报价为分次报价，供应商响应文件中的报价作为第一次报价；以最终磋商报价作为评审价</w:t>
      </w:r>
      <w:r>
        <w:rPr>
          <w:rFonts w:hint="eastAsia" w:ascii="宋体"/>
          <w:color w:val="auto"/>
          <w:sz w:val="24"/>
          <w:szCs w:val="24"/>
          <w:highlight w:val="none"/>
          <w:lang w:eastAsia="zh-CN"/>
        </w:rPr>
        <w:t>。</w:t>
      </w:r>
    </w:p>
    <w:p w14:paraId="0E17A047">
      <w:pPr>
        <w:shd w:val="clear" w:color="auto" w:fill="auto"/>
        <w:spacing w:line="360" w:lineRule="auto"/>
        <w:ind w:firstLine="480" w:firstLineChars="200"/>
        <w:rPr>
          <w:rFonts w:hint="eastAsia" w:ascii="宋体" w:eastAsia="宋体"/>
          <w:color w:val="auto"/>
          <w:sz w:val="24"/>
          <w:szCs w:val="24"/>
          <w:highlight w:val="none"/>
          <w:lang w:eastAsia="zh-CN"/>
        </w:rPr>
      </w:pPr>
      <w:r>
        <w:rPr>
          <w:rFonts w:hint="default" w:ascii="宋体" w:hAnsi="宋体" w:eastAsia="宋体" w:cs="宋体"/>
          <w:b w:val="0"/>
          <w:bCs w:val="0"/>
          <w:sz w:val="24"/>
          <w:szCs w:val="24"/>
          <w:highlight w:val="none"/>
          <w:lang w:val="en-US" w:eastAsia="zh-CN"/>
        </w:rPr>
        <w:t xml:space="preserve">21.4  </w:t>
      </w:r>
      <w:r>
        <w:rPr>
          <w:rFonts w:hint="eastAsia" w:ascii="宋体" w:hAnsi="宋体"/>
          <w:color w:val="auto"/>
          <w:sz w:val="24"/>
          <w:szCs w:val="24"/>
          <w:highlight w:val="none"/>
          <w:lang w:eastAsia="zh-CN"/>
        </w:rPr>
        <w:t>竞争性</w:t>
      </w:r>
      <w:r>
        <w:rPr>
          <w:rFonts w:hint="eastAsia" w:ascii="宋体"/>
          <w:color w:val="auto"/>
          <w:sz w:val="24"/>
          <w:szCs w:val="24"/>
          <w:highlight w:val="none"/>
        </w:rPr>
        <w:t>磋商报价应包括：</w:t>
      </w:r>
      <w:r>
        <w:rPr>
          <w:rFonts w:hint="eastAsia" w:ascii="宋体" w:hAnsi="Times New Roman" w:eastAsia="宋体" w:cs="Times New Roman"/>
          <w:color w:val="auto"/>
          <w:sz w:val="24"/>
          <w:szCs w:val="24"/>
          <w:highlight w:val="none"/>
        </w:rPr>
        <w:t>采购人提供全部服务，技术规范及标准、项目采购需求、本磋商文件约定的所有费用的总和。</w:t>
      </w:r>
    </w:p>
    <w:p w14:paraId="6EFCD2BE">
      <w:pPr>
        <w:shd w:val="clear" w:color="auto" w:fill="auto"/>
        <w:spacing w:line="360" w:lineRule="auto"/>
        <w:ind w:firstLine="480" w:firstLineChars="20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因中标供应商自身原因造成漏报、少报的皆由其自行承担责任，采购人不再补偿。</w:t>
      </w:r>
    </w:p>
    <w:p w14:paraId="43B826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21.5 投标报价的价格是货物</w:t>
      </w:r>
      <w:r>
        <w:rPr>
          <w:rFonts w:hint="eastAsia" w:ascii="宋体" w:hAnsi="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服务</w:t>
      </w:r>
      <w:r>
        <w:rPr>
          <w:rFonts w:hint="eastAsia" w:ascii="宋体" w:hAnsi="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交货地验收价格，其总价即为履行合同的固定总价。</w:t>
      </w:r>
    </w:p>
    <w:p w14:paraId="22594AB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21.6 技术要求中规定的费用应包括在投标价格中。</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报价为含税价，</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不再为此次招标支付任何费用。</w:t>
      </w:r>
    </w:p>
    <w:p w14:paraId="3033866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21.7 投标报价应由法定代表人或被授权人签署。</w:t>
      </w:r>
    </w:p>
    <w:p w14:paraId="05CBA5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sz w:val="24"/>
          <w:szCs w:val="24"/>
          <w:highlight w:val="none"/>
          <w:lang w:val="en-US" w:eastAsia="zh-CN"/>
        </w:rPr>
        <w:t>21.8 投标人投标总报价，不得高于本次招标设置的最高限价，否则将作为无效投标处理。</w:t>
      </w:r>
      <w:r>
        <w:rPr>
          <w:rFonts w:hint="eastAsia" w:ascii="宋体" w:hAnsi="宋体" w:eastAsia="宋体" w:cs="宋体"/>
          <w:b w:val="0"/>
          <w:bCs w:val="0"/>
          <w:color w:val="auto"/>
          <w:sz w:val="24"/>
          <w:szCs w:val="24"/>
          <w:highlight w:val="none"/>
          <w:lang w:val="en-US" w:eastAsia="zh-CN"/>
        </w:rPr>
        <w:t>第二次报价或多轮报价需</w:t>
      </w:r>
      <w:r>
        <w:rPr>
          <w:rFonts w:hint="eastAsia" w:ascii="宋体" w:hAnsi="宋体" w:cs="宋体"/>
          <w:b w:val="0"/>
          <w:bCs w:val="0"/>
          <w:color w:val="auto"/>
          <w:sz w:val="24"/>
          <w:szCs w:val="24"/>
          <w:highlight w:val="none"/>
          <w:lang w:val="en-US" w:eastAsia="zh-CN"/>
        </w:rPr>
        <w:t>更新上传</w:t>
      </w:r>
      <w:r>
        <w:rPr>
          <w:rFonts w:hint="eastAsia" w:ascii="宋体" w:hAnsi="宋体" w:eastAsia="宋体" w:cs="宋体"/>
          <w:b w:val="0"/>
          <w:bCs w:val="0"/>
          <w:color w:val="auto"/>
          <w:sz w:val="24"/>
          <w:szCs w:val="24"/>
          <w:highlight w:val="none"/>
          <w:lang w:val="en-US" w:eastAsia="zh-CN"/>
        </w:rPr>
        <w:t>分项报价明细表。</w:t>
      </w:r>
    </w:p>
    <w:p w14:paraId="48FEF48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21.9 如</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中未列明全面实现投标服务功能而必须配置的配套或辅助设施及相应技术措施的费用，这些费用将被视为已包含在总投标价中。</w:t>
      </w:r>
    </w:p>
    <w:p w14:paraId="56CC9C4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21.10 总投标价中不得包含</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要求以外的内容，否则，在评标时不予核减，但在授予合同时，</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有权将这部分价格从其中标价格中扣除。</w:t>
      </w:r>
    </w:p>
    <w:p w14:paraId="05852F5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21.11 总投标价中不得缺漏</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所要求的内容，否则，评标时将有效投标中该项内容的最高价计入其评标总价，但在授予合同时，缺漏项目的报价视作已含在其他项目的报价中，这些项目将作为免费赠送而包含在合同内。</w:t>
      </w:r>
    </w:p>
    <w:p w14:paraId="0D00B97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21.12</w:t>
      </w:r>
      <w:r>
        <w:rPr>
          <w:rFonts w:hint="default" w:ascii="宋体" w:hAnsi="宋体" w:eastAsia="宋体" w:cs="宋体"/>
          <w:b w:val="0"/>
          <w:bCs w:val="0"/>
          <w:color w:val="FF0000"/>
          <w:sz w:val="24"/>
          <w:szCs w:val="24"/>
          <w:highlight w:val="none"/>
          <w:lang w:val="en-US" w:eastAsia="zh-CN"/>
        </w:rPr>
        <w:t xml:space="preserve"> </w:t>
      </w:r>
      <w:r>
        <w:rPr>
          <w:rFonts w:hint="default" w:ascii="宋体" w:hAnsi="宋体" w:eastAsia="宋体" w:cs="宋体"/>
          <w:b w:val="0"/>
          <w:bCs w:val="0"/>
          <w:color w:val="auto"/>
          <w:sz w:val="24"/>
          <w:szCs w:val="24"/>
          <w:highlight w:val="none"/>
          <w:lang w:val="en-US" w:eastAsia="zh-CN"/>
        </w:rPr>
        <w:t>投标人不得对从第三方采购货物及服务的随机备品、备件另行收费</w:t>
      </w:r>
      <w:r>
        <w:rPr>
          <w:rFonts w:hint="default" w:ascii="宋体" w:hAnsi="宋体" w:eastAsia="宋体" w:cs="宋体"/>
          <w:b w:val="0"/>
          <w:bCs w:val="0"/>
          <w:sz w:val="24"/>
          <w:szCs w:val="24"/>
          <w:highlight w:val="none"/>
          <w:lang w:val="en-US" w:eastAsia="zh-CN"/>
        </w:rPr>
        <w:t>，否则在计算评标价时这部分费用将不予扣除，在授予合同时将从中标价格中扣除该部分费用。</w:t>
      </w:r>
    </w:p>
    <w:p w14:paraId="1049142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 投标有效期</w:t>
      </w:r>
    </w:p>
    <w:p w14:paraId="1C47692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22.1 除投标人须知前附表另有规定外，投标有效期为 60 天。</w:t>
      </w:r>
    </w:p>
    <w:p w14:paraId="511A1B0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22.2 在投标有效期内，投标人撤销或修改其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的，应承担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和法律规定的责任。</w:t>
      </w:r>
    </w:p>
    <w:p w14:paraId="6EA13C5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22.3 出现特殊情况需要延长投标有效期的，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以书面形式通知所有投标人延长投标有效期。投标人同意延长的，应相应延长其投标保证金的有效期，但不得要求或被允许修改或撤销其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；投标人拒绝延长的，其投标失效，但投标人有权收回其投标保证金。</w:t>
      </w:r>
    </w:p>
    <w:p w14:paraId="08DD6A5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 投标保证金</w:t>
      </w:r>
    </w:p>
    <w:p w14:paraId="6BFDA80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23.1 投标人须知前附表规定递交投标保证金的，投标人在递交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的同时，应按投标人须知前附表规定的金额、担保形式和“</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 ”规定的投标保证金格式递交投标保证金，并作为其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的组成部分。投标人不按要求提交投标保证金的，评标委员会将否决其投标。</w:t>
      </w:r>
    </w:p>
    <w:p w14:paraId="288573F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23.2 自</w:t>
      </w:r>
      <w:r>
        <w:rPr>
          <w:rFonts w:hint="eastAsia" w:ascii="宋体" w:hAnsi="宋体" w:eastAsia="宋体" w:cs="宋体"/>
          <w:b w:val="0"/>
          <w:bCs w:val="0"/>
          <w:sz w:val="24"/>
          <w:szCs w:val="24"/>
          <w:highlight w:val="none"/>
          <w:lang w:val="en-US" w:eastAsia="zh-CN"/>
        </w:rPr>
        <w:t>成交通知书</w:t>
      </w:r>
      <w:r>
        <w:rPr>
          <w:rFonts w:hint="default" w:ascii="宋体" w:hAnsi="宋体" w:eastAsia="宋体" w:cs="宋体"/>
          <w:b w:val="0"/>
          <w:bCs w:val="0"/>
          <w:sz w:val="24"/>
          <w:szCs w:val="24"/>
          <w:highlight w:val="none"/>
          <w:lang w:val="en-US" w:eastAsia="zh-CN"/>
        </w:rPr>
        <w:t>发出之日起 5 个工作日内退还未中标投标人的投标保证金，自政府采购合同签订之日起 5 个工作日内退还中标人的投标保证金。</w:t>
      </w:r>
    </w:p>
    <w:p w14:paraId="2C79E06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23.3 有下列情形之一的，投标保证金将不予退还：</w:t>
      </w:r>
    </w:p>
    <w:p w14:paraId="6E3D31D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（1）投标人在规定的投标有效期内撤回或修改其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7DF1443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（2）中标</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通知书发出后三十天内，中标人无正当理由拒签合同协议书或未按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规定提交履约担保。</w:t>
      </w:r>
    </w:p>
    <w:p w14:paraId="222CA8F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（3）提供虚假材料谋取中标的；</w:t>
      </w:r>
    </w:p>
    <w:p w14:paraId="3E99CB8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（4）经查实属于陪标、串通投标的等。</w:t>
      </w:r>
    </w:p>
    <w:p w14:paraId="4DCEED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23.4 投标保证金按投标人须知前附表规定执行。</w:t>
      </w:r>
    </w:p>
    <w:p w14:paraId="3132855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6769607A">
      <w:pPr>
        <w:pStyle w:val="34"/>
        <w:rPr>
          <w:rFonts w:hint="default" w:ascii="宋体" w:hAnsi="宋体" w:eastAsia="宋体" w:cs="宋体"/>
          <w:b w:val="0"/>
          <w:bCs w:val="0"/>
          <w:sz w:val="24"/>
          <w:szCs w:val="24"/>
          <w:highlight w:val="none"/>
          <w:lang w:val="en-US" w:eastAsia="zh-CN"/>
        </w:rPr>
      </w:pPr>
    </w:p>
    <w:p w14:paraId="2A3E3170">
      <w:pPr>
        <w:rPr>
          <w:rFonts w:hint="default"/>
          <w:lang w:val="en-US" w:eastAsia="zh-CN"/>
        </w:rPr>
      </w:pPr>
    </w:p>
    <w:p w14:paraId="037A3B86">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lang w:val="en-US" w:eastAsia="zh-CN"/>
        </w:rPr>
        <w:t>响应文件</w:t>
      </w:r>
      <w:r>
        <w:rPr>
          <w:rFonts w:hint="default" w:ascii="宋体" w:hAnsi="宋体" w:eastAsia="宋体" w:cs="宋体"/>
          <w:b/>
          <w:bCs/>
          <w:sz w:val="24"/>
          <w:szCs w:val="24"/>
          <w:highlight w:val="none"/>
          <w:lang w:val="en-US" w:eastAsia="zh-CN"/>
        </w:rPr>
        <w:t>的制作、上传及递交要求</w:t>
      </w:r>
    </w:p>
    <w:p w14:paraId="1B21466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的制作要求</w:t>
      </w:r>
    </w:p>
    <w:p w14:paraId="767F764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（1）供应商应按照</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组成内容及项目招标需求和新疆政府采购云平台要求制作</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，不按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和新疆政府采购云平台要求制作</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的将视情况处理（拒收等）</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由此产生的责任由供应商自行承担。</w:t>
      </w:r>
    </w:p>
    <w:p w14:paraId="528FC39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部分：供应商应根据“政采云供应商项目采购-电子招投标操作指南 ”及本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规定的格式和顺序编制电子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并进行关联定位。本文件《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格式》中有提供格式的，供应商应按照格式进行编制（格式中要求提供相关证明材料的还需后附相关证明材料）</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并按格式要求在指定位置根据要求进行签章，否则视为未提供；本文件《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格式》未提供格式的，请供应商自行拟定格式，并加盖单位公章，否则视为未提供。</w:t>
      </w:r>
    </w:p>
    <w:p w14:paraId="4003189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（2）供应商应对所提供的全部资料的真实性、有效性承担法律责任，电子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中所须加盖公章部分均采用CA 签章。</w:t>
      </w:r>
    </w:p>
    <w:p w14:paraId="32F3C05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以及供应商与采购组织机构就有关投标事宜的所有来往函电，均应以中文汉语书写。除签字、盖章、专用名称等特殊情形外，以中文汉语以外的文字表述的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视同未提供。</w:t>
      </w:r>
    </w:p>
    <w:p w14:paraId="3D4DCDF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（4）投标计量单位，</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已有明确规定的，使用</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规定的计量单位；</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没有规定的，应采用中华人民共和国法定计量单位（货币单位：人民币元）。</w:t>
      </w:r>
    </w:p>
    <w:p w14:paraId="0D9BD65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（5）若供应商不按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的要求提供资格审查材料，其风险由供应商自行承担。</w:t>
      </w:r>
    </w:p>
    <w:p w14:paraId="7EF18D6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（6）与本次投标无关的内容请不要制作在内，确保</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有针对性、简洁明了。</w:t>
      </w:r>
    </w:p>
    <w:p w14:paraId="4341941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25.</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的上传</w:t>
      </w:r>
    </w:p>
    <w:p w14:paraId="5D9371B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 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“.jmbs ”格式）：</w:t>
      </w:r>
    </w:p>
    <w:p w14:paraId="6DCEBAD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a. 供应商应在投标截止时间前将电子加密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成功上传递交至新疆政府采购云平台，否则投标无效；</w:t>
      </w:r>
    </w:p>
    <w:p w14:paraId="4CE481D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b.供应商成功上传电子加密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后，可自行打印</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接收回执。</w:t>
      </w:r>
    </w:p>
    <w:p w14:paraId="0C3DA1F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26.</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的递交要求</w:t>
      </w:r>
    </w:p>
    <w:p w14:paraId="5A7ACB5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（1）供应商须按照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和政采云平台的要求编制并加密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。在</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递交截止时间以前完成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的传输递交，截止时间后递交的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，将被拒收。</w:t>
      </w:r>
    </w:p>
    <w:p w14:paraId="6DD6D3D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（2）如有特殊情况，采购组织机构延长截止时间和开标时间，采购组织机构和供应商的权利和义务将受到新的截止时间和开标时间的约束。</w:t>
      </w:r>
    </w:p>
    <w:p w14:paraId="6CBF643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27．</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的补充、修改与撤回</w:t>
      </w:r>
    </w:p>
    <w:p w14:paraId="4CF8363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撤回。投标截止时间后传输递交的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，“政府采购云平台 ”将予以拒收。投标截止时间后</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供应商不得修改（补充）或撤回其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3F0AD19A">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（五）开 标、评标和定标</w:t>
      </w:r>
    </w:p>
    <w:p w14:paraId="1FF14FB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 开标</w:t>
      </w:r>
    </w:p>
    <w:p w14:paraId="7A37A7D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28.1 开标邀请</w:t>
      </w:r>
    </w:p>
    <w:p w14:paraId="3B7B99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（1）开标准备：本项目开标的准备工作由采购组织机构负责落实，开标过程由采购组织机构负责记录；</w:t>
      </w:r>
    </w:p>
    <w:p w14:paraId="3DF44AA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（2）开标主持：本项目开标由采购人或者采购代理机构主持；</w:t>
      </w:r>
    </w:p>
    <w:p w14:paraId="75FF691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（3）开标邀请：本项目采用电子交易，采购组织机构将按照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规定的时间通过“新疆政府采购云平台， 网址：www.zcygov.cn ”组织开标、开启投标</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，所有供应商均应当准时在线参加。</w:t>
      </w:r>
    </w:p>
    <w:p w14:paraId="2944072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无法按时解密等一切后果由供应商自行承担。</w:t>
      </w:r>
    </w:p>
    <w:p w14:paraId="319E05D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28.2 开标程序（先资格、商务技术后报价）</w:t>
      </w:r>
    </w:p>
    <w:p w14:paraId="64B2DF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（1）开标时间到后，主持人宣布开标会议开始。</w:t>
      </w:r>
    </w:p>
    <w:p w14:paraId="1EA52A9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解密（解密规定见《供应商须知前附表》 ）。</w:t>
      </w:r>
    </w:p>
    <w:p w14:paraId="2EE4426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解密异常情况处理（处理办法见《供应商须知前附表》 ）。</w:t>
      </w:r>
    </w:p>
    <w:p w14:paraId="2C63A89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（4）公布</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解密情况（</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成功解密的供应商名单等信息）。</w:t>
      </w:r>
    </w:p>
    <w:p w14:paraId="49AF304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（5）开启标书信息（资格证明文件、商务技术文件）。标书信息开启后，首先由采购人或采购代理机构或评审小组依法对投标供应商的资格证明文件进行审查</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审查结束公布投标供应商的资格符合情况。资格审查未获通过的供应商，其商务技术文件及报价文件不再进入评审。</w:t>
      </w:r>
    </w:p>
    <w:p w14:paraId="60D4C89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（6）商务技术评审结束后，主持人公布商务技术评审无效投标供应商名单和商务技术评审有效投标供应商名单及其商务技术得分情况。商务技术评审无效的供应商，其报价不再进入评审。</w:t>
      </w:r>
    </w:p>
    <w:p w14:paraId="62638C6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（7）开启有效投标供应商的报价，公布开标一览表有关内容，并【开启签字时段】</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供应商对开标纪录进行在线签字确认（不予确认的应说明理由，否则视为无异议）。开标结束后，由评标委员会对报价的合理性、准确性等进行审查核实。</w:t>
      </w:r>
    </w:p>
    <w:p w14:paraId="3CB2F6A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（8）评审结束后，采购代理机构在系统上公布评审结果。</w:t>
      </w:r>
    </w:p>
    <w:p w14:paraId="5A75FB6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特别情况说明：</w:t>
      </w:r>
    </w:p>
    <w:p w14:paraId="4819AC2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（1）本项目采用电子交易，如遇“新疆政府采购云平台 ”电子化开标或评审程序调整的，按调整后程序执行。</w:t>
      </w:r>
    </w:p>
    <w:p w14:paraId="3B67D9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（2）开标过程中需要相关当事人进行签字或盖章确认的材料将通过“政府采购云平台 ”进行，若因“政府采购云平台 ”技术问题无法进行签字或盖章确认的，采购组织机构将通过电子邮件等形式予以确认，请供应商保证办理投标事宜人员电话畅通、网络在线，签字或盖章确认的时间为</w:t>
      </w:r>
      <w:r>
        <w:rPr>
          <w:rFonts w:hint="eastAsia" w:ascii="宋体" w:hAnsi="宋体" w:cs="宋体"/>
          <w:b/>
          <w:bCs/>
          <w:sz w:val="24"/>
          <w:szCs w:val="24"/>
          <w:highlight w:val="none"/>
          <w:lang w:val="en-US" w:eastAsia="zh-CN"/>
        </w:rPr>
        <w:t>20</w:t>
      </w:r>
      <w:r>
        <w:rPr>
          <w:rFonts w:hint="default" w:ascii="宋体" w:hAnsi="宋体" w:eastAsia="宋体" w:cs="宋体"/>
          <w:b/>
          <w:bCs/>
          <w:sz w:val="24"/>
          <w:szCs w:val="24"/>
          <w:highlight w:val="none"/>
          <w:lang w:val="en-US" w:eastAsia="zh-CN"/>
        </w:rPr>
        <w:t>分钟。如未及时签字或盖章确认的，视为无异议。</w:t>
      </w:r>
    </w:p>
    <w:p w14:paraId="5A3B82F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28.3 投标供应商资格审查：</w:t>
      </w:r>
    </w:p>
    <w:p w14:paraId="51E7DAF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（1）开标（标书信息开启）后，采购人或采购代理机构或评审小组首先依法对投标供应商的资格文件进行审查， 审查各投标供应商的资格符合情况。采购人或采购代理机构或评审小组对投标供应商所提交的资格证明材料仅负审核的责任。如发现投标供应商所提交的资格证明材料不合法或与事实不符，采购人可取消其中标资格并追究投标供应商的法律责任。</w:t>
      </w:r>
    </w:p>
    <w:p w14:paraId="74F6078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（2）投标供应商提交的资格证明材料无法证明其符合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规定的“投标供应商资格要求</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的，采购人或采购代理机构将对其作“资格审查不合格 ”处理（无效投标），并不再将其投标提交评标委员会进行后续评审。</w:t>
      </w:r>
    </w:p>
    <w:p w14:paraId="54679EA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（3）供应商信用记录查询与使用：见《</w:t>
      </w:r>
      <w:r>
        <w:rPr>
          <w:rFonts w:hint="eastAsia" w:ascii="宋体" w:hAnsi="宋体" w:eastAsia="宋体" w:cs="宋体"/>
          <w:b w:val="0"/>
          <w:bCs w:val="0"/>
          <w:sz w:val="24"/>
          <w:szCs w:val="24"/>
          <w:highlight w:val="none"/>
          <w:lang w:val="en-US" w:eastAsia="zh-CN"/>
        </w:rPr>
        <w:t>投标人</w:t>
      </w:r>
      <w:r>
        <w:rPr>
          <w:rFonts w:hint="default" w:ascii="宋体" w:hAnsi="宋体" w:eastAsia="宋体" w:cs="宋体"/>
          <w:b w:val="0"/>
          <w:bCs w:val="0"/>
          <w:sz w:val="24"/>
          <w:szCs w:val="24"/>
          <w:highlight w:val="none"/>
          <w:lang w:val="en-US" w:eastAsia="zh-CN"/>
        </w:rPr>
        <w:t>须知前附表》。</w:t>
      </w:r>
    </w:p>
    <w:p w14:paraId="4C6D215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29.评审工作的组织</w:t>
      </w:r>
    </w:p>
    <w:p w14:paraId="44229AE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采购人或采购代理机构负责组织本项目的评审工作，并依据《政府采购货物和服务招标投标管理办法（财政部第 87 号令）》第四十五条的相关规定履行职责。</w:t>
      </w:r>
    </w:p>
    <w:p w14:paraId="3678970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30. 评标委员会的组建</w:t>
      </w:r>
    </w:p>
    <w:p w14:paraId="04AC027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yellow"/>
          <w:lang w:val="en-US" w:eastAsia="zh-CN"/>
        </w:rPr>
      </w:pPr>
      <w:r>
        <w:rPr>
          <w:rFonts w:hint="default" w:ascii="宋体" w:hAnsi="宋体" w:eastAsia="宋体" w:cs="宋体"/>
          <w:b w:val="0"/>
          <w:bCs w:val="0"/>
          <w:sz w:val="24"/>
          <w:szCs w:val="24"/>
          <w:highlight w:val="none"/>
          <w:lang w:val="en-US" w:eastAsia="zh-CN"/>
        </w:rPr>
        <w:t xml:space="preserve">30.1 </w:t>
      </w:r>
      <w:r>
        <w:rPr>
          <w:rFonts w:hint="default" w:ascii="宋体" w:hAnsi="宋体" w:eastAsia="宋体" w:cs="宋体"/>
          <w:b/>
          <w:bCs/>
          <w:sz w:val="24"/>
          <w:szCs w:val="24"/>
          <w:highlight w:val="none"/>
          <w:lang w:val="en-US" w:eastAsia="zh-CN"/>
        </w:rPr>
        <w:t>评标委员会由采购人或采购代理机构依法组建，成员由评审专家组成，成员人数为</w:t>
      </w:r>
      <w:r>
        <w:rPr>
          <w:rFonts w:hint="eastAsia" w:ascii="宋体" w:hAnsi="宋体" w:cs="宋体"/>
          <w:b/>
          <w:bCs/>
          <w:sz w:val="24"/>
          <w:szCs w:val="24"/>
          <w:highlight w:val="none"/>
          <w:lang w:val="en-US" w:eastAsia="zh-CN"/>
        </w:rPr>
        <w:t>3</w:t>
      </w:r>
      <w:r>
        <w:rPr>
          <w:rFonts w:hint="default" w:ascii="宋体" w:hAnsi="宋体" w:eastAsia="宋体" w:cs="宋体"/>
          <w:b/>
          <w:bCs/>
          <w:sz w:val="24"/>
          <w:szCs w:val="24"/>
          <w:highlight w:val="none"/>
          <w:lang w:val="en-US" w:eastAsia="zh-CN"/>
        </w:rPr>
        <w:t>人。</w:t>
      </w:r>
    </w:p>
    <w:p w14:paraId="1F58575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30.2 评审专家从新疆政府采购云平台专家库中通过随机方式抽取产生。评标委员会成员名单在采购结果公告前保密。</w:t>
      </w:r>
    </w:p>
    <w:p w14:paraId="0F6846B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31.评标委员会的职责</w:t>
      </w:r>
    </w:p>
    <w:p w14:paraId="72E0A08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31.1 审查、评价</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是否符合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的商务、技术等实质性要求。</w:t>
      </w:r>
    </w:p>
    <w:p w14:paraId="1D1B1E0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31.2 要求供应商对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有关事项作出澄清或者说明。</w:t>
      </w:r>
    </w:p>
    <w:p w14:paraId="700CD1A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31.3 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进行比较和评价。</w:t>
      </w:r>
    </w:p>
    <w:p w14:paraId="3A9B22B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31.4 确定中标</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候选人名单</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以及根据采购人委托直接确定中标人。</w:t>
      </w:r>
    </w:p>
    <w:p w14:paraId="4CF63FE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31.5 向采购人、采购代理机构或者有关部门报告评审中发现的违法行为。</w:t>
      </w:r>
    </w:p>
    <w:p w14:paraId="3EE8970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 评标原则</w:t>
      </w:r>
    </w:p>
    <w:p w14:paraId="0A88CD3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32.1 评标委员会将遵循公平、公正、科学的原则，对供应商提交的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进行综合评审，评标委员会按照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规定的评标细则进行评分。</w:t>
      </w:r>
    </w:p>
    <w:p w14:paraId="4F6352A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32.2 客观公正对待所有供应商，对所有投标评价均采用相同的程序和标准。</w:t>
      </w:r>
    </w:p>
    <w:p w14:paraId="4042CA7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32.3 评标委员会成员对需要共同认定的事项存在争议的，按照少数服从多数的原则作出结论。持不同意见的评标委员会成员应当在评审报告上签署不同意见及理由，否则视为同意评审报告。</w:t>
      </w:r>
    </w:p>
    <w:p w14:paraId="13F2153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FF000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32.4 </w:t>
      </w:r>
      <w:r>
        <w:rPr>
          <w:rFonts w:hint="default" w:ascii="宋体" w:hAnsi="宋体" w:eastAsia="宋体" w:cs="宋体"/>
          <w:b w:val="0"/>
          <w:bCs w:val="0"/>
          <w:color w:val="auto"/>
          <w:sz w:val="24"/>
          <w:szCs w:val="24"/>
          <w:highlight w:val="none"/>
          <w:lang w:val="en-US" w:eastAsia="zh-CN"/>
        </w:rPr>
        <w:t>本项目为服务类采购项目，不适用财政部令第87号《政府采购货物和服务招标投标管理办法》第三十一条同品牌产品投标的相关规定。</w:t>
      </w:r>
    </w:p>
    <w:p w14:paraId="35D63E1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33. 评委纪律</w:t>
      </w:r>
    </w:p>
    <w:p w14:paraId="1ACA1F1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评标委员会成员必须严格遵守保密规定，不得泄露评审的有关情况，任何单位和个人不得干扰、影响评标的正常进行，评标委员会成员不得私下与投标供应商接触</w:t>
      </w:r>
      <w:r>
        <w:rPr>
          <w:rFonts w:hint="eastAsia" w:ascii="宋体" w:hAnsi="宋体" w:eastAsia="宋体" w:cs="宋体"/>
          <w:b w:val="0"/>
          <w:bCs w:val="0"/>
          <w:sz w:val="24"/>
          <w:szCs w:val="24"/>
          <w:highlight w:val="none"/>
          <w:lang w:val="en-US" w:eastAsia="zh-CN"/>
        </w:rPr>
        <w:t>。</w:t>
      </w:r>
    </w:p>
    <w:p w14:paraId="2F83DE67">
      <w:pPr>
        <w:widowControl/>
        <w:shd w:val="clear" w:color="auto" w:fill="auto"/>
        <w:spacing w:line="440" w:lineRule="exact"/>
        <w:rPr>
          <w:rFonts w:hint="eastAsia" w:ascii="宋体"/>
          <w:b/>
          <w:bCs/>
          <w:color w:val="auto"/>
          <w:sz w:val="24"/>
          <w:szCs w:val="24"/>
          <w:highlight w:val="none"/>
        </w:rPr>
      </w:pPr>
      <w:r>
        <w:rPr>
          <w:rFonts w:hint="eastAsia" w:ascii="宋体"/>
          <w:b/>
          <w:bCs/>
          <w:color w:val="auto"/>
          <w:sz w:val="24"/>
          <w:szCs w:val="24"/>
          <w:highlight w:val="none"/>
          <w:lang w:val="en-US" w:eastAsia="zh-CN"/>
        </w:rPr>
        <w:t>34.</w:t>
      </w:r>
      <w:r>
        <w:rPr>
          <w:rFonts w:hint="eastAsia" w:ascii="宋体"/>
          <w:b/>
          <w:bCs/>
          <w:color w:val="auto"/>
          <w:sz w:val="24"/>
          <w:szCs w:val="24"/>
          <w:highlight w:val="none"/>
        </w:rPr>
        <w:t>评标程序</w:t>
      </w:r>
    </w:p>
    <w:p w14:paraId="7D47B538">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1 在评审专家中推选评标委员会组长，采购人代表不得担任评标委员会组长。</w:t>
      </w:r>
    </w:p>
    <w:p w14:paraId="1E68ADDC">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2 评标委员会组长召集成员认真阅读</w:t>
      </w:r>
      <w:r>
        <w:rPr>
          <w:rFonts w:hint="eastAsia" w:ascii="宋体"/>
          <w:color w:val="auto"/>
          <w:sz w:val="24"/>
          <w:szCs w:val="24"/>
          <w:highlight w:val="none"/>
          <w:lang w:eastAsia="zh-CN"/>
        </w:rPr>
        <w:t>磋商文件</w:t>
      </w:r>
      <w:r>
        <w:rPr>
          <w:rFonts w:hint="eastAsia" w:ascii="宋体"/>
          <w:color w:val="auto"/>
          <w:sz w:val="24"/>
          <w:szCs w:val="24"/>
          <w:highlight w:val="none"/>
        </w:rPr>
        <w:t>以及相关补充、质疑、答复文件、项目书面说明等材料，熟悉采购项目的基本概况，采购项目的质量要求、数量、主要技术标准或服务需求，采购合同主要条款，</w:t>
      </w:r>
      <w:r>
        <w:rPr>
          <w:rFonts w:hint="eastAsia" w:ascii="宋体"/>
          <w:color w:val="auto"/>
          <w:sz w:val="24"/>
          <w:szCs w:val="24"/>
          <w:highlight w:val="none"/>
          <w:lang w:eastAsia="zh-CN"/>
        </w:rPr>
        <w:t>响应文件</w:t>
      </w:r>
      <w:r>
        <w:rPr>
          <w:rFonts w:hint="eastAsia" w:ascii="宋体"/>
          <w:color w:val="auto"/>
          <w:sz w:val="24"/>
          <w:szCs w:val="24"/>
          <w:highlight w:val="none"/>
        </w:rPr>
        <w:t>无效情形，评审方法、评审依据、评审标准等。</w:t>
      </w:r>
    </w:p>
    <w:p w14:paraId="3345BDB5">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3 评审人员对符合资格的供应商的</w:t>
      </w:r>
      <w:r>
        <w:rPr>
          <w:rFonts w:hint="eastAsia" w:ascii="宋体"/>
          <w:color w:val="auto"/>
          <w:sz w:val="24"/>
          <w:szCs w:val="24"/>
          <w:highlight w:val="none"/>
          <w:lang w:eastAsia="zh-CN"/>
        </w:rPr>
        <w:t>响应文件</w:t>
      </w:r>
      <w:r>
        <w:rPr>
          <w:rFonts w:hint="eastAsia" w:ascii="宋体"/>
          <w:color w:val="auto"/>
          <w:sz w:val="24"/>
          <w:szCs w:val="24"/>
          <w:highlight w:val="none"/>
        </w:rPr>
        <w:t>的有效性、符合性、完整性和响应程度进行审查，确定是否对</w:t>
      </w:r>
      <w:r>
        <w:rPr>
          <w:rFonts w:hint="eastAsia" w:ascii="宋体"/>
          <w:color w:val="auto"/>
          <w:sz w:val="24"/>
          <w:szCs w:val="24"/>
          <w:highlight w:val="none"/>
          <w:lang w:eastAsia="zh-CN"/>
        </w:rPr>
        <w:t>磋商文件</w:t>
      </w:r>
      <w:r>
        <w:rPr>
          <w:rFonts w:hint="eastAsia" w:ascii="宋体"/>
          <w:color w:val="auto"/>
          <w:sz w:val="24"/>
          <w:szCs w:val="24"/>
          <w:highlight w:val="none"/>
        </w:rPr>
        <w:t>作出实质性响应。</w:t>
      </w:r>
    </w:p>
    <w:p w14:paraId="757B365D">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4 评审人员按</w:t>
      </w:r>
      <w:r>
        <w:rPr>
          <w:rFonts w:hint="eastAsia" w:ascii="宋体"/>
          <w:color w:val="auto"/>
          <w:sz w:val="24"/>
          <w:szCs w:val="24"/>
          <w:highlight w:val="none"/>
          <w:lang w:eastAsia="zh-CN"/>
        </w:rPr>
        <w:t>磋商文件</w:t>
      </w:r>
      <w:r>
        <w:rPr>
          <w:rFonts w:hint="eastAsia" w:ascii="宋体"/>
          <w:color w:val="auto"/>
          <w:sz w:val="24"/>
          <w:szCs w:val="24"/>
          <w:highlight w:val="none"/>
        </w:rPr>
        <w:t>规定的评审方法和评审标准，依法独立对供应商</w:t>
      </w:r>
      <w:r>
        <w:rPr>
          <w:rFonts w:hint="eastAsia" w:ascii="宋体"/>
          <w:color w:val="auto"/>
          <w:sz w:val="24"/>
          <w:szCs w:val="24"/>
          <w:highlight w:val="none"/>
          <w:lang w:eastAsia="zh-CN"/>
        </w:rPr>
        <w:t>响应文件</w:t>
      </w:r>
      <w:r>
        <w:rPr>
          <w:rFonts w:hint="eastAsia" w:ascii="宋体"/>
          <w:color w:val="auto"/>
          <w:sz w:val="24"/>
          <w:szCs w:val="24"/>
          <w:highlight w:val="none"/>
        </w:rPr>
        <w:t>进行评估、比较，并给予评价或打分，不受任何单位和个人的干预。</w:t>
      </w:r>
    </w:p>
    <w:p w14:paraId="497DC6F8">
      <w:pPr>
        <w:widowControl/>
        <w:shd w:val="clear" w:color="auto" w:fill="auto"/>
        <w:spacing w:line="360" w:lineRule="auto"/>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综合评分法</w:t>
      </w:r>
      <w:r>
        <w:rPr>
          <w:rFonts w:hint="eastAsia" w:ascii="宋体" w:hAnsi="宋体" w:eastAsia="宋体" w:cs="宋体"/>
          <w:color w:val="auto"/>
          <w:kern w:val="0"/>
          <w:sz w:val="24"/>
          <w:szCs w:val="24"/>
          <w:highlight w:val="none"/>
          <w:lang w:val="en-US" w:eastAsia="zh-CN"/>
        </w:rPr>
        <w:t>服务</w:t>
      </w:r>
      <w:r>
        <w:rPr>
          <w:rFonts w:hint="eastAsia" w:ascii="宋体" w:hAnsi="宋体" w:eastAsia="宋体" w:cs="宋体"/>
          <w:color w:val="auto"/>
          <w:kern w:val="0"/>
          <w:sz w:val="24"/>
          <w:szCs w:val="24"/>
          <w:highlight w:val="none"/>
        </w:rPr>
        <w:t>项目的价格分值占总分值的比重(即权值)为</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，采购项目中含不同采购对象的，以占项目资金比例最高的采购对象确定其项目属性。其价格不列为评分因素，有特殊情况需要在上述规定范围外设定价格分权重的。</w:t>
      </w:r>
    </w:p>
    <w:p w14:paraId="0034A623">
      <w:pPr>
        <w:widowControl/>
        <w:shd w:val="clear" w:color="auto" w:fill="auto"/>
        <w:spacing w:line="360" w:lineRule="auto"/>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综合评分法中的价格分统一采用低价优先法计算，即满足</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要求且最后报价最低的供应商的价格为</w:t>
      </w:r>
      <w:r>
        <w:rPr>
          <w:rFonts w:hint="eastAsia" w:ascii="宋体" w:hAnsi="宋体" w:eastAsia="宋体" w:cs="宋体"/>
          <w:color w:val="auto"/>
          <w:kern w:val="0"/>
          <w:sz w:val="24"/>
          <w:szCs w:val="24"/>
          <w:highlight w:val="none"/>
          <w:lang w:eastAsia="zh-CN"/>
        </w:rPr>
        <w:t>招标</w:t>
      </w:r>
      <w:r>
        <w:rPr>
          <w:rFonts w:hint="eastAsia" w:ascii="宋体" w:hAnsi="宋体" w:eastAsia="宋体" w:cs="宋体"/>
          <w:color w:val="auto"/>
          <w:kern w:val="0"/>
          <w:sz w:val="24"/>
          <w:szCs w:val="24"/>
          <w:highlight w:val="none"/>
        </w:rPr>
        <w:t>基准价，其价格分为满分。其他供应商的价格分统一按照下列公式计算：</w:t>
      </w:r>
    </w:p>
    <w:p w14:paraId="54321674">
      <w:pPr>
        <w:widowControl/>
        <w:shd w:val="clear" w:color="auto" w:fill="auto"/>
        <w:spacing w:line="360" w:lineRule="auto"/>
        <w:ind w:firstLine="48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报价得分=（基准价/</w:t>
      </w: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w:t>
      </w:r>
      <w:r>
        <w:rPr>
          <w:rFonts w:hint="eastAsia" w:ascii="宋体" w:hAnsi="宋体" w:cs="宋体"/>
          <w:color w:val="auto"/>
          <w:kern w:val="0"/>
          <w:sz w:val="24"/>
          <w:szCs w:val="24"/>
          <w:highlight w:val="none"/>
          <w:lang w:val="en-US" w:eastAsia="zh-CN"/>
        </w:rPr>
        <w:t>20</w:t>
      </w:r>
    </w:p>
    <w:p w14:paraId="0B7F7B30">
      <w:pPr>
        <w:widowControl/>
        <w:shd w:val="clear" w:color="auto" w:fill="auto"/>
        <w:spacing w:line="360" w:lineRule="auto"/>
        <w:ind w:firstLine="480"/>
        <w:rPr>
          <w:rFonts w:hint="eastAsia" w:ascii="宋体"/>
          <w:color w:val="auto"/>
          <w:sz w:val="24"/>
          <w:szCs w:val="24"/>
          <w:highlight w:val="none"/>
          <w:lang w:val="en-US" w:eastAsia="zh-CN"/>
        </w:rPr>
      </w:pPr>
      <w:r>
        <w:rPr>
          <w:rFonts w:hint="eastAsia" w:ascii="宋体" w:hAnsi="宋体" w:eastAsia="宋体" w:cs="宋体"/>
          <w:color w:val="auto"/>
          <w:kern w:val="0"/>
          <w:sz w:val="24"/>
          <w:szCs w:val="24"/>
          <w:highlight w:val="none"/>
        </w:rPr>
        <w:t>项目评审过程中，不得去掉最后报价中的最高报价和最低报价。</w:t>
      </w:r>
    </w:p>
    <w:p w14:paraId="1F6AA0FF">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5AD6F5AC">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情形的，应由相关人员当场改正或作出书面说明；拒不改正又不作书面说明的，由现场监督员如实记载后存入项目档案资料。</w:t>
      </w:r>
    </w:p>
    <w:p w14:paraId="558FE360">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7 评标委员会根据评审汇总情况和</w:t>
      </w:r>
      <w:r>
        <w:rPr>
          <w:rFonts w:hint="eastAsia" w:ascii="宋体"/>
          <w:color w:val="auto"/>
          <w:sz w:val="24"/>
          <w:szCs w:val="24"/>
          <w:highlight w:val="none"/>
          <w:lang w:eastAsia="zh-CN"/>
        </w:rPr>
        <w:t>竞争性磋商文件</w:t>
      </w:r>
      <w:r>
        <w:rPr>
          <w:rFonts w:hint="eastAsia" w:ascii="宋体"/>
          <w:color w:val="auto"/>
          <w:sz w:val="24"/>
          <w:szCs w:val="24"/>
          <w:highlight w:val="none"/>
        </w:rPr>
        <w:t>规定确定中标</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val="en-US" w:eastAsia="zh-CN"/>
        </w:rPr>
        <w:t>(成交)</w:t>
      </w:r>
      <w:r>
        <w:rPr>
          <w:rFonts w:hint="eastAsia" w:ascii="宋体"/>
          <w:color w:val="auto"/>
          <w:sz w:val="24"/>
          <w:szCs w:val="24"/>
          <w:highlight w:val="none"/>
        </w:rPr>
        <w:t>候选供应商排序名单。</w:t>
      </w:r>
    </w:p>
    <w:p w14:paraId="06ED7FCD">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 xml:space="preserve">8 起草评审报告，所有评审人员须在评审报告上签字确认，对自己的评审意见承担法律责任。 </w:t>
      </w:r>
    </w:p>
    <w:p w14:paraId="3A2E8C05">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9 采购组织机构对评标委员会评审专家进行评价。</w:t>
      </w:r>
    </w:p>
    <w:p w14:paraId="0C5E94F9">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10 修改评审结果</w:t>
      </w:r>
    </w:p>
    <w:p w14:paraId="2AA5C21A">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评标结果汇总完成后，除下列情形外，任何人不得修改评标结果：</w:t>
      </w:r>
    </w:p>
    <w:p w14:paraId="4933AFE6">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（1）分值汇总计算错误的；</w:t>
      </w:r>
    </w:p>
    <w:p w14:paraId="14364BFC">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（2）分项评分超出评分标准范围的；</w:t>
      </w:r>
    </w:p>
    <w:p w14:paraId="11390BB0">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（3）评标委员会成员对客观评审因素评分不一致的；</w:t>
      </w:r>
    </w:p>
    <w:p w14:paraId="0568E1C0">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（4）经评标委员会认定评分畸高、畸低的。</w:t>
      </w:r>
    </w:p>
    <w:p w14:paraId="0A0FBD38">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4059EC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35．澄清、说明或补正的形式</w:t>
      </w:r>
    </w:p>
    <w:p w14:paraId="40B9132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35.1 对于</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中含义不明确、同类问题表述不一致或者有明显文字和计算错误的内容，评标委员会 将通过“政府采购云平台 ”在线询标的方式要求投标供应商在规定的时间内作出必要的澄清、说明或者补正，投标供应商澄清、说明或补正时间为</w:t>
      </w:r>
      <w:r>
        <w:rPr>
          <w:rFonts w:hint="eastAsia" w:ascii="宋体" w:hAnsi="宋体" w:eastAsia="宋体" w:cs="宋体"/>
          <w:b w:val="0"/>
          <w:bCs w:val="0"/>
          <w:sz w:val="24"/>
          <w:szCs w:val="24"/>
          <w:highlight w:val="none"/>
          <w:lang w:val="en-US" w:eastAsia="zh-CN"/>
        </w:rPr>
        <w:t>30</w:t>
      </w:r>
      <w:r>
        <w:rPr>
          <w:rFonts w:hint="default" w:ascii="宋体" w:hAnsi="宋体" w:eastAsia="宋体" w:cs="宋体"/>
          <w:b w:val="0"/>
          <w:bCs w:val="0"/>
          <w:sz w:val="24"/>
          <w:szCs w:val="24"/>
          <w:highlight w:val="none"/>
          <w:lang w:val="en-US" w:eastAsia="zh-CN"/>
        </w:rPr>
        <w:t>分钟。</w:t>
      </w:r>
    </w:p>
    <w:p w14:paraId="6A60A77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35.2 投标供应商的澄清、说明或者补正应当通过“政府采购云平台 ”在线答复的方式提交，并加盖公章 （电子印章） ，或者由法定代表人（负责人）或其授权的代表签字。投标供应商的澄清、说明或者补正不得超出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的范围或者改变</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的实质性内容，不接受投标供应商主动对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的澄清、说明或者补正。</w:t>
      </w:r>
    </w:p>
    <w:p w14:paraId="49E0BAD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35.3 上述询标、澄清、说明和补正工作如因客观原因无法通过“政府采购云平台 ”在线进行的，将采用电子邮件等形式进行，请供应商保证办理投标事宜人员电话畅通、网络在线。如未及时进行澄清、说明或者补正的，视为放弃澄清、说明或者补正的权利。</w:t>
      </w:r>
    </w:p>
    <w:p w14:paraId="5237BF1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36．错误修正的原则</w:t>
      </w:r>
    </w:p>
    <w:p w14:paraId="39A49E7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电子交易平台客户端里开标一览表录入的投标报价与扫描上传的报价文件信息不一致的，以扫描上传的报价文件信息为准进行修正。</w:t>
      </w:r>
    </w:p>
    <w:p w14:paraId="1DAB3F0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报价出现前后不一致的，除</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另有规定外，按照下列规定修正：</w:t>
      </w:r>
    </w:p>
    <w:p w14:paraId="19BF23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36.1 投标函中表述的内容与报价表中不一致的，以报价表为准；报价表中的内容与报价明细表不一致的，以报价表为准；</w:t>
      </w:r>
    </w:p>
    <w:p w14:paraId="1A4E4BC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36.2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中的大写金额和小写金额不一致的，以大写金额为准；</w:t>
      </w:r>
    </w:p>
    <w:p w14:paraId="38BC0F6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36.3 单价金额小数点或者百分比有明显错位的，以开标一览表的总价为准，并修改单价；</w:t>
      </w:r>
    </w:p>
    <w:p w14:paraId="2D24857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36.4 总价金额与按单价汇总金额不一致的，以单价金额计算结果为准；</w:t>
      </w:r>
    </w:p>
    <w:p w14:paraId="59BD9FF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36.5 若用文字表示的数值与用数字表示的数值不一致，以文字表示的数值为准；</w:t>
      </w:r>
    </w:p>
    <w:p w14:paraId="646C710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36.6 如有多报（指数量超出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需求）、重报（指同一货物重复报价），其投标总价在评标过程中不予调整，如其中标，其合同价按其投标单价予以调整；</w:t>
      </w:r>
    </w:p>
    <w:p w14:paraId="0B588F9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36.7 对不同文字文本</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的解释发生异议的，以中文文本为准；</w:t>
      </w:r>
    </w:p>
    <w:p w14:paraId="3FC9AA0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同时出现两种以上不一致的，按照前款规定的顺序修正。按上述修正错误的原则及方法调整或修正</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的投标报价，供应商确认后，以调整或修正后的投标报价为准。如供应商拒绝调整或修正的，其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按无效标处理。修正应当采用电子询标的形式，并加盖公章（电子印章）。</w:t>
      </w:r>
    </w:p>
    <w:p w14:paraId="7944928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37．无效</w:t>
      </w:r>
      <w:r>
        <w:rPr>
          <w:rFonts w:hint="eastAsia" w:ascii="宋体" w:hAnsi="宋体" w:eastAsia="宋体" w:cs="宋体"/>
          <w:b w:val="0"/>
          <w:bCs w:val="0"/>
          <w:sz w:val="24"/>
          <w:szCs w:val="24"/>
          <w:highlight w:val="none"/>
          <w:lang w:val="en-US" w:eastAsia="zh-CN"/>
        </w:rPr>
        <w:t>响应文件</w:t>
      </w:r>
    </w:p>
    <w:p w14:paraId="595DD71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有下列情形之一的，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w:t>
      </w:r>
    </w:p>
    <w:p w14:paraId="688D921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 报名的投标人与参加投标的投标人发生实质性变更的且未提供有效证明的； </w:t>
      </w:r>
    </w:p>
    <w:p w14:paraId="5A57D36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37.2 投标人提交两份或两份以上内容不同的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，未声明哪一份有效的；</w:t>
      </w:r>
    </w:p>
    <w:p w14:paraId="72C1BAD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非投标人法定代表人签署的，未提供或提供无效的法定代表人授权书； 37.4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内容未按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规定签字或盖章的；</w:t>
      </w:r>
    </w:p>
    <w:p w14:paraId="207B64E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37.5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组成漏项或未按规定的格式编制或内容不全或内容字迹模糊辨认不清的等而导致评标活动无法正常进行；</w:t>
      </w:r>
    </w:p>
    <w:p w14:paraId="2AD0A0C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37.6 投标人未按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变更通知更改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w:t>
      </w:r>
    </w:p>
    <w:p w14:paraId="34F1800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37.7《开标一览表》和《投标分项报价表》内容不完整且不接受修正意见或字迹不能辨认的或未提供； </w:t>
      </w:r>
    </w:p>
    <w:p w14:paraId="7F601A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37.8 标项投标报价超过</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规定的预算金额或最高限价；</w:t>
      </w:r>
    </w:p>
    <w:p w14:paraId="0ACEF94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37.9 因投标人原因编制错误造成经评标委员会修正后的报价达到或超过投标报价的 0.5%；</w:t>
      </w:r>
    </w:p>
    <w:p w14:paraId="6068F74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37.10 投标人的报价明显低于其他通过符合性审查投标人的报价，有可能影响产品质量或者不能诚信履约的，且在规定时间内不能合理说明原因并提供证明材料的；</w:t>
      </w:r>
    </w:p>
    <w:p w14:paraId="442CB17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37.11 未实质性响应</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中条款要求的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3ED66B3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37.12 不符合招标范围、技术规格、技术标准的要求无法满足采购人使用要求； </w:t>
      </w:r>
    </w:p>
    <w:p w14:paraId="445B456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附有采购人不能接受的条款；</w:t>
      </w:r>
    </w:p>
    <w:p w14:paraId="54A83D2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37.14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中提供了赠品或者与本项目采购无关的其他商品、服务； </w:t>
      </w:r>
    </w:p>
    <w:p w14:paraId="7D2B35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37.15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中承诺的投标有效期少于</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中载明的投标有效期；</w:t>
      </w:r>
    </w:p>
    <w:p w14:paraId="5EF8D34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37.16 投标人串通投标，妨碍其他投标人的竞争行为，损害采购人或者其他投标人的合法权益；</w:t>
      </w:r>
    </w:p>
    <w:p w14:paraId="5980AEF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37.17 违反国家及政府部门相关法律、法规、文件规定或经评标委员会认定的其他属于重大偏离；</w:t>
      </w:r>
    </w:p>
    <w:p w14:paraId="3B14061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38．废标</w:t>
      </w:r>
    </w:p>
    <w:p w14:paraId="46BA0BB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38.1 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规定废标情形的；</w:t>
      </w:r>
    </w:p>
    <w:p w14:paraId="06E83A9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38.2 符合专业条件的供应商或者对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作实质响应的供应商不足三家的； </w:t>
      </w:r>
    </w:p>
    <w:p w14:paraId="4DFD3F5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38.2 出现影响采购公正的违法、违规行为的；</w:t>
      </w:r>
    </w:p>
    <w:p w14:paraId="3B3950F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38.3 供应商的报价均超过了采购预算（或最高限价），采购人不能支付的</w:t>
      </w:r>
      <w:r>
        <w:rPr>
          <w:rFonts w:hint="eastAsia" w:ascii="宋体" w:hAnsi="宋体" w:eastAsia="宋体" w:cs="宋体"/>
          <w:b w:val="0"/>
          <w:bCs w:val="0"/>
          <w:sz w:val="24"/>
          <w:szCs w:val="24"/>
          <w:highlight w:val="none"/>
          <w:lang w:val="en-US" w:eastAsia="zh-CN"/>
        </w:rPr>
        <w:t>；</w:t>
      </w:r>
    </w:p>
    <w:p w14:paraId="0E5CE6E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38.4 因重大变故，采购任务取消的。</w:t>
      </w:r>
    </w:p>
    <w:p w14:paraId="411D755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39．突发情况处理</w:t>
      </w:r>
    </w:p>
    <w:p w14:paraId="281C890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39.1 采购过程中出现以下情形，导致电子交易平台无法正常运行，或者无法保证电子交易的公平、公正和安全时，采购组织机构可中止电子交易活动：</w:t>
      </w:r>
    </w:p>
    <w:p w14:paraId="2190BEF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（1）电子交易平台发生故障而无法登录访问的；</w:t>
      </w:r>
    </w:p>
    <w:p w14:paraId="0CC65B2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（2）电子交易平台应用或数据库出现错误，不能进行正常操作的；</w:t>
      </w:r>
    </w:p>
    <w:p w14:paraId="3194A60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（3）电子交易平台发现严重安全漏洞，有潜在泄密危险的；</w:t>
      </w:r>
    </w:p>
    <w:p w14:paraId="1983F3A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（4）病毒发作导致不能进行正常操作的；</w:t>
      </w:r>
    </w:p>
    <w:p w14:paraId="0753BF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（5）其他无法保证电子交易的公平、公正和安全的情况。</w:t>
      </w:r>
    </w:p>
    <w:p w14:paraId="54A9DC8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3D3E8C0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39.2 采购代理机构或评审小组因不可抗力（不可抗力包括但不限于自然灾害、断电、传播疫病等）原因造成电子交易活动无法正常运行的，将采取以下措施：</w:t>
      </w:r>
    </w:p>
    <w:p w14:paraId="313ACED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（1）短时间内能消除不可抗力因素的，采购代理机构或评审小组在消除不可抗力因素后继续组织电子交易活动；</w:t>
      </w:r>
    </w:p>
    <w:p w14:paraId="16AFBD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（2）长时间内无法消除不可抗力因素的，采购代理机构或评审小组将中止电子交易活动。中止电子交易活动的，采购人应当重新组织政府采购活动。</w:t>
      </w:r>
    </w:p>
    <w:p w14:paraId="7B0620C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40.定标</w:t>
      </w:r>
    </w:p>
    <w:p w14:paraId="12F0B93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40.1 采购结果确认（确定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w:t>
      </w:r>
    </w:p>
    <w:p w14:paraId="39AE0552">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采购结果确认（确定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供应商）：本项目由采购人根据评标委员会提交的《评审报告》，通过“政府采购云平台 ”依法确认采购结果、确定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供应商。具体流程如下：</w:t>
      </w:r>
    </w:p>
    <w:p w14:paraId="3134C1A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（1）采购代理机构将在评审结束后 2 个工作日内将评审报告送采购人。</w:t>
      </w:r>
    </w:p>
    <w:p w14:paraId="6DE45AB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（2）采购人将在收到评审报告之日起 5 个工作日内，在评审报告推荐的</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候选供应商名单中按顺序确定</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，并将确认意见以书面形式回复采购代理机构。</w:t>
      </w:r>
    </w:p>
    <w:p w14:paraId="19B4D30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val="0"/>
          <w:bCs w:val="0"/>
          <w:sz w:val="24"/>
          <w:szCs w:val="24"/>
          <w:highlight w:val="none"/>
          <w:lang w:val="en-US" w:eastAsia="zh-CN"/>
        </w:rPr>
        <w:t>40.2 采购结果经采购人确认后 2个工作日内，采购代理机构将在</w:t>
      </w:r>
      <w:r>
        <w:rPr>
          <w:rFonts w:hint="default" w:ascii="宋体" w:hAnsi="宋体" w:eastAsia="宋体" w:cs="宋体"/>
          <w:b/>
          <w:bCs/>
          <w:sz w:val="24"/>
          <w:szCs w:val="24"/>
          <w:highlight w:val="none"/>
          <w:lang w:val="en-US" w:eastAsia="zh-CN"/>
        </w:rPr>
        <w:t>新疆政府采购网（www.zcygov.cn）、克州公共资源交易网上公告采购结果， 中标公告期限为 1 个工作日。</w:t>
      </w:r>
    </w:p>
    <w:p w14:paraId="6F50872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w:t>
      </w:r>
    </w:p>
    <w:p w14:paraId="2B4D7F7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41.1 在</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通知书发出前，</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将</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侯选人的情况在新疆政府采购网、克州公共资源交易中心网予以公示，公示期为一个工作日。待公示期结束后，采购组织机构向中</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人发出</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w:t>
      </w:r>
    </w:p>
    <w:p w14:paraId="73CD8C6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41.2 </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通知书作为签订合同的重要依据，对采购人和</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供应商均具有法律效力。采购人改变</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结果或者</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供应商放弃</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项目的都应承担法律责任。</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供应商不得向他人转让</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项目，也不得将</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项目肢解后分别向他人转让。</w:t>
      </w:r>
    </w:p>
    <w:p w14:paraId="436C8935">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（六）合同的授予</w:t>
      </w:r>
    </w:p>
    <w:p w14:paraId="62D8312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42．履约保证金</w:t>
      </w:r>
    </w:p>
    <w:p w14:paraId="2951F22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42.1 </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供应商在签订合同后 5 个工作日内向采购人交纳中标价 5%的履约保证金（本项目履约保证金接收保函形式；若以电汇、银行转账方式提交的，必须转到采购人的指定账户）。</w:t>
      </w:r>
    </w:p>
    <w:p w14:paraId="7E366F7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42.2 签订合同后，如</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不按合同约定履约的，履约保证金不予退还，履约保证金不足以赔偿损失的，按实际损失赔偿。</w:t>
      </w:r>
    </w:p>
    <w:p w14:paraId="0185D33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42.3 如果</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在供货期内没有涉及采购人的应付而未付金额或违约行为，采购人在项目验收合格后或提前终止合同后全额无息退还履约保证金。</w:t>
      </w:r>
    </w:p>
    <w:p w14:paraId="692A045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43．签订合同及公告</w:t>
      </w:r>
    </w:p>
    <w:p w14:paraId="4B6FE09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43.1 采购人在</w:t>
      </w:r>
      <w:r>
        <w:rPr>
          <w:rFonts w:hint="eastAsia" w:ascii="宋体" w:hAnsi="宋体" w:eastAsia="宋体" w:cs="宋体"/>
          <w:b w:val="0"/>
          <w:bCs w:val="0"/>
          <w:sz w:val="24"/>
          <w:szCs w:val="24"/>
          <w:highlight w:val="none"/>
          <w:lang w:val="en-US" w:eastAsia="zh-CN"/>
        </w:rPr>
        <w:t>成交通知书</w:t>
      </w:r>
      <w:r>
        <w:rPr>
          <w:rFonts w:hint="default" w:ascii="宋体" w:hAnsi="宋体" w:eastAsia="宋体" w:cs="宋体"/>
          <w:b w:val="0"/>
          <w:bCs w:val="0"/>
          <w:sz w:val="24"/>
          <w:szCs w:val="24"/>
          <w:highlight w:val="none"/>
          <w:lang w:val="en-US" w:eastAsia="zh-CN"/>
        </w:rPr>
        <w:t>发出之日起 30 日内与</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签订合同。</w:t>
      </w:r>
    </w:p>
    <w:p w14:paraId="0C6D9A0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43.2 </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拖延、拒签合同的,取消</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资格。</w:t>
      </w:r>
    </w:p>
    <w:p w14:paraId="6B131E7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43.3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及评标过程中有关澄清文件等均作为签订合同的依据。所签订的合同不得对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的内容作实质性修改。</w:t>
      </w:r>
    </w:p>
    <w:p w14:paraId="5E6699C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43.4 采购人应当自政府采购合同签订之日起 2 个工作日内，在省级以上财政部门指定的政府采购信息发布媒体及相关网站上公告。</w:t>
      </w:r>
    </w:p>
    <w:p w14:paraId="47D6135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43.5 采购人应当自政府采购合同签订之日起 7 个工作日内，将政府采购合同副本报同级人民政府财政部门备案以及采购代理机构存档。</w:t>
      </w:r>
    </w:p>
    <w:p w14:paraId="3B38BAFD">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（七）纪律和监督</w:t>
      </w:r>
    </w:p>
    <w:p w14:paraId="5C4AD4F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44. 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的纪律要求</w:t>
      </w:r>
    </w:p>
    <w:p w14:paraId="12BF62D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44.1 </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不得泄漏招标投标活动中应当保密的情况和资料，不得与投标人串通损害国家利益，社会公共利益或者他人合法权益。</w:t>
      </w:r>
    </w:p>
    <w:p w14:paraId="3E4E7D1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45. 对投标人的纪律要求</w:t>
      </w:r>
    </w:p>
    <w:p w14:paraId="5F211F1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45.1 投标人不得相互串通投标或者与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串通投标，不得向</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或者评标委员会成员行贿谋取中标，不得以他人名义投标或者以其他方式弄虚作假骗取中标；投标人不得以任何方式干扰、影响评标工作。</w:t>
      </w:r>
    </w:p>
    <w:p w14:paraId="3FF4E89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 对评标委员会成员的纪律要求</w:t>
      </w:r>
    </w:p>
    <w:p w14:paraId="6331636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46.1 评标委员会成员不得收受他人的财物或者其他好处，不得向他人透漏对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的评审和比较、</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的推荐情况以及评标有关的其他情况。</w:t>
      </w:r>
    </w:p>
    <w:p w14:paraId="72F7D5A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46.2 在评标活动中，评标委员会成员不得擅离职守，影响评标程序正常进行，不得使用“评标办法 ”没有规定的评审因素和标准进行评标。</w:t>
      </w:r>
    </w:p>
    <w:p w14:paraId="490B9F8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47. 对与评标活动有关的工作人员的纪律要求</w:t>
      </w:r>
    </w:p>
    <w:p w14:paraId="5B8FF76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47.1 与评标活动有关的工作人员不得收受他人的财物或者其他好处，不得向他人透漏对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的评审和比较、</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的推荐情况以及评标有关的其他情况。在评标活动中，与评标活动有关的工作人员不得擅离职守，影响评标程序正常进行。</w:t>
      </w:r>
    </w:p>
    <w:p w14:paraId="24B093F7">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（八）质疑与投诉</w:t>
      </w:r>
    </w:p>
    <w:p w14:paraId="0E29F6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48．质疑和投诉</w:t>
      </w:r>
    </w:p>
    <w:p w14:paraId="40915AB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48.1.供应商认为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、采购过程和中标结果使自己的权益受到损害的，可以在知道或者应知其权益受到损害之日起七个工作日内</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以书面形式向采购人提出质疑。供应商应当在法定质疑期内一次性提出针对同一采购程序环节的质疑。供应商应知其权益受到损害之日，是指：</w:t>
      </w:r>
    </w:p>
    <w:p w14:paraId="67EE7A5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（一）对可以质疑的</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提出质疑的，为收到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之日或者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公告期限届满之日；</w:t>
      </w:r>
    </w:p>
    <w:p w14:paraId="4C91795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（二）对采购过程提出质疑的，为各采购程序环节结束之日；</w:t>
      </w:r>
    </w:p>
    <w:p w14:paraId="057D521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（三）对中标结果提出质疑的，为中标结果公告期限届满之日。</w:t>
      </w:r>
    </w:p>
    <w:p w14:paraId="0E4B087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48.2 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34C579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供应商为自然人的，应当由本人签字；供应商为法人或者其他组织的，应当由法定代表人、主要负责人，或者其授权代表签字或者盖章，并加盖公章。</w:t>
      </w:r>
    </w:p>
    <w:p w14:paraId="3A68C6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48.3 供应商质疑、投诉应当有明确的请求和必要的证明材料。供应商投诉的事项不得超出已质疑事项的范围。采购人及采购代理机构按《政府采购质疑和投诉办法》进行处理供应商质疑事项。</w:t>
      </w:r>
    </w:p>
    <w:p w14:paraId="6C0ED24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48.4 质疑供应商对采购人、采购代理机构的质疑答复不满意，或者采购人、采购代理机构未在规定期限内作出答复的，供应商可以在答复期满后 15 个工作日内向同级财政部门提起投诉。</w:t>
      </w:r>
    </w:p>
    <w:p w14:paraId="62EC3A0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48.5 供应商有下列情形之一的，采购代理机构上报至阿图什市财政局政府采购办，将其列入不良行为记录名单：</w:t>
      </w:r>
    </w:p>
    <w:p w14:paraId="684A53B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（一）一年内三次以上质疑均查无实据的；</w:t>
      </w:r>
    </w:p>
    <w:p w14:paraId="0112E02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（二）捏造事实或者提供虚假质疑材料的。</w:t>
      </w:r>
    </w:p>
    <w:p w14:paraId="2011E93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lang w:eastAsia="zh-CN"/>
        </w:rPr>
      </w:pPr>
      <w:r>
        <w:rPr>
          <w:rFonts w:hint="default" w:ascii="宋体" w:hAnsi="宋体" w:eastAsia="宋体" w:cs="宋体"/>
          <w:b w:val="0"/>
          <w:bCs w:val="0"/>
          <w:sz w:val="24"/>
          <w:szCs w:val="24"/>
          <w:highlight w:val="none"/>
          <w:lang w:val="en-US" w:eastAsia="zh-CN"/>
        </w:rPr>
        <w:t>（三）以非法手段取得证明材料。证据来源的合法性存在明显疑问，质疑人无法证明其取得方式合法的，视为以非法手段取得证明材料。</w:t>
      </w:r>
    </w:p>
    <w:p w14:paraId="15B47566">
      <w:pPr>
        <w:shd w:val="clear" w:color="auto" w:fill="auto"/>
        <w:jc w:val="left"/>
        <w:rPr>
          <w:rFonts w:hint="eastAsia" w:ascii="宋体" w:hAnsi="宋体" w:eastAsia="宋体" w:cs="宋体"/>
          <w:b/>
          <w:bCs/>
          <w:color w:val="auto"/>
          <w:sz w:val="24"/>
          <w:szCs w:val="24"/>
          <w:highlight w:val="none"/>
          <w:lang w:eastAsia="zh-CN"/>
        </w:rPr>
      </w:pPr>
    </w:p>
    <w:p w14:paraId="65F15D0B">
      <w:pPr>
        <w:rPr>
          <w:rFonts w:hint="eastAsia" w:ascii="宋体" w:hAnsi="宋体" w:eastAsia="宋体" w:cs="宋体"/>
          <w:b/>
          <w:bCs/>
          <w:color w:val="auto"/>
          <w:sz w:val="21"/>
          <w:szCs w:val="21"/>
          <w:highlight w:val="none"/>
          <w:lang w:eastAsia="zh-CN"/>
        </w:rPr>
      </w:pPr>
      <w:bookmarkStart w:id="0" w:name="_Toc17515"/>
      <w:bookmarkStart w:id="1" w:name="_Toc2638"/>
      <w:bookmarkStart w:id="2" w:name="_Toc23682"/>
      <w:bookmarkStart w:id="3" w:name="_Toc27114"/>
    </w:p>
    <w:p w14:paraId="67CECEC6">
      <w:pPr>
        <w:rPr>
          <w:rFonts w:hint="eastAsia" w:ascii="宋体" w:hAnsi="宋体" w:eastAsia="宋体" w:cs="宋体"/>
          <w:b/>
          <w:bCs/>
          <w:color w:val="auto"/>
          <w:sz w:val="21"/>
          <w:szCs w:val="21"/>
          <w:highlight w:val="none"/>
          <w:lang w:eastAsia="zh-CN"/>
        </w:rPr>
      </w:pPr>
    </w:p>
    <w:p w14:paraId="7706616D">
      <w:pPr>
        <w:rPr>
          <w:rFonts w:hint="eastAsia" w:ascii="宋体" w:hAnsi="宋体" w:eastAsia="宋体" w:cs="宋体"/>
          <w:b/>
          <w:bCs/>
          <w:color w:val="auto"/>
          <w:sz w:val="21"/>
          <w:szCs w:val="21"/>
          <w:highlight w:val="none"/>
          <w:lang w:eastAsia="zh-CN"/>
        </w:rPr>
      </w:pPr>
    </w:p>
    <w:p w14:paraId="51A6B882">
      <w:pPr>
        <w:rPr>
          <w:rFonts w:hint="eastAsia" w:ascii="宋体" w:hAnsi="宋体" w:eastAsia="宋体" w:cs="宋体"/>
          <w:b/>
          <w:bCs/>
          <w:color w:val="auto"/>
          <w:sz w:val="21"/>
          <w:szCs w:val="21"/>
          <w:highlight w:val="none"/>
          <w:lang w:eastAsia="zh-CN"/>
        </w:rPr>
      </w:pPr>
    </w:p>
    <w:p w14:paraId="5CFD89BC">
      <w:pPr>
        <w:rPr>
          <w:rFonts w:hint="eastAsia" w:ascii="宋体" w:hAnsi="宋体" w:eastAsia="宋体" w:cs="宋体"/>
          <w:b/>
          <w:bCs/>
          <w:color w:val="auto"/>
          <w:sz w:val="21"/>
          <w:szCs w:val="21"/>
          <w:highlight w:val="none"/>
          <w:lang w:eastAsia="zh-CN"/>
        </w:rPr>
      </w:pPr>
    </w:p>
    <w:p w14:paraId="0D588251">
      <w:pPr>
        <w:rPr>
          <w:rFonts w:hint="eastAsia" w:ascii="宋体" w:hAnsi="宋体" w:eastAsia="宋体" w:cs="宋体"/>
          <w:b/>
          <w:bCs/>
          <w:color w:val="auto"/>
          <w:sz w:val="21"/>
          <w:szCs w:val="21"/>
          <w:highlight w:val="none"/>
          <w:lang w:eastAsia="zh-CN"/>
        </w:rPr>
      </w:pPr>
    </w:p>
    <w:p w14:paraId="72CAF7F7">
      <w:pPr>
        <w:rPr>
          <w:rFonts w:hint="eastAsia" w:ascii="宋体" w:hAnsi="宋体" w:eastAsia="宋体" w:cs="宋体"/>
          <w:b/>
          <w:bCs/>
          <w:color w:val="auto"/>
          <w:sz w:val="21"/>
          <w:szCs w:val="21"/>
          <w:highlight w:val="none"/>
          <w:lang w:eastAsia="zh-CN"/>
        </w:rPr>
      </w:pPr>
    </w:p>
    <w:p w14:paraId="23820AC5">
      <w:pPr>
        <w:rPr>
          <w:rFonts w:hint="eastAsia" w:ascii="宋体" w:hAnsi="宋体" w:eastAsia="宋体" w:cs="宋体"/>
          <w:b/>
          <w:bCs/>
          <w:color w:val="auto"/>
          <w:sz w:val="21"/>
          <w:szCs w:val="21"/>
          <w:highlight w:val="none"/>
          <w:lang w:eastAsia="zh-CN"/>
        </w:rPr>
      </w:pPr>
    </w:p>
    <w:p w14:paraId="6753B138">
      <w:pPr>
        <w:rPr>
          <w:rFonts w:hint="eastAsia" w:ascii="宋体" w:hAnsi="宋体" w:eastAsia="宋体" w:cs="宋体"/>
          <w:b/>
          <w:bCs/>
          <w:color w:val="auto"/>
          <w:sz w:val="21"/>
          <w:szCs w:val="21"/>
          <w:highlight w:val="none"/>
          <w:lang w:eastAsia="zh-CN"/>
        </w:rPr>
      </w:pPr>
    </w:p>
    <w:p w14:paraId="09AE60F6">
      <w:pPr>
        <w:rPr>
          <w:rFonts w:hint="eastAsia" w:ascii="宋体" w:hAnsi="宋体" w:eastAsia="宋体" w:cs="宋体"/>
          <w:b/>
          <w:bCs/>
          <w:color w:val="auto"/>
          <w:sz w:val="21"/>
          <w:szCs w:val="21"/>
          <w:highlight w:val="none"/>
          <w:lang w:eastAsia="zh-CN"/>
        </w:rPr>
      </w:pPr>
    </w:p>
    <w:p w14:paraId="79A0B09F">
      <w:pPr>
        <w:pStyle w:val="2"/>
        <w:rPr>
          <w:rFonts w:hint="eastAsia" w:ascii="宋体" w:hAnsi="宋体" w:eastAsia="宋体" w:cs="宋体"/>
          <w:b/>
          <w:bCs/>
          <w:color w:val="auto"/>
          <w:sz w:val="21"/>
          <w:szCs w:val="21"/>
          <w:highlight w:val="none"/>
          <w:lang w:eastAsia="zh-CN"/>
        </w:rPr>
      </w:pPr>
    </w:p>
    <w:p w14:paraId="23266A73">
      <w:pPr>
        <w:pStyle w:val="3"/>
        <w:rPr>
          <w:rFonts w:hint="eastAsia" w:ascii="宋体" w:hAnsi="宋体" w:eastAsia="宋体" w:cs="宋体"/>
          <w:b/>
          <w:bCs/>
          <w:color w:val="auto"/>
          <w:sz w:val="21"/>
          <w:szCs w:val="21"/>
          <w:highlight w:val="none"/>
          <w:lang w:eastAsia="zh-CN"/>
        </w:rPr>
      </w:pPr>
    </w:p>
    <w:p w14:paraId="066340F8">
      <w:pPr>
        <w:rPr>
          <w:rFonts w:hint="eastAsia" w:ascii="宋体" w:hAnsi="宋体" w:eastAsia="宋体" w:cs="宋体"/>
          <w:b/>
          <w:bCs/>
          <w:color w:val="auto"/>
          <w:sz w:val="21"/>
          <w:szCs w:val="21"/>
          <w:highlight w:val="none"/>
          <w:lang w:eastAsia="zh-CN"/>
        </w:rPr>
      </w:pPr>
    </w:p>
    <w:p w14:paraId="1AB733D7">
      <w:pPr>
        <w:pStyle w:val="2"/>
        <w:rPr>
          <w:rFonts w:hint="eastAsia" w:ascii="宋体" w:hAnsi="宋体" w:eastAsia="宋体" w:cs="宋体"/>
          <w:b/>
          <w:bCs/>
          <w:color w:val="auto"/>
          <w:sz w:val="21"/>
          <w:szCs w:val="21"/>
          <w:highlight w:val="none"/>
          <w:lang w:eastAsia="zh-CN"/>
        </w:rPr>
      </w:pPr>
    </w:p>
    <w:p w14:paraId="3A8BBFE8">
      <w:pPr>
        <w:pStyle w:val="3"/>
        <w:rPr>
          <w:rFonts w:hint="eastAsia" w:ascii="宋体" w:hAnsi="宋体" w:eastAsia="宋体" w:cs="宋体"/>
          <w:b/>
          <w:bCs/>
          <w:color w:val="auto"/>
          <w:sz w:val="21"/>
          <w:szCs w:val="21"/>
          <w:highlight w:val="none"/>
          <w:lang w:eastAsia="zh-CN"/>
        </w:rPr>
      </w:pPr>
    </w:p>
    <w:p w14:paraId="1A507D8C">
      <w:pPr>
        <w:rPr>
          <w:rFonts w:hint="eastAsia" w:ascii="宋体" w:hAnsi="宋体" w:eastAsia="宋体" w:cs="宋体"/>
          <w:b/>
          <w:bCs/>
          <w:color w:val="auto"/>
          <w:sz w:val="21"/>
          <w:szCs w:val="21"/>
          <w:highlight w:val="none"/>
          <w:lang w:eastAsia="zh-CN"/>
        </w:rPr>
      </w:pPr>
    </w:p>
    <w:p w14:paraId="20D38011">
      <w:pPr>
        <w:pStyle w:val="2"/>
        <w:rPr>
          <w:rFonts w:hint="eastAsia" w:ascii="宋体" w:hAnsi="宋体" w:eastAsia="宋体" w:cs="宋体"/>
          <w:b/>
          <w:bCs/>
          <w:color w:val="auto"/>
          <w:sz w:val="21"/>
          <w:szCs w:val="21"/>
          <w:highlight w:val="none"/>
          <w:lang w:eastAsia="zh-CN"/>
        </w:rPr>
      </w:pPr>
    </w:p>
    <w:p w14:paraId="570967FB">
      <w:pPr>
        <w:pStyle w:val="3"/>
        <w:rPr>
          <w:rFonts w:hint="eastAsia" w:ascii="宋体" w:hAnsi="宋体" w:eastAsia="宋体" w:cs="宋体"/>
          <w:b/>
          <w:bCs/>
          <w:color w:val="auto"/>
          <w:sz w:val="21"/>
          <w:szCs w:val="21"/>
          <w:highlight w:val="none"/>
          <w:lang w:eastAsia="zh-CN"/>
        </w:rPr>
      </w:pPr>
    </w:p>
    <w:p w14:paraId="65273F4C">
      <w:pPr>
        <w:rPr>
          <w:rFonts w:hint="eastAsia" w:ascii="宋体" w:hAnsi="宋体" w:eastAsia="宋体" w:cs="宋体"/>
          <w:b/>
          <w:bCs/>
          <w:color w:val="auto"/>
          <w:sz w:val="21"/>
          <w:szCs w:val="21"/>
          <w:highlight w:val="none"/>
          <w:lang w:eastAsia="zh-CN"/>
        </w:rPr>
      </w:pPr>
    </w:p>
    <w:p w14:paraId="20A91FCB">
      <w:pPr>
        <w:pStyle w:val="2"/>
        <w:rPr>
          <w:rFonts w:hint="eastAsia" w:ascii="宋体" w:hAnsi="宋体" w:eastAsia="宋体" w:cs="宋体"/>
          <w:b/>
          <w:bCs/>
          <w:color w:val="auto"/>
          <w:sz w:val="21"/>
          <w:szCs w:val="21"/>
          <w:highlight w:val="none"/>
          <w:lang w:eastAsia="zh-CN"/>
        </w:rPr>
      </w:pPr>
    </w:p>
    <w:p w14:paraId="3351CFCE">
      <w:pPr>
        <w:pStyle w:val="3"/>
        <w:rPr>
          <w:rFonts w:hint="eastAsia"/>
          <w:lang w:eastAsia="zh-CN"/>
        </w:rPr>
      </w:pPr>
    </w:p>
    <w:p w14:paraId="069E949E">
      <w:pPr>
        <w:rPr>
          <w:rFonts w:hint="eastAsia" w:ascii="宋体" w:hAnsi="宋体" w:eastAsia="宋体" w:cs="宋体"/>
          <w:b/>
          <w:bCs/>
          <w:color w:val="auto"/>
          <w:sz w:val="21"/>
          <w:szCs w:val="21"/>
          <w:highlight w:val="none"/>
          <w:lang w:eastAsia="zh-CN"/>
        </w:rPr>
      </w:pPr>
    </w:p>
    <w:p w14:paraId="2332C9EC">
      <w:pP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附件：</w:t>
      </w:r>
    </w:p>
    <w:p w14:paraId="7AF6ACB3">
      <w:pPr>
        <w:shd w:val="clear" w:color="auto" w:fill="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32"/>
          <w:szCs w:val="32"/>
          <w:highlight w:val="none"/>
          <w:lang w:eastAsia="zh-CN"/>
        </w:rPr>
        <w:t>政府采购投诉书（范本）、质疑函范本</w:t>
      </w:r>
    </w:p>
    <w:p w14:paraId="0C975CCD">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政府采购投诉书（范本）</w:t>
      </w:r>
    </w:p>
    <w:p w14:paraId="0F100E8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outlineLvl w:val="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一、投诉相关主体基本情况</w:t>
      </w:r>
    </w:p>
    <w:p w14:paraId="3EFC0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投诉人：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 xml:space="preserve">  </w:t>
      </w:r>
    </w:p>
    <w:p w14:paraId="1F5E15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p>
    <w:p w14:paraId="4F4D36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none"/>
          <w:lang w:val="en-US" w:eastAsia="zh-CN"/>
        </w:rPr>
      </w:pPr>
      <w:r>
        <w:rPr>
          <w:rFonts w:hint="eastAsia" w:ascii="宋体" w:hAnsi="宋体" w:eastAsia="宋体" w:cs="宋体"/>
          <w:color w:val="auto"/>
          <w:kern w:val="0"/>
          <w:sz w:val="24"/>
          <w:szCs w:val="24"/>
          <w:highlight w:val="none"/>
          <w:u w:val="none"/>
          <w:lang w:val="en-US" w:eastAsia="zh-CN"/>
        </w:rPr>
        <w:t>法定代表人/主要负责人：</w:t>
      </w:r>
      <w:r>
        <w:rPr>
          <w:rFonts w:hint="eastAsia" w:ascii="宋体" w:hAnsi="宋体" w:eastAsia="宋体" w:cs="宋体"/>
          <w:color w:val="auto"/>
          <w:kern w:val="0"/>
          <w:sz w:val="24"/>
          <w:szCs w:val="24"/>
          <w:highlight w:val="none"/>
          <w:u w:val="single"/>
          <w:lang w:val="en-US" w:eastAsia="zh-CN"/>
        </w:rPr>
        <w:t xml:space="preserve">                             </w:t>
      </w:r>
    </w:p>
    <w:p w14:paraId="4219B4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AAB0C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p>
    <w:p w14:paraId="20EC5D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u w:val="none"/>
          <w:lang w:eastAsia="zh-CN"/>
        </w:rPr>
        <w:t>授权代表（如有）：</w:t>
      </w:r>
      <w:r>
        <w:rPr>
          <w:rFonts w:hint="eastAsia" w:ascii="宋体" w:hAnsi="宋体" w:eastAsia="宋体" w:cs="宋体"/>
          <w:color w:val="auto"/>
          <w:kern w:val="0"/>
          <w:sz w:val="24"/>
          <w:szCs w:val="24"/>
          <w:highlight w:val="none"/>
          <w:u w:val="single"/>
          <w:lang w:val="en-US" w:eastAsia="zh-CN"/>
        </w:rPr>
        <w:t xml:space="preserve">                         </w:t>
      </w:r>
    </w:p>
    <w:p w14:paraId="335A04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lang w:val="en-US" w:eastAsia="zh-CN"/>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4DC919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1995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none"/>
          <w:lang w:eastAsia="zh-CN"/>
        </w:rPr>
        <w:t>被投诉人</w:t>
      </w:r>
      <w:r>
        <w:rPr>
          <w:rFonts w:hint="eastAsia" w:ascii="宋体" w:hAnsi="宋体" w:eastAsia="宋体" w:cs="宋体"/>
          <w:color w:val="auto"/>
          <w:kern w:val="0"/>
          <w:sz w:val="24"/>
          <w:szCs w:val="24"/>
          <w:highlight w:val="none"/>
          <w:u w:val="none"/>
          <w:lang w:val="en-US" w:eastAsia="zh-CN"/>
        </w:rPr>
        <w:t>1：</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AAEB3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65266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lang w:eastAsia="zh-CN"/>
        </w:rPr>
        <w:t>联系人：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7F5F29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u w:val="none"/>
          <w:lang w:eastAsia="zh-CN"/>
        </w:rPr>
        <w:t>被投诉人</w:t>
      </w:r>
      <w:r>
        <w:rPr>
          <w:rFonts w:hint="eastAsia" w:ascii="宋体" w:hAnsi="宋体" w:eastAsia="宋体" w:cs="宋体"/>
          <w:color w:val="auto"/>
          <w:kern w:val="0"/>
          <w:sz w:val="24"/>
          <w:szCs w:val="24"/>
          <w:highlight w:val="none"/>
          <w:u w:val="none"/>
          <w:lang w:val="en-US" w:eastAsia="zh-CN"/>
        </w:rPr>
        <w:t>2：</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48C9A5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none"/>
          <w:lang w:val="en-US" w:eastAsia="zh-CN"/>
        </w:rPr>
        <w:t>相关供应商</w:t>
      </w:r>
      <w:r>
        <w:rPr>
          <w:rFonts w:hint="eastAsia" w:ascii="宋体" w:hAnsi="宋体" w:eastAsia="宋体" w:cs="宋体"/>
          <w:color w:val="auto"/>
          <w:kern w:val="0"/>
          <w:sz w:val="24"/>
          <w:szCs w:val="24"/>
          <w:highlight w:val="none"/>
          <w:u w:val="none"/>
          <w:lang w:eastAsia="zh-CN"/>
        </w:rPr>
        <w:t>（如有）</w:t>
      </w:r>
      <w:r>
        <w:rPr>
          <w:rFonts w:hint="eastAsia" w:ascii="宋体" w:hAnsi="宋体" w:eastAsia="宋体" w:cs="宋体"/>
          <w:color w:val="auto"/>
          <w:kern w:val="0"/>
          <w:sz w:val="24"/>
          <w:szCs w:val="24"/>
          <w:highlight w:val="none"/>
          <w:u w:val="none"/>
          <w:lang w:val="en-US" w:eastAsia="zh-CN"/>
        </w:rPr>
        <w:t>：</w:t>
      </w:r>
      <w:r>
        <w:rPr>
          <w:rFonts w:hint="eastAsia" w:ascii="宋体" w:hAnsi="宋体" w:eastAsia="宋体" w:cs="宋体"/>
          <w:color w:val="auto"/>
          <w:kern w:val="0"/>
          <w:sz w:val="24"/>
          <w:szCs w:val="24"/>
          <w:highlight w:val="none"/>
          <w:u w:val="single"/>
        </w:rPr>
        <w:t xml:space="preserve">                                        </w:t>
      </w:r>
    </w:p>
    <w:p w14:paraId="182F1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458FF0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联系人：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FFF588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outlineLvl w:val="0"/>
        <w:rPr>
          <w:rFonts w:hint="eastAsia" w:ascii="宋体" w:hAnsi="宋体" w:eastAsia="宋体" w:cs="宋体"/>
          <w:color w:val="auto"/>
          <w:kern w:val="0"/>
          <w:sz w:val="24"/>
          <w:szCs w:val="24"/>
          <w:highlight w:val="none"/>
          <w:lang w:eastAsia="zh-CN"/>
        </w:rPr>
      </w:pPr>
    </w:p>
    <w:p w14:paraId="2ACCDA3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outlineLvl w:val="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二、投诉项目基本情况</w:t>
      </w:r>
    </w:p>
    <w:p w14:paraId="64F68EC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采购项目名称：</w:t>
      </w:r>
    </w:p>
    <w:p w14:paraId="09D79F3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采购项目编号：</w:t>
      </w:r>
      <w:r>
        <w:rPr>
          <w:rFonts w:hint="eastAsia" w:ascii="宋体" w:hAnsi="宋体" w:eastAsia="宋体" w:cs="宋体"/>
          <w:color w:val="auto"/>
          <w:kern w:val="0"/>
          <w:sz w:val="24"/>
          <w:szCs w:val="24"/>
          <w:highlight w:val="none"/>
          <w:lang w:val="en-US" w:eastAsia="zh-CN"/>
        </w:rPr>
        <w:t xml:space="preserve">        包号：</w:t>
      </w:r>
    </w:p>
    <w:p w14:paraId="245DD3F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采购人名称：</w:t>
      </w:r>
    </w:p>
    <w:p w14:paraId="1E3A700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代理机构名称：</w:t>
      </w:r>
    </w:p>
    <w:p w14:paraId="40EEE99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采购文件公告：是/否 公告期限：</w:t>
      </w:r>
    </w:p>
    <w:p w14:paraId="18306EC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采购结果公告：是/否 公告期限：</w:t>
      </w:r>
    </w:p>
    <w:p w14:paraId="533CC4D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outlineLvl w:val="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三、质疑基本情况</w:t>
      </w:r>
    </w:p>
    <w:p w14:paraId="1289E54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投诉人于</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日，向</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提出质疑，</w:t>
      </w:r>
    </w:p>
    <w:p w14:paraId="10BF03D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质疑事项为：</w:t>
      </w:r>
    </w:p>
    <w:p w14:paraId="4791662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采购人/代理机构于</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日，就质疑事项做出了答复/没有在法定期限内做出答复。</w:t>
      </w:r>
    </w:p>
    <w:p w14:paraId="3E0E65B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outlineLvl w:val="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四、投诉事项具体内容</w:t>
      </w:r>
    </w:p>
    <w:p w14:paraId="780613C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投诉事项1：</w:t>
      </w:r>
    </w:p>
    <w:p w14:paraId="68BA409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事实依据：</w:t>
      </w:r>
    </w:p>
    <w:p w14:paraId="3A8091E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法律依据1：</w:t>
      </w:r>
    </w:p>
    <w:p w14:paraId="185A13F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法律依据2：</w:t>
      </w:r>
    </w:p>
    <w:p w14:paraId="745C92D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投诉事项2：</w:t>
      </w:r>
    </w:p>
    <w:p w14:paraId="2DC0D750">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26DB271D">
      <w:pPr>
        <w:ind w:firstLine="480" w:firstLineChars="200"/>
        <w:rPr>
          <w:rFonts w:hint="eastAsia" w:ascii="宋体" w:hAnsi="宋体" w:eastAsia="宋体" w:cs="宋体"/>
          <w:color w:val="auto"/>
          <w:sz w:val="24"/>
          <w:szCs w:val="24"/>
          <w:highlight w:val="none"/>
        </w:rPr>
      </w:pPr>
    </w:p>
    <w:p w14:paraId="4E14BF2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outlineLvl w:val="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五、与投诉事项相关的投诉请求</w:t>
      </w:r>
    </w:p>
    <w:p w14:paraId="0846955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请求：</w:t>
      </w:r>
    </w:p>
    <w:p w14:paraId="64BDB2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签字（签章）（法人代表或负责人、代理人）：</w:t>
      </w:r>
      <w:r>
        <w:rPr>
          <w:rFonts w:hint="eastAsia" w:ascii="宋体" w:hAnsi="宋体" w:eastAsia="宋体" w:cs="宋体"/>
          <w:color w:val="auto"/>
          <w:kern w:val="0"/>
          <w:sz w:val="24"/>
          <w:szCs w:val="24"/>
          <w:highlight w:val="none"/>
          <w:lang w:val="en-US" w:eastAsia="zh-CN"/>
        </w:rPr>
        <w:t xml:space="preserve">       </w:t>
      </w:r>
    </w:p>
    <w:p w14:paraId="093A2F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公章（单位）：</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  </w:t>
      </w:r>
    </w:p>
    <w:p w14:paraId="4C3444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日期：</w:t>
      </w:r>
    </w:p>
    <w:p w14:paraId="23A85C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附件：质疑及答复材料</w:t>
      </w:r>
    </w:p>
    <w:p w14:paraId="3FD63FFE">
      <w:pPr>
        <w:rPr>
          <w:rFonts w:hint="eastAsia" w:ascii="宋体" w:hAnsi="宋体" w:eastAsia="宋体" w:cs="宋体"/>
          <w:b/>
          <w:bCs/>
          <w:color w:val="auto"/>
          <w:kern w:val="0"/>
          <w:sz w:val="24"/>
          <w:szCs w:val="24"/>
          <w:highlight w:val="none"/>
          <w:lang w:eastAsia="zh-CN"/>
        </w:rPr>
      </w:pPr>
    </w:p>
    <w:p w14:paraId="30CAE821">
      <w:pPr>
        <w:rPr>
          <w:rFonts w:hint="eastAsia" w:ascii="宋体" w:hAnsi="宋体" w:eastAsia="宋体" w:cs="宋体"/>
          <w:b/>
          <w:bCs/>
          <w:color w:val="auto"/>
          <w:kern w:val="0"/>
          <w:sz w:val="24"/>
          <w:szCs w:val="24"/>
          <w:highlight w:val="none"/>
          <w:lang w:eastAsia="zh-CN"/>
        </w:rPr>
      </w:pPr>
    </w:p>
    <w:p w14:paraId="0570EC17">
      <w:pPr>
        <w:ind w:firstLine="3132" w:firstLineChars="1300"/>
        <w:rPr>
          <w:rFonts w:hint="eastAsia" w:ascii="宋体" w:hAnsi="宋体" w:eastAsia="宋体" w:cs="宋体"/>
          <w:b/>
          <w:bCs/>
          <w:color w:val="auto"/>
          <w:kern w:val="0"/>
          <w:sz w:val="24"/>
          <w:szCs w:val="24"/>
          <w:highlight w:val="none"/>
          <w:lang w:eastAsia="zh-CN"/>
        </w:rPr>
      </w:pPr>
    </w:p>
    <w:p w14:paraId="6AB913FB">
      <w:pPr>
        <w:ind w:firstLine="3132" w:firstLineChars="1300"/>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eastAsia="zh-CN"/>
        </w:rPr>
        <w:t>投诉书制作说明：</w:t>
      </w:r>
    </w:p>
    <w:p w14:paraId="54D8479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1.投诉人应当按照《政府采购质疑和投诉办法》（财政部令第94号）规定提起投诉。</w:t>
      </w:r>
    </w:p>
    <w:p w14:paraId="6C428D0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2.投诉人提起投诉时，应当提交投诉书和必要的证明材料，并按照被投诉人和与投诉事项有关的供应商数量提供投诉书副本。</w:t>
      </w:r>
    </w:p>
    <w:p w14:paraId="35A9D2D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67FA9E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4.投诉人若对项目的某一分包进行投诉，投诉书应列明具体分包号。</w:t>
      </w:r>
    </w:p>
    <w:p w14:paraId="0A9E31B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5.投诉书应简要列明质疑事项，质疑函、质疑答复等作为附件材料提供。</w:t>
      </w:r>
    </w:p>
    <w:p w14:paraId="332A33C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6.投诉书的投诉事项应具体、明确，并由必要的事实依据和法律依据。</w:t>
      </w:r>
    </w:p>
    <w:p w14:paraId="0D4D7F9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7.投诉书的投诉请求应与投诉事项相关。</w:t>
      </w:r>
    </w:p>
    <w:p w14:paraId="3655B42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b/>
          <w:bCs/>
          <w:color w:val="auto"/>
          <w:sz w:val="24"/>
          <w:szCs w:val="24"/>
          <w:highlight w:val="none"/>
        </w:rPr>
      </w:pPr>
      <w:r>
        <w:rPr>
          <w:rFonts w:hint="eastAsia" w:ascii="宋体" w:hAnsi="宋体" w:eastAsia="宋体" w:cs="宋体"/>
          <w:color w:val="auto"/>
          <w:kern w:val="0"/>
          <w:sz w:val="24"/>
          <w:szCs w:val="24"/>
          <w:highlight w:val="none"/>
          <w:lang w:val="en-US" w:eastAsia="zh-CN"/>
        </w:rPr>
        <w:t>8.投诉人为自然人的，投诉书应当由本人签字；投诉书应当由法定代表人、主要负责人，或者其授权代表签字或者盖章，并加盖公章。</w:t>
      </w:r>
    </w:p>
    <w:p w14:paraId="376F6FE2">
      <w:pPr>
        <w:shd w:val="clear" w:color="auto" w:fill="auto"/>
        <w:jc w:val="center"/>
        <w:outlineLvl w:val="0"/>
        <w:rPr>
          <w:rFonts w:hint="eastAsia" w:ascii="宋体" w:hAnsi="宋体" w:eastAsia="宋体" w:cs="宋体"/>
          <w:b/>
          <w:bCs/>
          <w:color w:val="auto"/>
          <w:sz w:val="24"/>
          <w:szCs w:val="24"/>
          <w:highlight w:val="none"/>
        </w:rPr>
      </w:pPr>
    </w:p>
    <w:p w14:paraId="73BE2B18">
      <w:pPr>
        <w:shd w:val="clear" w:color="auto" w:fill="auto"/>
        <w:jc w:val="center"/>
        <w:outlineLvl w:val="0"/>
        <w:rPr>
          <w:rFonts w:hint="eastAsia" w:ascii="宋体" w:hAnsi="宋体" w:eastAsia="宋体" w:cs="宋体"/>
          <w:b/>
          <w:bCs/>
          <w:color w:val="auto"/>
          <w:sz w:val="24"/>
          <w:szCs w:val="24"/>
          <w:highlight w:val="none"/>
        </w:rPr>
      </w:pPr>
    </w:p>
    <w:p w14:paraId="49B42F74">
      <w:pPr>
        <w:shd w:val="clear" w:color="auto" w:fill="auto"/>
        <w:jc w:val="center"/>
        <w:outlineLvl w:val="0"/>
        <w:rPr>
          <w:rFonts w:hint="eastAsia" w:ascii="宋体" w:hAnsi="宋体" w:eastAsia="宋体" w:cs="宋体"/>
          <w:b/>
          <w:bCs/>
          <w:color w:val="auto"/>
          <w:sz w:val="24"/>
          <w:szCs w:val="24"/>
          <w:highlight w:val="none"/>
        </w:rPr>
      </w:pPr>
    </w:p>
    <w:p w14:paraId="292C0135">
      <w:pPr>
        <w:shd w:val="clear" w:color="auto" w:fill="auto"/>
        <w:jc w:val="center"/>
        <w:outlineLvl w:val="0"/>
        <w:rPr>
          <w:rFonts w:hint="eastAsia" w:ascii="宋体" w:hAnsi="宋体" w:eastAsia="宋体" w:cs="宋体"/>
          <w:b/>
          <w:bCs/>
          <w:color w:val="auto"/>
          <w:sz w:val="24"/>
          <w:szCs w:val="24"/>
          <w:highlight w:val="none"/>
        </w:rPr>
      </w:pPr>
    </w:p>
    <w:p w14:paraId="0B27B2DE">
      <w:pPr>
        <w:shd w:val="clear" w:color="auto" w:fill="auto"/>
        <w:jc w:val="center"/>
        <w:outlineLvl w:val="0"/>
        <w:rPr>
          <w:rFonts w:hint="eastAsia" w:ascii="宋体" w:hAnsi="宋体" w:eastAsia="宋体" w:cs="宋体"/>
          <w:b/>
          <w:bCs/>
          <w:color w:val="auto"/>
          <w:sz w:val="24"/>
          <w:szCs w:val="24"/>
          <w:highlight w:val="none"/>
        </w:rPr>
      </w:pPr>
    </w:p>
    <w:p w14:paraId="163936FD">
      <w:pPr>
        <w:shd w:val="clear" w:color="auto" w:fill="auto"/>
        <w:jc w:val="center"/>
        <w:outlineLvl w:val="0"/>
        <w:rPr>
          <w:rFonts w:hint="eastAsia" w:ascii="宋体" w:hAnsi="宋体" w:eastAsia="宋体" w:cs="宋体"/>
          <w:b/>
          <w:bCs/>
          <w:color w:val="auto"/>
          <w:sz w:val="24"/>
          <w:szCs w:val="24"/>
          <w:highlight w:val="none"/>
        </w:rPr>
      </w:pPr>
    </w:p>
    <w:p w14:paraId="720FCBA8">
      <w:pPr>
        <w:shd w:val="clear" w:color="auto" w:fill="auto"/>
        <w:jc w:val="center"/>
        <w:outlineLvl w:val="0"/>
        <w:rPr>
          <w:rFonts w:hint="eastAsia" w:ascii="宋体" w:hAnsi="宋体" w:eastAsia="宋体" w:cs="宋体"/>
          <w:b/>
          <w:bCs/>
          <w:color w:val="auto"/>
          <w:sz w:val="24"/>
          <w:szCs w:val="24"/>
          <w:highlight w:val="none"/>
        </w:rPr>
      </w:pPr>
    </w:p>
    <w:p w14:paraId="48009F8A">
      <w:pPr>
        <w:shd w:val="clear" w:color="auto" w:fill="auto"/>
        <w:jc w:val="center"/>
        <w:outlineLvl w:val="0"/>
        <w:rPr>
          <w:rFonts w:hint="eastAsia" w:ascii="宋体" w:hAnsi="宋体" w:eastAsia="宋体" w:cs="宋体"/>
          <w:b/>
          <w:bCs/>
          <w:color w:val="auto"/>
          <w:sz w:val="24"/>
          <w:szCs w:val="24"/>
          <w:highlight w:val="none"/>
        </w:rPr>
      </w:pPr>
    </w:p>
    <w:p w14:paraId="550AD23B">
      <w:pPr>
        <w:shd w:val="clear" w:color="auto" w:fill="auto"/>
        <w:jc w:val="center"/>
        <w:outlineLvl w:val="0"/>
        <w:rPr>
          <w:rFonts w:hint="eastAsia" w:ascii="宋体" w:hAnsi="宋体" w:eastAsia="宋体" w:cs="宋体"/>
          <w:b/>
          <w:bCs/>
          <w:color w:val="auto"/>
          <w:sz w:val="24"/>
          <w:szCs w:val="24"/>
          <w:highlight w:val="none"/>
        </w:rPr>
      </w:pPr>
    </w:p>
    <w:p w14:paraId="68DFB311">
      <w:pPr>
        <w:shd w:val="clear" w:color="auto" w:fill="auto"/>
        <w:jc w:val="center"/>
        <w:outlineLvl w:val="0"/>
        <w:rPr>
          <w:rFonts w:hint="eastAsia" w:ascii="宋体" w:hAnsi="宋体" w:eastAsia="宋体" w:cs="宋体"/>
          <w:b/>
          <w:bCs/>
          <w:color w:val="auto"/>
          <w:sz w:val="24"/>
          <w:szCs w:val="24"/>
          <w:highlight w:val="none"/>
        </w:rPr>
      </w:pPr>
    </w:p>
    <w:p w14:paraId="74EF77D6">
      <w:pPr>
        <w:shd w:val="clear" w:color="auto" w:fill="auto"/>
        <w:jc w:val="center"/>
        <w:outlineLvl w:val="0"/>
        <w:rPr>
          <w:rFonts w:hint="eastAsia" w:ascii="宋体" w:hAnsi="宋体" w:eastAsia="宋体" w:cs="宋体"/>
          <w:b/>
          <w:bCs/>
          <w:color w:val="auto"/>
          <w:sz w:val="24"/>
          <w:szCs w:val="24"/>
          <w:highlight w:val="none"/>
        </w:rPr>
      </w:pPr>
    </w:p>
    <w:p w14:paraId="13CADDCA">
      <w:pPr>
        <w:shd w:val="clear" w:color="auto" w:fill="auto"/>
        <w:jc w:val="center"/>
        <w:outlineLvl w:val="0"/>
        <w:rPr>
          <w:rFonts w:hint="eastAsia" w:ascii="宋体" w:hAnsi="宋体" w:eastAsia="宋体" w:cs="宋体"/>
          <w:b/>
          <w:bCs/>
          <w:color w:val="auto"/>
          <w:sz w:val="24"/>
          <w:szCs w:val="24"/>
          <w:highlight w:val="none"/>
        </w:rPr>
      </w:pPr>
    </w:p>
    <w:p w14:paraId="3A6D8CEB">
      <w:pPr>
        <w:shd w:val="clear" w:color="auto" w:fill="auto"/>
        <w:jc w:val="center"/>
        <w:outlineLvl w:val="0"/>
        <w:rPr>
          <w:rFonts w:hint="eastAsia" w:ascii="宋体" w:hAnsi="宋体" w:eastAsia="宋体" w:cs="宋体"/>
          <w:b/>
          <w:bCs/>
          <w:color w:val="auto"/>
          <w:sz w:val="24"/>
          <w:szCs w:val="24"/>
          <w:highlight w:val="none"/>
        </w:rPr>
      </w:pPr>
    </w:p>
    <w:p w14:paraId="766C2A59">
      <w:pPr>
        <w:shd w:val="clear" w:color="auto" w:fill="auto"/>
        <w:jc w:val="center"/>
        <w:outlineLvl w:val="0"/>
        <w:rPr>
          <w:rFonts w:hint="eastAsia" w:ascii="宋体" w:hAnsi="宋体" w:eastAsia="宋体" w:cs="宋体"/>
          <w:b/>
          <w:bCs/>
          <w:color w:val="auto"/>
          <w:sz w:val="24"/>
          <w:szCs w:val="24"/>
          <w:highlight w:val="none"/>
        </w:rPr>
      </w:pPr>
    </w:p>
    <w:p w14:paraId="10E7605F">
      <w:pPr>
        <w:shd w:val="clear" w:color="auto" w:fill="auto"/>
        <w:jc w:val="both"/>
        <w:outlineLvl w:val="0"/>
        <w:rPr>
          <w:rFonts w:hint="eastAsia" w:ascii="宋体" w:hAnsi="宋体" w:eastAsia="宋体" w:cs="宋体"/>
          <w:b/>
          <w:bCs/>
          <w:color w:val="auto"/>
          <w:sz w:val="32"/>
          <w:szCs w:val="32"/>
          <w:highlight w:val="none"/>
        </w:rPr>
      </w:pPr>
    </w:p>
    <w:p w14:paraId="4BDB17F1">
      <w:pPr>
        <w:shd w:val="clear" w:color="auto" w:fill="auto"/>
        <w:jc w:val="both"/>
        <w:outlineLvl w:val="0"/>
        <w:rPr>
          <w:rFonts w:hint="eastAsia" w:ascii="宋体" w:hAnsi="宋体" w:eastAsia="宋体" w:cs="宋体"/>
          <w:b/>
          <w:bCs/>
          <w:color w:val="auto"/>
          <w:sz w:val="24"/>
          <w:szCs w:val="24"/>
          <w:highlight w:val="none"/>
        </w:rPr>
      </w:pPr>
    </w:p>
    <w:p w14:paraId="53D66357">
      <w:pPr>
        <w:shd w:val="clear" w:color="auto" w:fill="auto"/>
        <w:ind w:left="7951" w:hanging="4337" w:hangingChars="1800"/>
        <w:jc w:val="center"/>
        <w:outlineLvl w:val="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投诉相关说明</w:t>
      </w:r>
      <w:bookmarkEnd w:id="0"/>
      <w:bookmarkEnd w:id="1"/>
      <w:bookmarkEnd w:id="2"/>
      <w:bookmarkEnd w:id="3"/>
    </w:p>
    <w:p w14:paraId="10187D6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投诉人应当满足《政府采购法》、《政府采购法实施条例》和《政府采购供应商投诉处理办法》的相关规定。</w:t>
      </w:r>
    </w:p>
    <w:p w14:paraId="62F6A4EC">
      <w:pPr>
        <w:keepNext w:val="0"/>
        <w:keepLines w:val="0"/>
        <w:pageBreakBefore w:val="0"/>
        <w:numPr>
          <w:ilvl w:val="0"/>
          <w:numId w:val="2"/>
        </w:numPr>
        <w:shd w:val="clear" w:color="auto" w:fill="auto"/>
        <w:kinsoku/>
        <w:wordWrap/>
        <w:overflowPunct/>
        <w:topLinePunct w:val="0"/>
        <w:autoSpaceDE/>
        <w:autoSpaceDN/>
        <w:bidi w:val="0"/>
        <w:adjustRightInd/>
        <w:snapToGrid/>
        <w:spacing w:line="400" w:lineRule="exact"/>
        <w:ind w:left="4493" w:leftChars="304" w:hanging="3855" w:hangingChars="1600"/>
        <w:textAlignment w:val="auto"/>
        <w:outlineLvl w:val="0"/>
        <w:rPr>
          <w:rFonts w:hint="eastAsia" w:ascii="宋体" w:hAnsi="宋体" w:eastAsia="宋体" w:cs="宋体"/>
          <w:b/>
          <w:bCs/>
          <w:color w:val="auto"/>
          <w:sz w:val="24"/>
          <w:szCs w:val="24"/>
          <w:highlight w:val="none"/>
        </w:rPr>
      </w:pPr>
      <w:bookmarkStart w:id="4" w:name="_Toc19974"/>
      <w:bookmarkStart w:id="5" w:name="_Toc5241"/>
      <w:bookmarkStart w:id="6" w:name="_Toc11499"/>
      <w:bookmarkStart w:id="7" w:name="_Toc9329"/>
      <w:r>
        <w:rPr>
          <w:rFonts w:hint="eastAsia" w:ascii="宋体" w:hAnsi="宋体" w:eastAsia="宋体" w:cs="宋体"/>
          <w:b/>
          <w:bCs/>
          <w:color w:val="auto"/>
          <w:sz w:val="24"/>
          <w:szCs w:val="24"/>
          <w:highlight w:val="none"/>
        </w:rPr>
        <w:t>质疑前置及时间要求</w:t>
      </w:r>
      <w:bookmarkEnd w:id="4"/>
      <w:bookmarkEnd w:id="5"/>
      <w:bookmarkEnd w:id="6"/>
      <w:bookmarkEnd w:id="7"/>
    </w:p>
    <w:p w14:paraId="0197043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sz w:val="24"/>
          <w:szCs w:val="24"/>
          <w:highlight w:val="none"/>
        </w:rPr>
        <w:t>《中华人民共和国政府采购法》</w:t>
      </w:r>
      <w:r>
        <w:rPr>
          <w:rFonts w:hint="eastAsia" w:ascii="宋体" w:hAnsi="宋体" w:eastAsia="宋体" w:cs="宋体"/>
          <w:color w:val="auto"/>
          <w:kern w:val="0"/>
          <w:sz w:val="24"/>
          <w:szCs w:val="24"/>
          <w:highlight w:val="none"/>
          <w:shd w:val="clear" w:color="auto" w:fill="FFFFFF"/>
        </w:rPr>
        <w:t>第五十一条：供应商对政府采购活动事项有疑问的，可以向采购人提出询问，采购人应当及时作出答复，但答复的内容不得涉及商业秘密。</w:t>
      </w:r>
    </w:p>
    <w:p w14:paraId="24EB15B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 xml:space="preserve"> 第五十二条：供应商认为</w:t>
      </w:r>
      <w:r>
        <w:rPr>
          <w:rFonts w:hint="eastAsia" w:ascii="宋体" w:hAnsi="宋体" w:eastAsia="宋体" w:cs="宋体"/>
          <w:color w:val="auto"/>
          <w:kern w:val="0"/>
          <w:sz w:val="24"/>
          <w:szCs w:val="24"/>
          <w:highlight w:val="none"/>
          <w:shd w:val="clear" w:color="auto" w:fill="FFFFFF"/>
          <w:lang w:eastAsia="zh-CN"/>
        </w:rPr>
        <w:t>磋商文件</w:t>
      </w:r>
      <w:r>
        <w:rPr>
          <w:rFonts w:hint="eastAsia" w:ascii="宋体" w:hAnsi="宋体" w:eastAsia="宋体" w:cs="宋体"/>
          <w:color w:val="auto"/>
          <w:kern w:val="0"/>
          <w:sz w:val="24"/>
          <w:szCs w:val="24"/>
          <w:highlight w:val="none"/>
          <w:shd w:val="clear" w:color="auto" w:fill="FFFFFF"/>
        </w:rPr>
        <w:t>、采购过程和中标、</w:t>
      </w:r>
      <w:r>
        <w:rPr>
          <w:rFonts w:hint="eastAsia" w:ascii="宋体" w:hAnsi="宋体" w:eastAsia="宋体" w:cs="宋体"/>
          <w:color w:val="auto"/>
          <w:kern w:val="0"/>
          <w:sz w:val="24"/>
          <w:szCs w:val="24"/>
          <w:highlight w:val="none"/>
          <w:shd w:val="clear" w:color="auto" w:fill="FFFFFF"/>
          <w:lang w:eastAsia="zh-CN"/>
        </w:rPr>
        <w:t>中标</w:t>
      </w:r>
      <w:r>
        <w:rPr>
          <w:rFonts w:hint="eastAsia" w:ascii="宋体" w:hAnsi="宋体" w:eastAsia="宋体" w:cs="宋体"/>
          <w:color w:val="auto"/>
          <w:kern w:val="0"/>
          <w:sz w:val="24"/>
          <w:szCs w:val="24"/>
          <w:highlight w:val="none"/>
          <w:shd w:val="clear" w:color="auto" w:fill="FFFFFF"/>
        </w:rPr>
        <w:t>结果使自己的权益受到损害的，可以在知道或者应知其权益受到损害之日起七个工作日内，以书面形式向采购人提出质疑。</w:t>
      </w:r>
    </w:p>
    <w:p w14:paraId="6A079695">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674295D4">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60B36DE9">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 xml:space="preserve">  《政府采购实施条例》第五十五条：供应商质疑、投诉应当有明确的请求和必要的证明材料。供应商投诉的事项不得超出质疑事项的范围。</w:t>
      </w:r>
    </w:p>
    <w:p w14:paraId="25876BD6">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 xml:space="preserve">   </w:t>
      </w:r>
      <w:bookmarkStart w:id="8" w:name="_Toc9543"/>
      <w:bookmarkStart w:id="9" w:name="_Toc15224"/>
      <w:bookmarkStart w:id="10" w:name="_Toc6704"/>
      <w:bookmarkStart w:id="11" w:name="_Toc13508"/>
      <w:r>
        <w:rPr>
          <w:rFonts w:hint="eastAsia" w:ascii="宋体" w:hAnsi="宋体" w:eastAsia="宋体" w:cs="宋体"/>
          <w:b/>
          <w:bCs/>
          <w:color w:val="auto"/>
          <w:sz w:val="24"/>
          <w:szCs w:val="24"/>
          <w:highlight w:val="none"/>
        </w:rPr>
        <w:t>二、书面方式</w:t>
      </w:r>
      <w:bookmarkEnd w:id="8"/>
      <w:bookmarkEnd w:id="9"/>
      <w:bookmarkEnd w:id="10"/>
      <w:bookmarkEnd w:id="11"/>
    </w:p>
    <w:p w14:paraId="79488239">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《政府采购供应商投诉处理办法》第八条：投诉人投诉</w:t>
      </w:r>
    </w:p>
    <w:p w14:paraId="0F9D546F">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时，应当提交投诉书，并按照被投诉人以及与投诉事项有关的供应商数量提供投诉书的副本。</w:t>
      </w:r>
    </w:p>
    <w:p w14:paraId="1B0194BF">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投诉书应当包括下列主要内容：</w:t>
      </w:r>
    </w:p>
    <w:p w14:paraId="0C9C7FD8">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投诉人和被投诉人的名称、地址、电话等；</w:t>
      </w:r>
    </w:p>
    <w:p w14:paraId="3071EC63">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具体的投诉事项及事实依据；</w:t>
      </w:r>
    </w:p>
    <w:p w14:paraId="4EDD1FB4">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质疑和质疑答复情况及相关证明材料；</w:t>
      </w:r>
    </w:p>
    <w:p w14:paraId="532F5BEE">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提起投诉的日期。</w:t>
      </w:r>
    </w:p>
    <w:p w14:paraId="6056D8D8">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投诉书应当署名。投诉人为自然人，应当由本人签字；投诉人为法人或者其他组织的，应当由法定代表人或者主要负责人签字并加盖公章。</w:t>
      </w:r>
    </w:p>
    <w:p w14:paraId="0A530912">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9242ACD">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《政府采购供应商投诉处理办法》第十条：投诉人提起投诉应当符合下列条件：</w:t>
      </w:r>
    </w:p>
    <w:p w14:paraId="73F72158">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投诉人是参与所投诉政府采购活动的供应商；</w:t>
      </w:r>
    </w:p>
    <w:p w14:paraId="102F9F9F">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提起投诉诉前已依法进行质疑；</w:t>
      </w:r>
    </w:p>
    <w:p w14:paraId="1D5D24C0">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投诉书内容符合本办法的规定；</w:t>
      </w:r>
    </w:p>
    <w:p w14:paraId="5C75DBD0">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在投诉有效期内提起投诉；</w:t>
      </w:r>
    </w:p>
    <w:p w14:paraId="5C954C9B">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属于本级财政部门管辖；</w:t>
      </w:r>
    </w:p>
    <w:p w14:paraId="6A2F1F48">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同一投诉事项未经财政部门投诉处理；</w:t>
      </w:r>
    </w:p>
    <w:p w14:paraId="6084ACA8">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国务院财政部门规定的其他条件。</w:t>
      </w:r>
    </w:p>
    <w:p w14:paraId="08C99CDE">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E58343B">
      <w:pPr>
        <w:shd w:val="clear" w:color="auto" w:fill="auto"/>
        <w:outlineLvl w:val="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w:t>
      </w:r>
      <w:r>
        <w:rPr>
          <w:rFonts w:hint="eastAsia" w:ascii="宋体" w:hAnsi="宋体" w:eastAsia="宋体" w:cs="宋体"/>
          <w:b/>
          <w:bCs/>
          <w:color w:val="auto"/>
          <w:sz w:val="24"/>
          <w:szCs w:val="24"/>
          <w:highlight w:val="none"/>
        </w:rPr>
        <w:t xml:space="preserve">   </w:t>
      </w:r>
      <w:bookmarkStart w:id="12" w:name="_Toc5978"/>
      <w:bookmarkStart w:id="13" w:name="_Toc6108"/>
      <w:bookmarkStart w:id="14" w:name="_Toc24831"/>
      <w:bookmarkStart w:id="15" w:name="_Toc10437"/>
      <w:r>
        <w:rPr>
          <w:rFonts w:hint="eastAsia" w:ascii="宋体" w:hAnsi="宋体" w:eastAsia="宋体" w:cs="宋体"/>
          <w:b/>
          <w:bCs/>
          <w:color w:val="auto"/>
          <w:sz w:val="24"/>
          <w:szCs w:val="24"/>
          <w:highlight w:val="none"/>
        </w:rPr>
        <w:t>三、虚假、恶意投诉法律责任</w:t>
      </w:r>
      <w:bookmarkEnd w:id="12"/>
      <w:bookmarkEnd w:id="13"/>
      <w:bookmarkEnd w:id="14"/>
      <w:bookmarkEnd w:id="15"/>
    </w:p>
    <w:p w14:paraId="6FE61234">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第七十三条：供应商捏造实施、提供虚假材料或者以非法手段取得证明材料进行投诉的，由财政部门列入不良行为记录名单，禁止其1至3年内参加政府采购活动。</w:t>
      </w:r>
    </w:p>
    <w:p w14:paraId="76117C4F">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《政府采购供应商投诉处理办法》第二十六条：投诉人有下列情形之一的，属于虚假、恶意投诉，财政部门应当驳回投诉，将其列入不良行为记录名单，并依法予以处罚：</w:t>
      </w:r>
    </w:p>
    <w:p w14:paraId="1AE7C2CB">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（一）1年内3次以上投诉均查无实据的；</w:t>
      </w:r>
    </w:p>
    <w:p w14:paraId="11906907">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（二）捏造事实或者提供虚假投诉材料的。</w:t>
      </w:r>
    </w:p>
    <w:p w14:paraId="4F4DBEFE">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p w14:paraId="6F571890">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p w14:paraId="3BC41A2F">
      <w:pPr>
        <w:shd w:val="clear" w:color="auto" w:fill="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递交投诉书地址：</w:t>
      </w:r>
      <w:r>
        <w:rPr>
          <w:rFonts w:hint="eastAsia" w:ascii="宋体" w:hAnsi="宋体" w:cs="宋体"/>
          <w:color w:val="auto"/>
          <w:sz w:val="24"/>
          <w:szCs w:val="24"/>
          <w:highlight w:val="none"/>
          <w:lang w:val="en-US" w:eastAsia="zh-CN"/>
        </w:rPr>
        <w:t>阿图什市财</w:t>
      </w:r>
      <w:r>
        <w:rPr>
          <w:rFonts w:hint="eastAsia" w:ascii="宋体" w:hAnsi="宋体" w:eastAsia="宋体" w:cs="宋体"/>
          <w:color w:val="auto"/>
          <w:sz w:val="24"/>
          <w:szCs w:val="24"/>
          <w:highlight w:val="none"/>
          <w:lang w:val="en-US" w:eastAsia="zh-CN"/>
        </w:rPr>
        <w:t>政局政府采购办监管办公室</w:t>
      </w:r>
    </w:p>
    <w:p w14:paraId="4BC1BC04">
      <w:pPr>
        <w:shd w:val="clear" w:color="auto" w:fill="auto"/>
        <w:jc w:val="right"/>
        <w:rPr>
          <w:rFonts w:hint="eastAsia" w:ascii="宋体" w:hAnsi="宋体" w:eastAsia="宋体" w:cs="宋体"/>
          <w:color w:val="auto"/>
          <w:sz w:val="24"/>
          <w:szCs w:val="24"/>
          <w:highlight w:val="none"/>
        </w:rPr>
      </w:pPr>
    </w:p>
    <w:p w14:paraId="77EF6C64">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6F7FF19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248A3ECB">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31790859">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1CA0E961">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bookmarkStart w:id="16" w:name="_Toc1697"/>
    </w:p>
    <w:p w14:paraId="00720A9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5AF0B13F">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7A1DF601">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0D0A122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5E32D727">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4813646A">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2F2DBD12">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9"/>
        <w:rPr>
          <w:rFonts w:hint="eastAsia" w:ascii="宋体" w:hAnsi="宋体" w:eastAsia="宋体" w:cs="宋体"/>
          <w:b/>
          <w:bCs/>
          <w:color w:val="auto"/>
          <w:sz w:val="24"/>
          <w:szCs w:val="24"/>
          <w:highlight w:val="none"/>
        </w:rPr>
      </w:pPr>
    </w:p>
    <w:p w14:paraId="3D0BC7B4">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9"/>
        <w:rPr>
          <w:rFonts w:hint="eastAsia" w:ascii="宋体" w:hAnsi="宋体" w:eastAsia="宋体" w:cs="宋体"/>
          <w:b/>
          <w:bCs/>
          <w:color w:val="auto"/>
          <w:sz w:val="24"/>
          <w:szCs w:val="24"/>
          <w:highlight w:val="none"/>
        </w:rPr>
      </w:pPr>
    </w:p>
    <w:p w14:paraId="7641207C">
      <w:pPr>
        <w:rPr>
          <w:rFonts w:hint="eastAsia" w:ascii="Times New Roman" w:hAnsi="Times New Roman" w:eastAsia="宋体" w:cs="Times New Roman"/>
          <w:sz w:val="24"/>
          <w:szCs w:val="24"/>
          <w:highlight w:val="none"/>
        </w:rPr>
      </w:pPr>
      <w:bookmarkStart w:id="17" w:name="_Toc30496"/>
    </w:p>
    <w:p w14:paraId="201199C8">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24"/>
          <w:szCs w:val="24"/>
          <w:highlight w:val="none"/>
        </w:rPr>
      </w:pPr>
      <w:bookmarkStart w:id="18" w:name="_Toc30797"/>
      <w:bookmarkStart w:id="19" w:name="_Toc8802"/>
    </w:p>
    <w:p w14:paraId="0237C3F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质疑函范本</w:t>
      </w:r>
      <w:bookmarkEnd w:id="16"/>
      <w:bookmarkEnd w:id="17"/>
      <w:bookmarkEnd w:id="18"/>
      <w:bookmarkEnd w:id="19"/>
    </w:p>
    <w:p w14:paraId="3DED6F0A">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80" w:firstLineChars="200"/>
        <w:textAlignment w:val="auto"/>
        <w:outlineLvl w:val="0"/>
        <w:rPr>
          <w:rFonts w:hint="eastAsia" w:ascii="宋体" w:hAnsi="宋体" w:eastAsia="宋体" w:cs="宋体"/>
          <w:bCs/>
          <w:color w:val="auto"/>
          <w:sz w:val="24"/>
          <w:szCs w:val="24"/>
          <w:highlight w:val="none"/>
        </w:rPr>
      </w:pPr>
      <w:bookmarkStart w:id="20" w:name="_Toc25524"/>
      <w:bookmarkStart w:id="21" w:name="_Toc13048"/>
      <w:bookmarkStart w:id="22" w:name="_Toc30940"/>
      <w:bookmarkStart w:id="23" w:name="_Toc9061"/>
      <w:r>
        <w:rPr>
          <w:rFonts w:hint="eastAsia" w:ascii="宋体" w:hAnsi="宋体" w:eastAsia="宋体" w:cs="宋体"/>
          <w:bCs/>
          <w:color w:val="auto"/>
          <w:sz w:val="24"/>
          <w:szCs w:val="24"/>
          <w:highlight w:val="none"/>
        </w:rPr>
        <w:t>一、质疑供应商基本信息</w:t>
      </w:r>
      <w:bookmarkEnd w:id="20"/>
      <w:bookmarkEnd w:id="21"/>
      <w:bookmarkEnd w:id="22"/>
      <w:bookmarkEnd w:id="23"/>
    </w:p>
    <w:p w14:paraId="33409BC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质疑供应商：</w:t>
      </w:r>
      <w:r>
        <w:rPr>
          <w:rFonts w:hint="eastAsia" w:ascii="宋体" w:hAnsi="宋体" w:eastAsia="宋体" w:cs="宋体"/>
          <w:color w:val="auto"/>
          <w:sz w:val="24"/>
          <w:szCs w:val="24"/>
          <w:highlight w:val="none"/>
          <w:u w:val="dotted"/>
        </w:rPr>
        <w:t xml:space="preserve">                         </w:t>
      </w:r>
    </w:p>
    <w:p w14:paraId="3C6882B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6E6FC3A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61972A6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u w:val="dotted"/>
        </w:rPr>
        <w:t xml:space="preserve">                                          </w:t>
      </w:r>
    </w:p>
    <w:p w14:paraId="4AE7D05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2F0EE36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15333D6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24" w:name="_Toc101"/>
      <w:bookmarkStart w:id="25" w:name="_Toc29244"/>
      <w:bookmarkStart w:id="26" w:name="_Toc19533"/>
      <w:bookmarkStart w:id="27" w:name="_Toc15938"/>
      <w:r>
        <w:rPr>
          <w:rFonts w:hint="eastAsia" w:ascii="宋体" w:hAnsi="宋体" w:eastAsia="宋体" w:cs="宋体"/>
          <w:bCs/>
          <w:color w:val="auto"/>
          <w:sz w:val="24"/>
          <w:szCs w:val="24"/>
          <w:highlight w:val="none"/>
        </w:rPr>
        <w:t>二、质疑项目基本情况</w:t>
      </w:r>
      <w:bookmarkEnd w:id="24"/>
      <w:bookmarkEnd w:id="25"/>
      <w:bookmarkEnd w:id="26"/>
      <w:bookmarkEnd w:id="27"/>
    </w:p>
    <w:p w14:paraId="32E12C8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r>
        <w:rPr>
          <w:rFonts w:hint="eastAsia" w:ascii="宋体" w:hAnsi="宋体" w:eastAsia="宋体" w:cs="宋体"/>
          <w:color w:val="auto"/>
          <w:sz w:val="24"/>
          <w:szCs w:val="24"/>
          <w:highlight w:val="none"/>
          <w:u w:val="dotted"/>
        </w:rPr>
        <w:t xml:space="preserve">                                     </w:t>
      </w:r>
    </w:p>
    <w:p w14:paraId="7967457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包号：</w:t>
      </w:r>
      <w:r>
        <w:rPr>
          <w:rFonts w:hint="eastAsia" w:ascii="宋体" w:hAnsi="宋体" w:eastAsia="宋体" w:cs="宋体"/>
          <w:color w:val="auto"/>
          <w:sz w:val="24"/>
          <w:szCs w:val="24"/>
          <w:highlight w:val="none"/>
          <w:u w:val="dotted"/>
        </w:rPr>
        <w:t xml:space="preserve">                </w:t>
      </w:r>
    </w:p>
    <w:p w14:paraId="1782EE8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采购人名称：</w:t>
      </w:r>
      <w:r>
        <w:rPr>
          <w:rFonts w:hint="eastAsia" w:ascii="宋体" w:hAnsi="宋体" w:eastAsia="宋体" w:cs="宋体"/>
          <w:color w:val="auto"/>
          <w:sz w:val="24"/>
          <w:szCs w:val="24"/>
          <w:highlight w:val="none"/>
          <w:u w:val="dotted"/>
        </w:rPr>
        <w:t xml:space="preserve">                                         </w:t>
      </w:r>
    </w:p>
    <w:p w14:paraId="71FD586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获取日期：</w:t>
      </w:r>
      <w:r>
        <w:rPr>
          <w:rFonts w:hint="eastAsia" w:ascii="宋体" w:hAnsi="宋体" w:eastAsia="宋体" w:cs="宋体"/>
          <w:color w:val="auto"/>
          <w:sz w:val="24"/>
          <w:szCs w:val="24"/>
          <w:highlight w:val="none"/>
          <w:u w:val="dotted"/>
        </w:rPr>
        <w:t xml:space="preserve">                                   </w:t>
      </w:r>
    </w:p>
    <w:p w14:paraId="091CBA22">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28" w:name="_Toc25155"/>
      <w:bookmarkStart w:id="29" w:name="_Toc25298"/>
      <w:bookmarkStart w:id="30" w:name="_Toc18271"/>
      <w:bookmarkStart w:id="31" w:name="_Toc13024"/>
      <w:r>
        <w:rPr>
          <w:rFonts w:hint="eastAsia" w:ascii="宋体" w:hAnsi="宋体" w:eastAsia="宋体" w:cs="宋体"/>
          <w:bCs/>
          <w:color w:val="auto"/>
          <w:sz w:val="24"/>
          <w:szCs w:val="24"/>
          <w:highlight w:val="none"/>
        </w:rPr>
        <w:t>三、质疑事项具体内容</w:t>
      </w:r>
      <w:bookmarkEnd w:id="28"/>
      <w:bookmarkEnd w:id="29"/>
      <w:bookmarkEnd w:id="30"/>
      <w:bookmarkEnd w:id="31"/>
    </w:p>
    <w:p w14:paraId="0B18E51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质疑事项1：</w:t>
      </w:r>
      <w:r>
        <w:rPr>
          <w:rFonts w:hint="eastAsia" w:ascii="宋体" w:hAnsi="宋体" w:eastAsia="宋体" w:cs="宋体"/>
          <w:color w:val="auto"/>
          <w:sz w:val="24"/>
          <w:szCs w:val="24"/>
          <w:highlight w:val="none"/>
          <w:u w:val="dotted"/>
        </w:rPr>
        <w:t xml:space="preserve">                                         </w:t>
      </w:r>
    </w:p>
    <w:p w14:paraId="7A5B838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color w:val="auto"/>
          <w:sz w:val="24"/>
          <w:szCs w:val="24"/>
          <w:highlight w:val="none"/>
          <w:u w:val="dotted"/>
        </w:rPr>
        <w:t xml:space="preserve">                                           </w:t>
      </w:r>
    </w:p>
    <w:p w14:paraId="0E1BF94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dotted"/>
        </w:rPr>
        <w:t xml:space="preserve">                                           </w:t>
      </w:r>
    </w:p>
    <w:p w14:paraId="2B86FC9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0FF571F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7934A9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32" w:name="_Toc22365"/>
      <w:bookmarkStart w:id="33" w:name="_Toc18215"/>
      <w:bookmarkStart w:id="34" w:name="_Toc20697"/>
      <w:bookmarkStart w:id="35" w:name="_Toc20488"/>
      <w:r>
        <w:rPr>
          <w:rFonts w:hint="eastAsia" w:ascii="宋体" w:hAnsi="宋体" w:eastAsia="宋体" w:cs="宋体"/>
          <w:bCs/>
          <w:color w:val="auto"/>
          <w:sz w:val="24"/>
          <w:szCs w:val="24"/>
          <w:highlight w:val="none"/>
        </w:rPr>
        <w:t>四、与质疑事项相关的质疑请求</w:t>
      </w:r>
      <w:bookmarkEnd w:id="32"/>
      <w:bookmarkEnd w:id="33"/>
      <w:bookmarkEnd w:id="34"/>
      <w:bookmarkEnd w:id="35"/>
    </w:p>
    <w:p w14:paraId="1F716D2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请求：</w:t>
      </w:r>
      <w:r>
        <w:rPr>
          <w:rFonts w:hint="eastAsia" w:ascii="宋体" w:hAnsi="宋体" w:eastAsia="宋体" w:cs="宋体"/>
          <w:color w:val="auto"/>
          <w:sz w:val="24"/>
          <w:szCs w:val="24"/>
          <w:highlight w:val="none"/>
          <w:u w:val="dotted"/>
        </w:rPr>
        <w:t xml:space="preserve">                                               </w:t>
      </w:r>
    </w:p>
    <w:p w14:paraId="1B7B5E2E">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4"/>
          <w:szCs w:val="24"/>
          <w:highlight w:val="none"/>
        </w:rPr>
        <w:t xml:space="preserve">签字(签章)：                   公章：                 日期：   </w:t>
      </w:r>
      <w:r>
        <w:rPr>
          <w:rFonts w:hint="eastAsia" w:ascii="宋体" w:hAnsi="宋体" w:eastAsia="宋体" w:cs="宋体"/>
          <w:color w:val="auto"/>
          <w:sz w:val="21"/>
          <w:szCs w:val="21"/>
          <w:highlight w:val="none"/>
        </w:rPr>
        <w:t xml:space="preserve"> </w:t>
      </w:r>
    </w:p>
    <w:p w14:paraId="61B9288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52999743">
      <w:pPr>
        <w:rPr>
          <w:rFonts w:hint="default" w:ascii="宋体" w:hAnsi="宋体" w:eastAsia="宋体" w:cs="宋体"/>
          <w:b w:val="0"/>
          <w:bCs w:val="0"/>
          <w:sz w:val="24"/>
          <w:szCs w:val="24"/>
          <w:highlight w:val="none"/>
          <w:lang w:val="en-US" w:eastAsia="zh-CN"/>
        </w:rPr>
      </w:pPr>
    </w:p>
    <w:p w14:paraId="5112B381">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质疑函制作说明：</w:t>
      </w:r>
    </w:p>
    <w:p w14:paraId="22F67BF3">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1.供应商提出质疑时，应提交质疑函和必要的证明材料。</w:t>
      </w:r>
    </w:p>
    <w:p w14:paraId="3CA05548">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CAEFD3F">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3.质疑供应商若对项目的某一分包进行质疑，质疑函中应列明具体分包号。</w:t>
      </w:r>
    </w:p>
    <w:p w14:paraId="02C30271">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4.质疑函的质疑事项应具体、明确，并有必要的事实依据和法律依据。</w:t>
      </w:r>
    </w:p>
    <w:p w14:paraId="67902E97">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5.质疑函的质疑请求应与质疑事项相关。</w:t>
      </w:r>
    </w:p>
    <w:p w14:paraId="045D17F6">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6D0AD7B7">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p>
    <w:p w14:paraId="1774F15F">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p>
    <w:p w14:paraId="3CC1B282">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p>
    <w:p w14:paraId="7A7A4DAD">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注意事项</w:t>
      </w:r>
    </w:p>
    <w:p w14:paraId="3F3706A3">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1、投标人对所附表格中要求的资料和询问应做出肯定的回答。</w:t>
      </w:r>
    </w:p>
    <w:p w14:paraId="3371CB4C">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2、采购文件的签字人应保证他所做的声明及对一切问题的回答的真实性和准确。</w:t>
      </w:r>
    </w:p>
    <w:p w14:paraId="6EACAB32">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3、投标人提供的采购文件将由采购人使用，并据此进行评价和判断，确定投标人的能力。</w:t>
      </w:r>
    </w:p>
    <w:p w14:paraId="06C52AC6">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default" w:ascii="宋体" w:hAnsi="宋体" w:eastAsia="宋体" w:cs="宋体"/>
          <w:b/>
          <w:bCs/>
          <w:sz w:val="36"/>
          <w:szCs w:val="36"/>
          <w:highlight w:val="none"/>
          <w:lang w:val="en-US" w:eastAsia="zh-CN"/>
        </w:rPr>
      </w:pPr>
      <w:r>
        <w:rPr>
          <w:rFonts w:hint="eastAsia" w:ascii="宋体" w:hAnsi="宋体" w:eastAsia="宋体" w:cs="宋体"/>
          <w:color w:val="auto"/>
          <w:sz w:val="24"/>
          <w:szCs w:val="24"/>
          <w:highlight w:val="none"/>
        </w:rPr>
        <w:t xml:space="preserve">4、投标人提交的文件将给予保密，但不退还。    </w:t>
      </w:r>
    </w:p>
    <w:p w14:paraId="3C1899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6"/>
          <w:szCs w:val="36"/>
          <w:highlight w:val="none"/>
          <w:lang w:val="en-US" w:eastAsia="zh-CN"/>
        </w:rPr>
      </w:pPr>
    </w:p>
    <w:p w14:paraId="56B5FC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highlight w:val="none"/>
          <w:lang w:val="en-US" w:eastAsia="zh-CN"/>
        </w:rPr>
      </w:pPr>
    </w:p>
    <w:p w14:paraId="303AB5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2"/>
          <w:szCs w:val="22"/>
          <w:highlight w:val="none"/>
          <w:lang w:val="en-US" w:eastAsia="zh-CN"/>
        </w:rPr>
      </w:pPr>
      <w:r>
        <w:rPr>
          <w:rFonts w:hint="default" w:ascii="宋体" w:hAnsi="宋体" w:eastAsia="宋体" w:cs="宋体"/>
          <w:b/>
          <w:bCs/>
          <w:sz w:val="32"/>
          <w:szCs w:val="32"/>
          <w:highlight w:val="none"/>
          <w:lang w:val="en-US" w:eastAsia="zh-CN"/>
        </w:rPr>
        <w:t>第三章  评标办法</w:t>
      </w:r>
    </w:p>
    <w:p w14:paraId="2457C2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一  总  则</w:t>
      </w:r>
    </w:p>
    <w:p w14:paraId="43161B83">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1、一般规定</w:t>
      </w:r>
    </w:p>
    <w:p w14:paraId="1D876629">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1.1本项目的招标按照《中华人民共和国政府采购法》、《政府采购服务和服务招标磋商管理办法》、《政府采购竞争性磋商采购方式管理暂行办法》及政府采购的有关规定进行。</w:t>
      </w:r>
    </w:p>
    <w:p w14:paraId="6C502A38">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1.2评标必须遵循公开、公平、公正、诚实信用的原则。</w:t>
      </w:r>
    </w:p>
    <w:p w14:paraId="01FA28C1">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1.3招标代理机构组织招标、开标、评标工作，全过程接受政府采购有关部门的监督、管理和指导。</w:t>
      </w:r>
    </w:p>
    <w:p w14:paraId="23F42662">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1.4评标按照</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磋商文件规定的内容进行，采取综合比较和分项打分相结合的评标方法（综合评分法），避免纯技术或纯经济的倾向。</w:t>
      </w:r>
    </w:p>
    <w:p w14:paraId="59C30053">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1.5本办法的评标对象是指供应商按照</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磋商文件要求提供的有效响应文件，包括供应商应磋商小组要求对原响应文件作出的正式书面澄清文件。</w:t>
      </w:r>
    </w:p>
    <w:p w14:paraId="1B86454F">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2、磋商组织机构的组成</w:t>
      </w:r>
    </w:p>
    <w:p w14:paraId="23BDA3CE">
      <w:pPr>
        <w:tabs>
          <w:tab w:val="left" w:pos="567"/>
          <w:tab w:val="left" w:pos="1145"/>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2.1磋商小组成员由招标人的代表和随机抽取的有关方面的</w:t>
      </w:r>
      <w:r>
        <w:rPr>
          <w:rFonts w:hint="eastAsia" w:ascii="宋体" w:hAnsi="宋体" w:cs="宋体"/>
          <w:b/>
          <w:bCs/>
          <w:color w:val="auto"/>
          <w:sz w:val="24"/>
          <w:szCs w:val="24"/>
          <w:highlight w:val="none"/>
          <w:u w:val="single"/>
        </w:rPr>
        <w:t>专家</w:t>
      </w:r>
      <w:r>
        <w:rPr>
          <w:rFonts w:hint="eastAsia" w:ascii="宋体" w:hAnsi="宋体" w:cs="宋体"/>
          <w:b/>
          <w:bCs/>
          <w:color w:val="auto"/>
          <w:sz w:val="24"/>
          <w:szCs w:val="24"/>
          <w:highlight w:val="none"/>
          <w:u w:val="single"/>
          <w:lang w:val="en-US" w:eastAsia="zh-CN"/>
        </w:rPr>
        <w:t>2</w:t>
      </w:r>
      <w:r>
        <w:rPr>
          <w:rFonts w:hint="eastAsia" w:ascii="宋体" w:hAnsi="宋体" w:cs="宋体"/>
          <w:b/>
          <w:bCs/>
          <w:color w:val="auto"/>
          <w:sz w:val="24"/>
          <w:szCs w:val="24"/>
          <w:highlight w:val="none"/>
          <w:u w:val="single"/>
        </w:rPr>
        <w:t>名组成，成员为</w:t>
      </w:r>
      <w:r>
        <w:rPr>
          <w:rFonts w:hint="eastAsia" w:ascii="宋体" w:hAnsi="宋体" w:cs="宋体"/>
          <w:b/>
          <w:bCs/>
          <w:color w:val="auto"/>
          <w:sz w:val="24"/>
          <w:szCs w:val="24"/>
          <w:highlight w:val="none"/>
          <w:u w:val="single"/>
          <w:lang w:val="en-US" w:eastAsia="zh-CN"/>
        </w:rPr>
        <w:t>3</w:t>
      </w:r>
      <w:r>
        <w:rPr>
          <w:rFonts w:hint="eastAsia" w:ascii="宋体" w:hAnsi="宋体" w:cs="宋体"/>
          <w:b/>
          <w:bCs/>
          <w:color w:val="auto"/>
          <w:sz w:val="24"/>
          <w:szCs w:val="24"/>
          <w:highlight w:val="none"/>
          <w:u w:val="single"/>
        </w:rPr>
        <w:t>人</w:t>
      </w:r>
      <w:r>
        <w:rPr>
          <w:rFonts w:hint="eastAsia" w:ascii="宋体" w:hAnsi="宋体" w:cs="宋体"/>
          <w:color w:val="auto"/>
          <w:sz w:val="24"/>
          <w:szCs w:val="24"/>
          <w:highlight w:val="none"/>
        </w:rPr>
        <w:t>，磋商小组的成员在评标过程中</w:t>
      </w:r>
      <w:r>
        <w:rPr>
          <w:rFonts w:hint="eastAsia" w:ascii="宋体" w:hAnsi="宋体" w:cs="宋体"/>
          <w:color w:val="auto"/>
          <w:sz w:val="24"/>
          <w:szCs w:val="24"/>
          <w:highlight w:val="none"/>
          <w:lang w:val="zh-CN"/>
        </w:rPr>
        <w:t>必须严格遵守政府采购的有关规定</w:t>
      </w:r>
      <w:r>
        <w:rPr>
          <w:rFonts w:hint="eastAsia" w:ascii="宋体" w:hAnsi="宋体" w:cs="宋体"/>
          <w:color w:val="auto"/>
          <w:sz w:val="24"/>
          <w:szCs w:val="24"/>
          <w:highlight w:val="none"/>
        </w:rPr>
        <w:t>。专家从当地专家库中随机抽取产生。</w:t>
      </w:r>
    </w:p>
    <w:p w14:paraId="60554B00">
      <w:pPr>
        <w:tabs>
          <w:tab w:val="left" w:pos="567"/>
          <w:tab w:val="left" w:pos="1145"/>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2.2评标工作组由招标人及有关专家组成，由磋商小组确认，并接受其领导。</w:t>
      </w:r>
    </w:p>
    <w:p w14:paraId="68E39140">
      <w:pPr>
        <w:tabs>
          <w:tab w:val="left" w:pos="567"/>
          <w:tab w:val="left" w:pos="1145"/>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2.3</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磋商小组应相对独立工作，负责评标、撰写技术、商务评标报告。采购代理机构负责评标过程中资料的保管、发放、回收，整理、汇总评标资料。</w:t>
      </w:r>
    </w:p>
    <w:p w14:paraId="36161679">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3、磋商小组职责</w:t>
      </w:r>
    </w:p>
    <w:p w14:paraId="51EF0D4C">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3.1审查</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磋商文件是否符合磋商文件要求，并作出评价；</w:t>
      </w:r>
    </w:p>
    <w:p w14:paraId="444BA7A5">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3.2要求供应商对</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磋商文件有关事项作出解释或者澄清；</w:t>
      </w:r>
    </w:p>
    <w:p w14:paraId="75DB7E95">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3.3推荐</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val="en-US" w:eastAsia="zh-CN"/>
        </w:rPr>
        <w:t>(成交)</w:t>
      </w:r>
      <w:r>
        <w:rPr>
          <w:rFonts w:hint="eastAsia" w:ascii="宋体" w:hAnsi="宋体" w:cs="宋体"/>
          <w:color w:val="auto"/>
          <w:sz w:val="24"/>
          <w:szCs w:val="24"/>
          <w:highlight w:val="none"/>
        </w:rPr>
        <w:t>候选人名单；</w:t>
      </w:r>
    </w:p>
    <w:p w14:paraId="27085BF7">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3.4向招标人、招标代理机构或者有关部门报告非法干预评标工作的行为。</w:t>
      </w:r>
    </w:p>
    <w:p w14:paraId="563DA37A">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4、磋商小组义务</w:t>
      </w:r>
    </w:p>
    <w:p w14:paraId="560E467A">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4.1遵纪守法，客观、公正、廉洁地履行职责；</w:t>
      </w:r>
    </w:p>
    <w:p w14:paraId="4FB833E3">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4.2按照</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磋商文件规定的评标方法和评标标准进行评标，对评审意见承担个人责任；</w:t>
      </w:r>
    </w:p>
    <w:p w14:paraId="743D94A9">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4.3对评标过程和结果，以及供应商的商业秘密保密；</w:t>
      </w:r>
    </w:p>
    <w:p w14:paraId="3BB8FA84">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4.4参与评标报告的起草；</w:t>
      </w:r>
    </w:p>
    <w:p w14:paraId="6909E5C3">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4.5配合有关部门的投诉处理工作；</w:t>
      </w:r>
    </w:p>
    <w:p w14:paraId="1D2879F1">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4.6配合招标人、招标代理机构答复磋商供应商提出的质疑。</w:t>
      </w:r>
    </w:p>
    <w:p w14:paraId="56CAFB4D">
      <w:pPr>
        <w:tabs>
          <w:tab w:val="left" w:pos="1547"/>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5、 评标程序</w:t>
      </w:r>
    </w:p>
    <w:p w14:paraId="15A0585F">
      <w:pPr>
        <w:pStyle w:val="24"/>
        <w:tabs>
          <w:tab w:val="left" w:pos="720"/>
          <w:tab w:val="clear" w:pos="0"/>
        </w:tabs>
        <w:spacing w:line="360" w:lineRule="auto"/>
        <w:ind w:firstLine="612" w:firstLineChars="255"/>
        <w:rPr>
          <w:rFonts w:hint="eastAsia" w:ascii="宋体" w:hAnsi="宋体" w:cs="宋体"/>
          <w:bCs/>
          <w:color w:val="auto"/>
          <w:sz w:val="24"/>
          <w:szCs w:val="24"/>
          <w:highlight w:val="none"/>
        </w:rPr>
      </w:pPr>
      <w:r>
        <w:rPr>
          <w:rFonts w:hint="eastAsia" w:ascii="宋体" w:hAnsi="宋体" w:cs="宋体"/>
          <w:bCs/>
          <w:color w:val="auto"/>
          <w:sz w:val="24"/>
          <w:szCs w:val="24"/>
          <w:highlight w:val="none"/>
        </w:rPr>
        <w:t>5.1本次评标首先由磋商小组对供应商的响应文件进行初审，对未能通过初审的响应文件作废标处理；</w:t>
      </w:r>
    </w:p>
    <w:p w14:paraId="79DC09A8">
      <w:pPr>
        <w:tabs>
          <w:tab w:val="left" w:pos="72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5.2对通过初审的供应商的响应文件进行详细的比较和评价。如需要，进行必要的澄清工作；</w:t>
      </w:r>
    </w:p>
    <w:p w14:paraId="51DAE479">
      <w:pPr>
        <w:spacing w:line="360" w:lineRule="auto"/>
        <w:rPr>
          <w:rFonts w:hint="eastAsia" w:ascii="宋体"/>
          <w:color w:val="auto"/>
          <w:sz w:val="24"/>
          <w:szCs w:val="24"/>
          <w:highlight w:val="none"/>
        </w:rPr>
      </w:pPr>
      <w:r>
        <w:rPr>
          <w:rFonts w:hint="eastAsia" w:ascii="宋体" w:hAnsi="宋体" w:cs="宋体"/>
          <w:color w:val="auto"/>
          <w:sz w:val="24"/>
          <w:szCs w:val="24"/>
          <w:highlight w:val="none"/>
        </w:rPr>
        <w:t xml:space="preserve">     5.3</w:t>
      </w:r>
      <w:r>
        <w:rPr>
          <w:rFonts w:hint="eastAsia" w:ascii="宋体"/>
          <w:color w:val="auto"/>
          <w:sz w:val="24"/>
          <w:szCs w:val="24"/>
          <w:highlight w:val="none"/>
        </w:rPr>
        <w:t>评标报告与推荐成交候选人</w:t>
      </w:r>
    </w:p>
    <w:p w14:paraId="301E82BE">
      <w:pPr>
        <w:widowControl/>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sz w:val="24"/>
          <w:szCs w:val="24"/>
          <w:highlight w:val="none"/>
        </w:rPr>
        <w:t>5.3</w:t>
      </w:r>
      <w:r>
        <w:rPr>
          <w:rFonts w:hint="eastAsia" w:ascii="宋体" w:hAnsi="宋体" w:cs="宋体"/>
          <w:color w:val="auto"/>
          <w:kern w:val="0"/>
          <w:sz w:val="24"/>
          <w:szCs w:val="24"/>
          <w:highlight w:val="none"/>
        </w:rPr>
        <w:t>磋商小组各成员应当独立对每个有效响应的文件进行评价、打分，然后汇总每个供应商每项评分因素的得分。</w:t>
      </w:r>
    </w:p>
    <w:p w14:paraId="7DCB1514">
      <w:pPr>
        <w:widowControl/>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综合评分法服务项目的价格分值占总分值的比重(即权值)为</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，采购项目中含不同采购对象的，以占项目资金比例最高的采购对象确定其项目属性。其价格不列为评分因素，有特殊情况需要在上述规定范围外设定价格分权重的。</w:t>
      </w:r>
    </w:p>
    <w:p w14:paraId="5B4E6397">
      <w:pPr>
        <w:widowControl/>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综合评分法中的价格分统一采用低价优先法计算，即满足</w:t>
      </w:r>
      <w:r>
        <w:rPr>
          <w:rFonts w:hint="eastAsia" w:ascii="宋体" w:hAnsi="宋体" w:cs="宋体"/>
          <w:color w:val="auto"/>
          <w:sz w:val="24"/>
          <w:szCs w:val="24"/>
          <w:highlight w:val="none"/>
          <w:lang w:eastAsia="zh-CN"/>
        </w:rPr>
        <w:t>竞争性</w:t>
      </w:r>
      <w:r>
        <w:rPr>
          <w:rFonts w:hint="eastAsia" w:ascii="宋体" w:hAnsi="宋体" w:cs="宋体"/>
          <w:color w:val="auto"/>
          <w:kern w:val="0"/>
          <w:sz w:val="24"/>
          <w:szCs w:val="24"/>
          <w:highlight w:val="none"/>
        </w:rPr>
        <w:t>磋商文件要求且最后报价最低的供应商的价格为磋商基准价，其价格分为满分。其他供应商的价格分统一按照下列公式计算：</w:t>
      </w:r>
    </w:p>
    <w:p w14:paraId="453F1A68">
      <w:pPr>
        <w:widowControl/>
        <w:shd w:val="clear" w:color="auto" w:fill="auto"/>
        <w:spacing w:line="360" w:lineRule="auto"/>
        <w:ind w:firstLine="480"/>
        <w:rPr>
          <w:rFonts w:hint="default" w:ascii="宋体" w:hAnsi="宋体" w:eastAsia="宋体" w:cs="宋体"/>
          <w:color w:val="FF0000"/>
          <w:kern w:val="0"/>
          <w:sz w:val="24"/>
          <w:szCs w:val="24"/>
          <w:highlight w:val="none"/>
          <w:lang w:val="en-US" w:eastAsia="zh-CN"/>
        </w:rPr>
      </w:pPr>
      <w:r>
        <w:rPr>
          <w:rFonts w:hint="eastAsia" w:ascii="宋体" w:hAnsi="宋体" w:cs="宋体"/>
          <w:color w:val="auto"/>
          <w:kern w:val="0"/>
          <w:sz w:val="24"/>
          <w:szCs w:val="24"/>
          <w:highlight w:val="none"/>
        </w:rPr>
        <w:t>　</w:t>
      </w: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报价得分=（基准价/</w:t>
      </w: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w:t>
      </w:r>
      <w:r>
        <w:rPr>
          <w:rFonts w:hint="eastAsia" w:ascii="宋体" w:hAnsi="宋体" w:cs="宋体"/>
          <w:color w:val="auto"/>
          <w:kern w:val="0"/>
          <w:sz w:val="24"/>
          <w:szCs w:val="24"/>
          <w:highlight w:val="none"/>
          <w:lang w:val="en-US" w:eastAsia="zh-CN"/>
        </w:rPr>
        <w:t>20</w:t>
      </w:r>
    </w:p>
    <w:p w14:paraId="44B93900">
      <w:pPr>
        <w:widowControl/>
        <w:spacing w:line="360" w:lineRule="auto"/>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项目评审过程中，不得去掉最后报价中的最高报价和最低报价。</w:t>
      </w:r>
    </w:p>
    <w:p w14:paraId="7E4FE97F">
      <w:pPr>
        <w:widowControl/>
        <w:spacing w:line="360" w:lineRule="auto"/>
        <w:ind w:firstLine="480"/>
        <w:rPr>
          <w:rFonts w:hint="default" w:ascii="宋体" w:hAnsi="宋体" w:eastAsia="宋体" w:cs="宋体"/>
          <w:b w:val="0"/>
          <w:bCs w:val="0"/>
          <w:sz w:val="24"/>
          <w:szCs w:val="24"/>
          <w:highlight w:val="none"/>
          <w:lang w:val="en-US" w:eastAsia="zh-CN"/>
        </w:rPr>
      </w:pPr>
      <w:bookmarkStart w:id="36" w:name="_Toc13511"/>
      <w:bookmarkStart w:id="37" w:name="_Toc22920"/>
      <w:bookmarkStart w:id="38" w:name="_Toc18771"/>
      <w:bookmarkStart w:id="39" w:name="_Toc7941"/>
      <w:bookmarkStart w:id="40" w:name="_Toc26200"/>
      <w:r>
        <w:rPr>
          <w:rFonts w:hint="eastAsia" w:ascii="宋体" w:hAnsi="宋体" w:eastAsia="宋体" w:cs="宋体"/>
          <w:color w:val="auto"/>
          <w:kern w:val="0"/>
          <w:sz w:val="24"/>
          <w:szCs w:val="24"/>
          <w:highlight w:val="none"/>
        </w:rPr>
        <w:t> 磋商小组应当根据综合评分情况，按照评审得分由高到低顺序推荐3名以上成交候选供应商符合《政府采购竞争性磋商采购方式管理暂行办法》法第二十五条磋商小组应当根据综合评分情况，按照评审得分由高到低顺序推荐3名以上成交候选供应商。符合本办法第二十一条第三款情形的，可以推荐2家成交候选供应商。评审得分相同的，按照最后报价由低到高的顺序推荐。评审得分且最后报价相同的，按照技术指标优劣顺序推荐。</w:t>
      </w:r>
      <w:bookmarkEnd w:id="36"/>
      <w:bookmarkEnd w:id="37"/>
      <w:bookmarkEnd w:id="38"/>
      <w:bookmarkEnd w:id="39"/>
      <w:bookmarkEnd w:id="40"/>
    </w:p>
    <w:p w14:paraId="14A4629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2EA93A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3F7458D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42CF49FB">
      <w:pPr>
        <w:pStyle w:val="36"/>
        <w:rPr>
          <w:rFonts w:hint="default"/>
          <w:lang w:val="en-US" w:eastAsia="zh-CN"/>
        </w:rPr>
      </w:pPr>
    </w:p>
    <w:p w14:paraId="2E1D4DDF">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1"/>
        <w:rPr>
          <w:rFonts w:hint="eastAsia" w:ascii="宋体" w:hAnsi="Times New Roman" w:eastAsia="宋体" w:cs="Times New Roman"/>
          <w:b/>
          <w:bCs w:val="0"/>
          <w:color w:val="auto"/>
          <w:sz w:val="24"/>
          <w:szCs w:val="24"/>
          <w:highlight w:val="none"/>
        </w:rPr>
      </w:pPr>
      <w:r>
        <w:rPr>
          <w:rFonts w:hint="eastAsia" w:ascii="宋体" w:hAnsi="Times New Roman" w:eastAsia="宋体" w:cs="Times New Roman"/>
          <w:b/>
          <w:bCs w:val="0"/>
          <w:color w:val="auto"/>
          <w:sz w:val="24"/>
          <w:szCs w:val="24"/>
          <w:highlight w:val="none"/>
        </w:rPr>
        <w:t xml:space="preserve">二  </w:t>
      </w:r>
      <w:r>
        <w:rPr>
          <w:rFonts w:hint="eastAsia" w:ascii="宋体" w:hAnsi="Times New Roman" w:eastAsia="宋体" w:cs="Times New Roman"/>
          <w:b/>
          <w:bCs w:val="0"/>
          <w:color w:val="auto"/>
          <w:sz w:val="24"/>
          <w:szCs w:val="24"/>
          <w:highlight w:val="none"/>
          <w:lang w:val="en-US" w:eastAsia="zh-CN"/>
        </w:rPr>
        <w:t>响应文件</w:t>
      </w:r>
      <w:r>
        <w:rPr>
          <w:rFonts w:hint="eastAsia" w:ascii="宋体" w:hAnsi="Times New Roman" w:eastAsia="宋体" w:cs="Times New Roman"/>
          <w:b/>
          <w:bCs w:val="0"/>
          <w:color w:val="auto"/>
          <w:sz w:val="24"/>
          <w:szCs w:val="24"/>
          <w:highlight w:val="none"/>
        </w:rPr>
        <w:t>初审</w:t>
      </w:r>
    </w:p>
    <w:p w14:paraId="57301B87">
      <w:pPr>
        <w:shd w:val="clear" w:color="auto" w:fill="auto"/>
        <w:spacing w:line="400" w:lineRule="exact"/>
        <w:ind w:firstLine="352" w:firstLineChars="147"/>
        <w:rPr>
          <w:rFonts w:hint="eastAsia" w:ascii="宋体" w:hAnsi="Times New Roman" w:eastAsia="宋体" w:cs="Times New Roman"/>
          <w:b w:val="0"/>
          <w:bCs/>
          <w:color w:val="auto"/>
          <w:sz w:val="24"/>
          <w:szCs w:val="24"/>
          <w:highlight w:val="none"/>
        </w:rPr>
      </w:pPr>
      <w:r>
        <w:rPr>
          <w:rFonts w:hint="eastAsia" w:ascii="宋体" w:hAnsi="Times New Roman" w:eastAsia="宋体" w:cs="Times New Roman"/>
          <w:b w:val="0"/>
          <w:bCs/>
          <w:color w:val="auto"/>
          <w:sz w:val="24"/>
          <w:szCs w:val="24"/>
          <w:highlight w:val="none"/>
          <w:lang w:val="en-US" w:eastAsia="zh-CN"/>
        </w:rPr>
        <w:t>6、</w:t>
      </w:r>
      <w:r>
        <w:rPr>
          <w:rFonts w:hint="eastAsia" w:ascii="宋体" w:hAnsi="Times New Roman" w:eastAsia="宋体" w:cs="Times New Roman"/>
          <w:b w:val="0"/>
          <w:bCs/>
          <w:color w:val="auto"/>
          <w:sz w:val="24"/>
          <w:szCs w:val="24"/>
          <w:highlight w:val="none"/>
        </w:rPr>
        <w:t>资格性审查:</w:t>
      </w:r>
    </w:p>
    <w:p w14:paraId="04A50514">
      <w:pPr>
        <w:shd w:val="clear" w:color="auto" w:fill="auto"/>
        <w:spacing w:line="400" w:lineRule="exact"/>
        <w:ind w:firstLine="352" w:firstLineChars="147"/>
        <w:rPr>
          <w:rFonts w:hint="eastAsia"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rPr>
        <w:t>6.1</w:t>
      </w:r>
      <w:r>
        <w:rPr>
          <w:rFonts w:hint="eastAsia" w:ascii="Times New Roman" w:hAnsi="Times New Roman" w:eastAsia="宋体" w:cs="Times New Roman"/>
          <w:color w:val="auto"/>
          <w:sz w:val="24"/>
          <w:szCs w:val="24"/>
          <w:highlight w:val="none"/>
        </w:rPr>
        <w:t>评审细则</w:t>
      </w:r>
    </w:p>
    <w:tbl>
      <w:tblPr>
        <w:tblStyle w:val="28"/>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51"/>
        <w:gridCol w:w="6302"/>
        <w:gridCol w:w="1005"/>
        <w:gridCol w:w="989"/>
      </w:tblGrid>
      <w:tr w14:paraId="294B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753" w:type="dxa"/>
            <w:vMerge w:val="restart"/>
            <w:vAlign w:val="center"/>
          </w:tcPr>
          <w:p w14:paraId="664CC4CF">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6653" w:type="dxa"/>
            <w:gridSpan w:val="2"/>
            <w:vMerge w:val="restart"/>
            <w:vAlign w:val="center"/>
          </w:tcPr>
          <w:p w14:paraId="218BD494">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评审内容</w:t>
            </w:r>
          </w:p>
        </w:tc>
        <w:tc>
          <w:tcPr>
            <w:tcW w:w="1994" w:type="dxa"/>
            <w:gridSpan w:val="2"/>
            <w:vAlign w:val="center"/>
          </w:tcPr>
          <w:p w14:paraId="594BEF20">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评审意见</w:t>
            </w:r>
          </w:p>
        </w:tc>
      </w:tr>
      <w:tr w14:paraId="1253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753" w:type="dxa"/>
            <w:vMerge w:val="continue"/>
            <w:vAlign w:val="center"/>
          </w:tcPr>
          <w:p w14:paraId="04D4178A">
            <w:pPr>
              <w:shd w:val="clear" w:color="auto" w:fill="auto"/>
              <w:rPr>
                <w:rFonts w:hint="eastAsia" w:ascii="宋体" w:hAnsi="宋体" w:eastAsia="宋体" w:cs="宋体"/>
                <w:color w:val="auto"/>
                <w:sz w:val="24"/>
                <w:szCs w:val="24"/>
                <w:highlight w:val="none"/>
              </w:rPr>
            </w:pPr>
          </w:p>
        </w:tc>
        <w:tc>
          <w:tcPr>
            <w:tcW w:w="6653" w:type="dxa"/>
            <w:gridSpan w:val="2"/>
            <w:vMerge w:val="continue"/>
          </w:tcPr>
          <w:p w14:paraId="62A38892">
            <w:pPr>
              <w:shd w:val="clear" w:color="auto" w:fill="auto"/>
              <w:rPr>
                <w:rFonts w:hint="eastAsia" w:ascii="宋体" w:hAnsi="宋体" w:eastAsia="宋体" w:cs="宋体"/>
                <w:color w:val="auto"/>
                <w:sz w:val="24"/>
                <w:szCs w:val="24"/>
                <w:highlight w:val="none"/>
              </w:rPr>
            </w:pPr>
          </w:p>
        </w:tc>
        <w:tc>
          <w:tcPr>
            <w:tcW w:w="1005" w:type="dxa"/>
            <w:vAlign w:val="center"/>
          </w:tcPr>
          <w:p w14:paraId="5D5F5A32">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是</w:t>
            </w:r>
          </w:p>
        </w:tc>
        <w:tc>
          <w:tcPr>
            <w:tcW w:w="989" w:type="dxa"/>
            <w:vAlign w:val="center"/>
          </w:tcPr>
          <w:p w14:paraId="60860EF4">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否</w:t>
            </w:r>
          </w:p>
        </w:tc>
      </w:tr>
      <w:tr w14:paraId="5323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53" w:type="dxa"/>
            <w:vMerge w:val="restart"/>
            <w:vAlign w:val="center"/>
          </w:tcPr>
          <w:p w14:paraId="26ABF744">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p w14:paraId="00B0617E">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查</w:t>
            </w:r>
          </w:p>
          <w:p w14:paraId="628DC761">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w:t>
            </w:r>
          </w:p>
          <w:p w14:paraId="61AA62FE">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w:t>
            </w:r>
          </w:p>
          <w:p w14:paraId="6A442CF7">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w:t>
            </w:r>
          </w:p>
          <w:p w14:paraId="085A83F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w:t>
            </w:r>
          </w:p>
          <w:p w14:paraId="34DB5208">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于</w:t>
            </w:r>
          </w:p>
          <w:p w14:paraId="1D12FFE2">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w:t>
            </w:r>
          </w:p>
          <w:p w14:paraId="3BC8CEEA">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格</w:t>
            </w:r>
          </w:p>
          <w:p w14:paraId="20E0C086">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后</w:t>
            </w:r>
          </w:p>
          <w:p w14:paraId="427DF894">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tc>
        <w:tc>
          <w:tcPr>
            <w:tcW w:w="351" w:type="dxa"/>
            <w:vAlign w:val="center"/>
          </w:tcPr>
          <w:p w14:paraId="6125947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302" w:type="dxa"/>
            <w:vAlign w:val="center"/>
          </w:tcPr>
          <w:p w14:paraId="4132E761">
            <w:pPr>
              <w:widowControl/>
              <w:shd w:val="clear" w:color="auto" w:fill="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具备三证合一营业执照副本</w:t>
            </w:r>
          </w:p>
        </w:tc>
        <w:tc>
          <w:tcPr>
            <w:tcW w:w="1005" w:type="dxa"/>
          </w:tcPr>
          <w:p w14:paraId="493E22F3">
            <w:pPr>
              <w:shd w:val="clear" w:color="auto" w:fill="auto"/>
              <w:rPr>
                <w:rFonts w:hint="eastAsia" w:ascii="宋体" w:hAnsi="宋体" w:eastAsia="宋体" w:cs="宋体"/>
                <w:color w:val="auto"/>
                <w:sz w:val="24"/>
                <w:szCs w:val="24"/>
                <w:highlight w:val="none"/>
              </w:rPr>
            </w:pPr>
          </w:p>
        </w:tc>
        <w:tc>
          <w:tcPr>
            <w:tcW w:w="989" w:type="dxa"/>
          </w:tcPr>
          <w:p w14:paraId="43D0CA8F">
            <w:pPr>
              <w:shd w:val="clear" w:color="auto" w:fill="auto"/>
              <w:rPr>
                <w:rFonts w:hint="eastAsia" w:ascii="宋体" w:hAnsi="宋体" w:eastAsia="宋体" w:cs="宋体"/>
                <w:color w:val="auto"/>
                <w:sz w:val="24"/>
                <w:szCs w:val="24"/>
                <w:highlight w:val="none"/>
              </w:rPr>
            </w:pPr>
          </w:p>
        </w:tc>
      </w:tr>
      <w:tr w14:paraId="722D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53" w:type="dxa"/>
            <w:vMerge w:val="continue"/>
            <w:vAlign w:val="center"/>
          </w:tcPr>
          <w:p w14:paraId="3C5F468C">
            <w:pPr>
              <w:shd w:val="clear" w:color="auto" w:fill="auto"/>
              <w:rPr>
                <w:rFonts w:hint="eastAsia" w:ascii="宋体" w:hAnsi="宋体" w:eastAsia="宋体" w:cs="宋体"/>
                <w:color w:val="auto"/>
                <w:sz w:val="24"/>
                <w:szCs w:val="24"/>
                <w:highlight w:val="none"/>
              </w:rPr>
            </w:pPr>
          </w:p>
        </w:tc>
        <w:tc>
          <w:tcPr>
            <w:tcW w:w="351" w:type="dxa"/>
            <w:vAlign w:val="center"/>
          </w:tcPr>
          <w:p w14:paraId="6F28E62C">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302" w:type="dxa"/>
            <w:vAlign w:val="center"/>
          </w:tcPr>
          <w:p w14:paraId="58DB9D26">
            <w:pPr>
              <w:widowControl/>
              <w:shd w:val="clear" w:color="auto" w:fill="auto"/>
              <w:jc w:val="left"/>
              <w:textAlignment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法定代表人投标</w:t>
            </w:r>
            <w:r>
              <w:rPr>
                <w:rFonts w:hint="eastAsia" w:ascii="宋体" w:hAnsi="宋体" w:eastAsia="宋体" w:cs="宋体"/>
                <w:color w:val="auto"/>
                <w:kern w:val="0"/>
                <w:sz w:val="24"/>
                <w:szCs w:val="24"/>
                <w:highlight w:val="none"/>
                <w:lang w:val="en-US" w:eastAsia="zh-CN"/>
              </w:rPr>
              <w:t>须</w:t>
            </w:r>
            <w:r>
              <w:rPr>
                <w:rFonts w:hint="eastAsia" w:ascii="宋体" w:hAnsi="宋体" w:eastAsia="宋体" w:cs="宋体"/>
                <w:color w:val="auto"/>
                <w:kern w:val="0"/>
                <w:sz w:val="24"/>
                <w:szCs w:val="24"/>
                <w:highlight w:val="none"/>
              </w:rPr>
              <w:t>提供法定代表人资格证明书，委托代理人投标需提供法定代表人授权委托书</w:t>
            </w:r>
            <w:r>
              <w:rPr>
                <w:rFonts w:hint="eastAsia" w:ascii="宋体" w:hAnsi="宋体" w:cs="宋体"/>
                <w:color w:val="auto"/>
                <w:kern w:val="0"/>
                <w:sz w:val="24"/>
                <w:szCs w:val="24"/>
                <w:highlight w:val="none"/>
                <w:lang w:val="en-US" w:eastAsia="zh-CN"/>
              </w:rPr>
              <w:t xml:space="preserve"> </w:t>
            </w:r>
          </w:p>
        </w:tc>
        <w:tc>
          <w:tcPr>
            <w:tcW w:w="1005" w:type="dxa"/>
          </w:tcPr>
          <w:p w14:paraId="0348B62C">
            <w:pPr>
              <w:shd w:val="clear" w:color="auto" w:fill="auto"/>
              <w:rPr>
                <w:rFonts w:hint="eastAsia" w:ascii="宋体" w:hAnsi="宋体" w:eastAsia="宋体" w:cs="宋体"/>
                <w:color w:val="auto"/>
                <w:sz w:val="24"/>
                <w:szCs w:val="24"/>
                <w:highlight w:val="none"/>
              </w:rPr>
            </w:pPr>
          </w:p>
        </w:tc>
        <w:tc>
          <w:tcPr>
            <w:tcW w:w="989" w:type="dxa"/>
          </w:tcPr>
          <w:p w14:paraId="10468E24">
            <w:pPr>
              <w:shd w:val="clear" w:color="auto" w:fill="auto"/>
              <w:rPr>
                <w:rFonts w:hint="eastAsia" w:ascii="宋体" w:hAnsi="宋体" w:eastAsia="宋体" w:cs="宋体"/>
                <w:color w:val="auto"/>
                <w:sz w:val="24"/>
                <w:szCs w:val="24"/>
                <w:highlight w:val="none"/>
              </w:rPr>
            </w:pPr>
          </w:p>
        </w:tc>
      </w:tr>
      <w:tr w14:paraId="3E86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753" w:type="dxa"/>
            <w:vMerge w:val="continue"/>
            <w:vAlign w:val="center"/>
          </w:tcPr>
          <w:p w14:paraId="33FE55C6">
            <w:pPr>
              <w:shd w:val="clear" w:color="auto" w:fill="auto"/>
              <w:rPr>
                <w:rFonts w:hint="eastAsia" w:ascii="宋体" w:hAnsi="宋体" w:eastAsia="宋体" w:cs="宋体"/>
                <w:color w:val="auto"/>
                <w:sz w:val="24"/>
                <w:szCs w:val="24"/>
                <w:highlight w:val="none"/>
              </w:rPr>
            </w:pPr>
          </w:p>
        </w:tc>
        <w:tc>
          <w:tcPr>
            <w:tcW w:w="351" w:type="dxa"/>
            <w:vAlign w:val="center"/>
          </w:tcPr>
          <w:p w14:paraId="639AEF96">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6302" w:type="dxa"/>
            <w:vAlign w:val="center"/>
          </w:tcPr>
          <w:p w14:paraId="7629DA19">
            <w:pPr>
              <w:widowControl/>
              <w:shd w:val="clear" w:color="auto" w:fill="auto"/>
              <w:jc w:val="left"/>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投标企业须提供投标人（被授权在职人员）近六个月内任意一个月社保证明</w:t>
            </w:r>
          </w:p>
        </w:tc>
        <w:tc>
          <w:tcPr>
            <w:tcW w:w="1005" w:type="dxa"/>
          </w:tcPr>
          <w:p w14:paraId="672A0C0A">
            <w:pPr>
              <w:shd w:val="clear" w:color="auto" w:fill="auto"/>
              <w:rPr>
                <w:rFonts w:hint="eastAsia" w:ascii="宋体" w:hAnsi="宋体" w:eastAsia="宋体" w:cs="宋体"/>
                <w:color w:val="auto"/>
                <w:sz w:val="24"/>
                <w:szCs w:val="24"/>
                <w:highlight w:val="none"/>
              </w:rPr>
            </w:pPr>
          </w:p>
        </w:tc>
        <w:tc>
          <w:tcPr>
            <w:tcW w:w="989" w:type="dxa"/>
          </w:tcPr>
          <w:p w14:paraId="12B82479">
            <w:pPr>
              <w:shd w:val="clear" w:color="auto" w:fill="auto"/>
              <w:rPr>
                <w:rFonts w:hint="eastAsia" w:ascii="宋体" w:hAnsi="宋体" w:eastAsia="宋体" w:cs="宋体"/>
                <w:color w:val="auto"/>
                <w:sz w:val="24"/>
                <w:szCs w:val="24"/>
                <w:highlight w:val="none"/>
              </w:rPr>
            </w:pPr>
          </w:p>
        </w:tc>
      </w:tr>
      <w:tr w14:paraId="5C12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53" w:type="dxa"/>
            <w:vMerge w:val="continue"/>
            <w:vAlign w:val="center"/>
          </w:tcPr>
          <w:p w14:paraId="4115AC93">
            <w:pPr>
              <w:shd w:val="clear" w:color="auto" w:fill="auto"/>
              <w:rPr>
                <w:rFonts w:hint="eastAsia" w:ascii="宋体" w:hAnsi="宋体" w:eastAsia="宋体" w:cs="宋体"/>
                <w:color w:val="auto"/>
                <w:sz w:val="24"/>
                <w:szCs w:val="24"/>
                <w:highlight w:val="none"/>
              </w:rPr>
            </w:pPr>
          </w:p>
        </w:tc>
        <w:tc>
          <w:tcPr>
            <w:tcW w:w="351" w:type="dxa"/>
            <w:vAlign w:val="center"/>
          </w:tcPr>
          <w:p w14:paraId="292B6759">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6302" w:type="dxa"/>
            <w:vAlign w:val="center"/>
          </w:tcPr>
          <w:p w14:paraId="355FE6EA">
            <w:pPr>
              <w:widowControl/>
              <w:shd w:val="clear" w:color="auto" w:fill="auto"/>
              <w:jc w:val="left"/>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r>
              <w:rPr>
                <w:rFonts w:hint="eastAsia" w:ascii="宋体" w:hAnsi="宋体" w:eastAsia="宋体" w:cs="宋体"/>
                <w:b w:val="0"/>
                <w:bCs w:val="0"/>
                <w:color w:val="auto"/>
                <w:kern w:val="0"/>
                <w:sz w:val="24"/>
                <w:szCs w:val="24"/>
                <w:highlight w:val="none"/>
                <w:lang w:bidi="ar"/>
              </w:rPr>
              <w:t>；</w:t>
            </w:r>
          </w:p>
        </w:tc>
        <w:tc>
          <w:tcPr>
            <w:tcW w:w="1005" w:type="dxa"/>
          </w:tcPr>
          <w:p w14:paraId="1E38E306">
            <w:pPr>
              <w:shd w:val="clear" w:color="auto" w:fill="auto"/>
              <w:rPr>
                <w:rFonts w:hint="eastAsia" w:ascii="宋体" w:hAnsi="宋体" w:eastAsia="宋体" w:cs="宋体"/>
                <w:color w:val="auto"/>
                <w:sz w:val="24"/>
                <w:szCs w:val="24"/>
                <w:highlight w:val="none"/>
              </w:rPr>
            </w:pPr>
          </w:p>
        </w:tc>
        <w:tc>
          <w:tcPr>
            <w:tcW w:w="989" w:type="dxa"/>
          </w:tcPr>
          <w:p w14:paraId="27348669">
            <w:pPr>
              <w:shd w:val="clear" w:color="auto" w:fill="auto"/>
              <w:rPr>
                <w:rFonts w:hint="eastAsia" w:ascii="宋体" w:hAnsi="宋体" w:eastAsia="宋体" w:cs="宋体"/>
                <w:color w:val="auto"/>
                <w:sz w:val="24"/>
                <w:szCs w:val="24"/>
                <w:highlight w:val="none"/>
              </w:rPr>
            </w:pPr>
          </w:p>
        </w:tc>
      </w:tr>
      <w:tr w14:paraId="7958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53" w:type="dxa"/>
            <w:vMerge w:val="continue"/>
            <w:vAlign w:val="center"/>
          </w:tcPr>
          <w:p w14:paraId="10EB44C4">
            <w:pPr>
              <w:shd w:val="clear" w:color="auto" w:fill="auto"/>
              <w:rPr>
                <w:rFonts w:hint="eastAsia" w:ascii="宋体" w:hAnsi="宋体" w:eastAsia="宋体" w:cs="宋体"/>
                <w:color w:val="auto"/>
                <w:sz w:val="24"/>
                <w:szCs w:val="24"/>
                <w:highlight w:val="none"/>
              </w:rPr>
            </w:pPr>
          </w:p>
        </w:tc>
        <w:tc>
          <w:tcPr>
            <w:tcW w:w="351" w:type="dxa"/>
            <w:vAlign w:val="center"/>
          </w:tcPr>
          <w:p w14:paraId="1BE81D78">
            <w:pPr>
              <w:shd w:val="clear" w:color="auto" w:fill="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6302" w:type="dxa"/>
            <w:vAlign w:val="center"/>
          </w:tcPr>
          <w:p w14:paraId="2DFED493">
            <w:pPr>
              <w:widowControl/>
              <w:shd w:val="clear" w:color="auto" w:fill="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投标人须具备履行本项目的相关服务能力（提供承诺书）</w:t>
            </w:r>
          </w:p>
        </w:tc>
        <w:tc>
          <w:tcPr>
            <w:tcW w:w="1005" w:type="dxa"/>
          </w:tcPr>
          <w:p w14:paraId="1550B293">
            <w:pPr>
              <w:shd w:val="clear" w:color="auto" w:fill="auto"/>
              <w:rPr>
                <w:rFonts w:hint="eastAsia" w:ascii="宋体" w:hAnsi="宋体" w:eastAsia="宋体" w:cs="宋体"/>
                <w:color w:val="auto"/>
                <w:sz w:val="24"/>
                <w:szCs w:val="24"/>
                <w:highlight w:val="none"/>
              </w:rPr>
            </w:pPr>
          </w:p>
        </w:tc>
        <w:tc>
          <w:tcPr>
            <w:tcW w:w="989" w:type="dxa"/>
          </w:tcPr>
          <w:p w14:paraId="353162DF">
            <w:pPr>
              <w:shd w:val="clear" w:color="auto" w:fill="auto"/>
              <w:rPr>
                <w:rFonts w:hint="eastAsia" w:ascii="宋体" w:hAnsi="宋体" w:eastAsia="宋体" w:cs="宋体"/>
                <w:color w:val="auto"/>
                <w:sz w:val="24"/>
                <w:szCs w:val="24"/>
                <w:highlight w:val="none"/>
              </w:rPr>
            </w:pPr>
          </w:p>
        </w:tc>
      </w:tr>
      <w:tr w14:paraId="4D2D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753" w:type="dxa"/>
            <w:vMerge w:val="continue"/>
            <w:vAlign w:val="center"/>
          </w:tcPr>
          <w:p w14:paraId="3864C479">
            <w:pPr>
              <w:shd w:val="clear" w:color="auto" w:fill="auto"/>
              <w:rPr>
                <w:rFonts w:hint="eastAsia" w:ascii="宋体" w:hAnsi="宋体" w:eastAsia="宋体" w:cs="宋体"/>
                <w:color w:val="auto"/>
                <w:sz w:val="24"/>
                <w:szCs w:val="24"/>
                <w:highlight w:val="none"/>
              </w:rPr>
            </w:pPr>
          </w:p>
        </w:tc>
        <w:tc>
          <w:tcPr>
            <w:tcW w:w="351" w:type="dxa"/>
            <w:vAlign w:val="center"/>
          </w:tcPr>
          <w:p w14:paraId="65A17D34">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6</w:t>
            </w:r>
          </w:p>
        </w:tc>
        <w:tc>
          <w:tcPr>
            <w:tcW w:w="6302" w:type="dxa"/>
            <w:vAlign w:val="center"/>
          </w:tcPr>
          <w:p w14:paraId="4507B1F1">
            <w:pPr>
              <w:widowControl/>
              <w:shd w:val="clear" w:color="auto" w:fill="auto"/>
              <w:jc w:val="left"/>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保证金</w:t>
            </w:r>
            <w:r>
              <w:rPr>
                <w:rFonts w:hint="eastAsia" w:ascii="宋体" w:hAnsi="宋体" w:eastAsia="宋体" w:cs="宋体"/>
                <w:color w:val="auto"/>
                <w:kern w:val="0"/>
                <w:sz w:val="24"/>
                <w:szCs w:val="24"/>
                <w:highlight w:val="none"/>
                <w:lang w:eastAsia="zh-CN"/>
              </w:rPr>
              <w:t>汇款凭证或</w:t>
            </w:r>
            <w:r>
              <w:rPr>
                <w:rFonts w:hint="eastAsia" w:ascii="宋体" w:hAnsi="宋体" w:eastAsia="宋体" w:cs="宋体"/>
                <w:color w:val="auto"/>
                <w:kern w:val="0"/>
                <w:sz w:val="24"/>
                <w:szCs w:val="24"/>
                <w:highlight w:val="none"/>
                <w:lang w:val="en-US" w:eastAsia="zh-CN"/>
              </w:rPr>
              <w:t>投标担保函</w:t>
            </w:r>
          </w:p>
        </w:tc>
        <w:tc>
          <w:tcPr>
            <w:tcW w:w="1005" w:type="dxa"/>
          </w:tcPr>
          <w:p w14:paraId="0E60503A">
            <w:pPr>
              <w:shd w:val="clear" w:color="auto" w:fill="auto"/>
              <w:rPr>
                <w:rFonts w:hint="eastAsia" w:ascii="宋体" w:hAnsi="宋体" w:eastAsia="宋体" w:cs="宋体"/>
                <w:color w:val="auto"/>
                <w:sz w:val="24"/>
                <w:szCs w:val="24"/>
                <w:highlight w:val="none"/>
              </w:rPr>
            </w:pPr>
          </w:p>
        </w:tc>
        <w:tc>
          <w:tcPr>
            <w:tcW w:w="989" w:type="dxa"/>
          </w:tcPr>
          <w:p w14:paraId="2B050FD7">
            <w:pPr>
              <w:shd w:val="clear" w:color="auto" w:fill="auto"/>
              <w:rPr>
                <w:rFonts w:hint="eastAsia" w:ascii="宋体" w:hAnsi="宋体" w:eastAsia="宋体" w:cs="宋体"/>
                <w:color w:val="auto"/>
                <w:sz w:val="24"/>
                <w:szCs w:val="24"/>
                <w:highlight w:val="none"/>
              </w:rPr>
            </w:pPr>
          </w:p>
        </w:tc>
      </w:tr>
      <w:tr w14:paraId="2764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753" w:type="dxa"/>
            <w:vMerge w:val="continue"/>
            <w:vAlign w:val="center"/>
          </w:tcPr>
          <w:p w14:paraId="12615B2E">
            <w:pPr>
              <w:shd w:val="clear" w:color="auto" w:fill="auto"/>
              <w:rPr>
                <w:rFonts w:hint="eastAsia" w:ascii="宋体" w:hAnsi="宋体" w:eastAsia="宋体" w:cs="宋体"/>
                <w:color w:val="auto"/>
                <w:sz w:val="24"/>
                <w:szCs w:val="24"/>
                <w:highlight w:val="none"/>
              </w:rPr>
            </w:pPr>
          </w:p>
        </w:tc>
        <w:tc>
          <w:tcPr>
            <w:tcW w:w="351" w:type="dxa"/>
            <w:vAlign w:val="center"/>
          </w:tcPr>
          <w:p w14:paraId="50338496">
            <w:pPr>
              <w:shd w:val="clear" w:color="auto" w:fill="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6302" w:type="dxa"/>
            <w:vAlign w:val="center"/>
          </w:tcPr>
          <w:p w14:paraId="79456DF4">
            <w:pPr>
              <w:pStyle w:val="25"/>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440" w:lineRule="exact"/>
              <w:ind w:right="0"/>
              <w:textAlignment w:val="auto"/>
              <w:rPr>
                <w:rFonts w:hint="eastAsia" w:ascii="ˎ̥" w:hAnsi="ˎ̥" w:eastAsia="宋体" w:cs="Times New Roman"/>
                <w:b w:val="0"/>
                <w:bCs w:val="0"/>
                <w:color w:val="auto"/>
                <w:kern w:val="2"/>
                <w:sz w:val="24"/>
                <w:szCs w:val="24"/>
                <w:highlight w:val="none"/>
                <w:u w:val="none"/>
                <w:lang w:val="en-US" w:eastAsia="zh-CN" w:bidi="ar-SA"/>
              </w:rPr>
            </w:pPr>
            <w:r>
              <w:rPr>
                <w:rFonts w:hint="eastAsia" w:ascii="ˎ̥" w:hAnsi="ˎ̥" w:eastAsia="宋体" w:cs="Times New Roman"/>
                <w:b w:val="0"/>
                <w:bCs w:val="0"/>
                <w:color w:val="auto"/>
                <w:kern w:val="2"/>
                <w:sz w:val="24"/>
                <w:szCs w:val="24"/>
                <w:highlight w:val="none"/>
                <w:u w:val="none"/>
                <w:lang w:val="en-US" w:eastAsia="zh-CN" w:bidi="ar-SA"/>
              </w:rPr>
              <w:t>中小企业的声明函</w:t>
            </w:r>
          </w:p>
        </w:tc>
        <w:tc>
          <w:tcPr>
            <w:tcW w:w="1994" w:type="dxa"/>
            <w:gridSpan w:val="2"/>
          </w:tcPr>
          <w:p w14:paraId="3893D2E8">
            <w:pPr>
              <w:shd w:val="clear" w:color="auto" w:fill="auto"/>
              <w:rPr>
                <w:rFonts w:hint="eastAsia" w:ascii="宋体" w:hAnsi="宋体" w:eastAsia="宋体" w:cs="宋体"/>
                <w:color w:val="auto"/>
                <w:sz w:val="24"/>
                <w:szCs w:val="24"/>
                <w:highlight w:val="none"/>
              </w:rPr>
            </w:pPr>
            <w:r>
              <w:rPr>
                <w:rFonts w:hint="eastAsia" w:ascii="宋体" w:hAnsi="宋体" w:eastAsia="宋体" w:cs="宋体"/>
                <w:color w:val="auto"/>
                <w:szCs w:val="21"/>
                <w:highlight w:val="none"/>
                <w:lang w:val="en-US" w:eastAsia="zh-CN"/>
              </w:rPr>
              <w:t>请根据要求单独上传《中小企业声明函》。格式以采购文件要求为准。</w:t>
            </w:r>
          </w:p>
        </w:tc>
      </w:tr>
      <w:tr w14:paraId="388D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53" w:type="dxa"/>
            <w:vMerge w:val="continue"/>
            <w:vAlign w:val="center"/>
          </w:tcPr>
          <w:p w14:paraId="2AC94FD1">
            <w:pPr>
              <w:shd w:val="clear" w:color="auto" w:fill="auto"/>
              <w:jc w:val="center"/>
              <w:rPr>
                <w:rFonts w:hint="eastAsia" w:ascii="宋体" w:hAnsi="宋体" w:eastAsia="宋体" w:cs="宋体"/>
                <w:color w:val="auto"/>
                <w:sz w:val="24"/>
                <w:szCs w:val="24"/>
                <w:highlight w:val="none"/>
              </w:rPr>
            </w:pPr>
          </w:p>
        </w:tc>
        <w:tc>
          <w:tcPr>
            <w:tcW w:w="351" w:type="dxa"/>
          </w:tcPr>
          <w:p w14:paraId="23CBFCE5">
            <w:pPr>
              <w:shd w:val="clear" w:color="auto" w:fill="auto"/>
              <w:spacing w:line="440" w:lineRule="exact"/>
              <w:rPr>
                <w:rFonts w:hint="eastAsia" w:ascii="宋体" w:hAnsi="宋体" w:eastAsia="宋体" w:cs="宋体"/>
                <w:color w:val="auto"/>
                <w:sz w:val="24"/>
                <w:szCs w:val="24"/>
                <w:highlight w:val="none"/>
              </w:rPr>
            </w:pPr>
          </w:p>
        </w:tc>
        <w:tc>
          <w:tcPr>
            <w:tcW w:w="6302" w:type="dxa"/>
          </w:tcPr>
          <w:p w14:paraId="7286412A">
            <w:pPr>
              <w:widowControl/>
              <w:shd w:val="clear" w:color="auto" w:fill="auto"/>
              <w:spacing w:line="240" w:lineRule="auto"/>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结论：是否通过评审（须填写通过或不通过</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000000"/>
                <w:sz w:val="24"/>
                <w:szCs w:val="24"/>
                <w:highlight w:val="none"/>
                <w:lang w:val="en-US" w:eastAsia="zh-CN"/>
              </w:rPr>
              <w:t>如不通过，请在结果中写明原因。</w:t>
            </w:r>
          </w:p>
          <w:p w14:paraId="4E69F8B4">
            <w:pPr>
              <w:shd w:val="clear" w:color="auto" w:fil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注：如有一项不合格，作废标处理。</w:t>
            </w:r>
          </w:p>
        </w:tc>
        <w:tc>
          <w:tcPr>
            <w:tcW w:w="1994" w:type="dxa"/>
            <w:gridSpan w:val="2"/>
          </w:tcPr>
          <w:p w14:paraId="1E2EB7F5">
            <w:pPr>
              <w:shd w:val="clear" w:color="auto" w:fill="auto"/>
              <w:rPr>
                <w:rFonts w:hint="eastAsia" w:ascii="宋体" w:hAnsi="宋体" w:eastAsia="宋体" w:cs="宋体"/>
                <w:color w:val="auto"/>
                <w:sz w:val="24"/>
                <w:szCs w:val="24"/>
                <w:highlight w:val="none"/>
              </w:rPr>
            </w:pPr>
          </w:p>
        </w:tc>
      </w:tr>
    </w:tbl>
    <w:p w14:paraId="19D4BBF8">
      <w:pPr>
        <w:shd w:val="clear" w:color="auto" w:fill="auto"/>
        <w:spacing w:line="400" w:lineRule="exact"/>
        <w:rPr>
          <w:rFonts w:hint="eastAsia" w:ascii="宋体" w:hAnsi="Times New Roman" w:eastAsia="宋体" w:cs="Times New Roman"/>
          <w:b/>
          <w:color w:val="auto"/>
          <w:szCs w:val="21"/>
          <w:highlight w:val="none"/>
          <w:lang w:val="en-US" w:eastAsia="zh-CN"/>
        </w:rPr>
      </w:pPr>
      <w:r>
        <w:rPr>
          <w:rFonts w:hint="eastAsia" w:ascii="宋体" w:hAnsi="宋体" w:eastAsia="宋体" w:cs="Times New Roman"/>
          <w:b/>
          <w:color w:val="auto"/>
          <w:sz w:val="24"/>
          <w:szCs w:val="24"/>
          <w:highlight w:val="none"/>
          <w:lang w:val="en-US" w:eastAsia="zh-CN"/>
        </w:rPr>
        <w:t>6.2</w:t>
      </w:r>
      <w:r>
        <w:rPr>
          <w:rFonts w:hint="eastAsia" w:ascii="宋体" w:hAnsi="宋体" w:eastAsia="宋体" w:cs="Times New Roman"/>
          <w:b/>
          <w:color w:val="auto"/>
          <w:sz w:val="24"/>
          <w:szCs w:val="24"/>
          <w:highlight w:val="none"/>
        </w:rPr>
        <w:t>如评标专家在检验电子标书过程中，如果由于投标人自身原因导致评标专家无法查看并检验电子标书中以上相关资料的，否决其投标。即使投标单位将原件携带至现场的，同样按无效投标处理。</w:t>
      </w:r>
    </w:p>
    <w:p w14:paraId="798A0598">
      <w:pPr>
        <w:pStyle w:val="36"/>
        <w:rPr>
          <w:rFonts w:hint="eastAsia"/>
          <w:lang w:val="en-US" w:eastAsia="zh-CN"/>
        </w:rPr>
      </w:pPr>
    </w:p>
    <w:p w14:paraId="068AF11D">
      <w:pPr>
        <w:rPr>
          <w:rFonts w:hint="eastAsia"/>
          <w:lang w:val="en-US" w:eastAsia="zh-CN"/>
        </w:rPr>
      </w:pPr>
    </w:p>
    <w:p w14:paraId="2FF2E3FC">
      <w:pPr>
        <w:rPr>
          <w:rFonts w:hint="eastAsia"/>
          <w:lang w:val="en-US" w:eastAsia="zh-CN"/>
        </w:rPr>
      </w:pPr>
    </w:p>
    <w:p w14:paraId="33DC2ADB">
      <w:pPr>
        <w:rPr>
          <w:rFonts w:hint="eastAsia"/>
          <w:lang w:val="en-US" w:eastAsia="zh-CN"/>
        </w:rPr>
      </w:pPr>
    </w:p>
    <w:p w14:paraId="198D14AC">
      <w:pPr>
        <w:rPr>
          <w:rFonts w:hint="eastAsia"/>
          <w:lang w:val="en-US" w:eastAsia="zh-CN"/>
        </w:rPr>
      </w:pPr>
    </w:p>
    <w:p w14:paraId="4A92E722">
      <w:pPr>
        <w:rPr>
          <w:rFonts w:hint="eastAsia"/>
          <w:lang w:val="en-US" w:eastAsia="zh-CN"/>
        </w:rPr>
      </w:pPr>
    </w:p>
    <w:p w14:paraId="3538C4C3">
      <w:pPr>
        <w:rPr>
          <w:rFonts w:hint="eastAsia"/>
          <w:lang w:val="en-US" w:eastAsia="zh-CN"/>
        </w:rPr>
      </w:pPr>
    </w:p>
    <w:p w14:paraId="10CDC589">
      <w:pPr>
        <w:rPr>
          <w:rFonts w:hint="eastAsia"/>
          <w:lang w:val="en-US" w:eastAsia="zh-CN"/>
        </w:rPr>
      </w:pPr>
    </w:p>
    <w:p w14:paraId="0E925CDE">
      <w:pPr>
        <w:rPr>
          <w:rFonts w:hint="eastAsia"/>
          <w:lang w:val="en-US" w:eastAsia="zh-CN"/>
        </w:rPr>
      </w:pPr>
    </w:p>
    <w:p w14:paraId="3F0518C3">
      <w:pPr>
        <w:rPr>
          <w:rFonts w:hint="eastAsia"/>
          <w:lang w:val="en-US" w:eastAsia="zh-CN"/>
        </w:rPr>
      </w:pPr>
    </w:p>
    <w:p w14:paraId="16C2EC2D">
      <w:pPr>
        <w:rPr>
          <w:rFonts w:hint="eastAsia"/>
          <w:lang w:val="en-US" w:eastAsia="zh-CN"/>
        </w:rPr>
      </w:pPr>
    </w:p>
    <w:p w14:paraId="2861F101">
      <w:pPr>
        <w:rPr>
          <w:rFonts w:hint="eastAsia"/>
          <w:lang w:val="en-US" w:eastAsia="zh-CN"/>
        </w:rPr>
      </w:pPr>
    </w:p>
    <w:p w14:paraId="1BA59692">
      <w:pPr>
        <w:shd w:val="clear" w:color="auto" w:fill="auto"/>
        <w:spacing w:before="156" w:beforeLines="50" w:line="440" w:lineRule="exact"/>
        <w:rPr>
          <w:rFonts w:hint="eastAsia" w:ascii="宋体" w:hAnsi="Times New Roman" w:eastAsia="宋体" w:cs="Times New Roman"/>
          <w:b w:val="0"/>
          <w:bCs/>
          <w:color w:val="auto"/>
          <w:sz w:val="24"/>
          <w:szCs w:val="24"/>
          <w:highlight w:val="none"/>
        </w:rPr>
      </w:pPr>
      <w:r>
        <w:rPr>
          <w:rFonts w:hint="eastAsia" w:ascii="宋体" w:hAnsi="Times New Roman" w:eastAsia="宋体" w:cs="Times New Roman"/>
          <w:b w:val="0"/>
          <w:bCs/>
          <w:color w:val="auto"/>
          <w:sz w:val="24"/>
          <w:szCs w:val="24"/>
          <w:highlight w:val="none"/>
          <w:lang w:val="en-US" w:eastAsia="zh-CN"/>
        </w:rPr>
        <w:t>7、</w:t>
      </w:r>
      <w:r>
        <w:rPr>
          <w:rFonts w:hint="eastAsia" w:ascii="宋体" w:hAnsi="Times New Roman" w:eastAsia="宋体" w:cs="Times New Roman"/>
          <w:b w:val="0"/>
          <w:bCs/>
          <w:color w:val="auto"/>
          <w:sz w:val="24"/>
          <w:szCs w:val="24"/>
          <w:highlight w:val="none"/>
        </w:rPr>
        <w:t>符合性审查</w:t>
      </w:r>
    </w:p>
    <w:p w14:paraId="7A3CFB14">
      <w:pPr>
        <w:shd w:val="clear" w:color="auto" w:fill="auto"/>
        <w:spacing w:line="440" w:lineRule="exact"/>
        <w:ind w:firstLine="360" w:firstLineChars="15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7.1</w:t>
      </w:r>
      <w:r>
        <w:rPr>
          <w:rFonts w:hint="eastAsia" w:ascii="宋体" w:hAnsi="Times New Roman" w:eastAsia="宋体" w:cs="Times New Roman"/>
          <w:color w:val="auto"/>
          <w:sz w:val="24"/>
          <w:szCs w:val="24"/>
          <w:highlight w:val="none"/>
        </w:rPr>
        <w:t>评审细则</w:t>
      </w:r>
    </w:p>
    <w:tbl>
      <w:tblPr>
        <w:tblStyle w:val="28"/>
        <w:tblpPr w:leftFromText="180" w:rightFromText="180" w:vertAnchor="text" w:horzAnchor="page" w:tblpX="1230" w:tblpY="128"/>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33"/>
        <w:gridCol w:w="720"/>
        <w:gridCol w:w="6516"/>
        <w:gridCol w:w="686"/>
        <w:gridCol w:w="680"/>
      </w:tblGrid>
      <w:tr w14:paraId="1ED6F6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833" w:type="dxa"/>
            <w:tcBorders>
              <w:top w:val="single" w:color="auto" w:sz="4" w:space="0"/>
              <w:left w:val="single" w:color="auto" w:sz="4" w:space="0"/>
            </w:tcBorders>
            <w:vAlign w:val="center"/>
          </w:tcPr>
          <w:p w14:paraId="48B46FB6">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项目</w:t>
            </w:r>
          </w:p>
        </w:tc>
        <w:tc>
          <w:tcPr>
            <w:tcW w:w="7236" w:type="dxa"/>
            <w:gridSpan w:val="2"/>
            <w:tcBorders>
              <w:top w:val="single" w:color="auto" w:sz="4" w:space="0"/>
            </w:tcBorders>
            <w:vAlign w:val="center"/>
          </w:tcPr>
          <w:p w14:paraId="62B714CD">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评审内容</w:t>
            </w:r>
          </w:p>
        </w:tc>
        <w:tc>
          <w:tcPr>
            <w:tcW w:w="1366" w:type="dxa"/>
            <w:gridSpan w:val="2"/>
            <w:tcBorders>
              <w:top w:val="single" w:color="auto" w:sz="4" w:space="0"/>
              <w:right w:val="single" w:color="auto" w:sz="4" w:space="0"/>
            </w:tcBorders>
            <w:vAlign w:val="center"/>
          </w:tcPr>
          <w:p w14:paraId="2F029CF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评审意见</w:t>
            </w:r>
          </w:p>
        </w:tc>
      </w:tr>
      <w:tr w14:paraId="3430E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833" w:type="dxa"/>
            <w:tcBorders>
              <w:left w:val="single" w:color="auto" w:sz="4" w:space="0"/>
              <w:bottom w:val="single" w:color="auto" w:sz="4" w:space="0"/>
            </w:tcBorders>
            <w:vAlign w:val="center"/>
          </w:tcPr>
          <w:p w14:paraId="0A6E476D">
            <w:pPr>
              <w:shd w:val="clear" w:color="auto" w:fill="auto"/>
              <w:rPr>
                <w:rFonts w:hint="eastAsia" w:ascii="宋体" w:hAnsi="宋体" w:eastAsia="宋体" w:cs="宋体"/>
                <w:b w:val="0"/>
                <w:bCs/>
                <w:color w:val="auto"/>
                <w:sz w:val="24"/>
                <w:szCs w:val="24"/>
                <w:highlight w:val="none"/>
              </w:rPr>
            </w:pPr>
          </w:p>
        </w:tc>
        <w:tc>
          <w:tcPr>
            <w:tcW w:w="7236" w:type="dxa"/>
            <w:gridSpan w:val="2"/>
            <w:tcBorders>
              <w:bottom w:val="single" w:color="auto" w:sz="4" w:space="0"/>
            </w:tcBorders>
          </w:tcPr>
          <w:p w14:paraId="4F10D005">
            <w:pPr>
              <w:shd w:val="clear" w:color="auto" w:fill="auto"/>
              <w:rPr>
                <w:rFonts w:hint="eastAsia" w:ascii="宋体" w:hAnsi="宋体" w:eastAsia="宋体" w:cs="宋体"/>
                <w:b w:val="0"/>
                <w:bCs/>
                <w:color w:val="auto"/>
                <w:sz w:val="24"/>
                <w:szCs w:val="24"/>
                <w:highlight w:val="none"/>
              </w:rPr>
            </w:pPr>
          </w:p>
        </w:tc>
        <w:tc>
          <w:tcPr>
            <w:tcW w:w="686" w:type="dxa"/>
            <w:vAlign w:val="center"/>
          </w:tcPr>
          <w:p w14:paraId="2ADEE39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是</w:t>
            </w:r>
          </w:p>
        </w:tc>
        <w:tc>
          <w:tcPr>
            <w:tcW w:w="680" w:type="dxa"/>
            <w:tcBorders>
              <w:right w:val="single" w:color="auto" w:sz="4" w:space="0"/>
            </w:tcBorders>
            <w:vAlign w:val="center"/>
          </w:tcPr>
          <w:p w14:paraId="7196EF61">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否</w:t>
            </w:r>
          </w:p>
        </w:tc>
      </w:tr>
      <w:tr w14:paraId="20A873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833" w:type="dxa"/>
            <w:vMerge w:val="restart"/>
            <w:tcBorders>
              <w:top w:val="single" w:color="auto" w:sz="4" w:space="0"/>
              <w:left w:val="single" w:color="auto" w:sz="4" w:space="0"/>
              <w:right w:val="single" w:color="auto" w:sz="4" w:space="0"/>
            </w:tcBorders>
            <w:vAlign w:val="center"/>
          </w:tcPr>
          <w:p w14:paraId="519FA53C">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审</w:t>
            </w:r>
          </w:p>
          <w:p w14:paraId="0D724C97">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查</w:t>
            </w:r>
          </w:p>
          <w:p w14:paraId="437823B3">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标</w:t>
            </w:r>
          </w:p>
          <w:p w14:paraId="7ED8E8AA">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准</w:t>
            </w:r>
          </w:p>
        </w:tc>
        <w:tc>
          <w:tcPr>
            <w:tcW w:w="720" w:type="dxa"/>
            <w:tcBorders>
              <w:top w:val="single" w:color="auto" w:sz="4" w:space="0"/>
              <w:left w:val="single" w:color="auto" w:sz="4" w:space="0"/>
              <w:right w:val="single" w:color="auto" w:sz="4" w:space="0"/>
            </w:tcBorders>
            <w:vAlign w:val="center"/>
          </w:tcPr>
          <w:p w14:paraId="40CBDA5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w:t>
            </w:r>
          </w:p>
        </w:tc>
        <w:tc>
          <w:tcPr>
            <w:tcW w:w="6516" w:type="dxa"/>
            <w:tcBorders>
              <w:top w:val="single" w:color="auto" w:sz="4" w:space="0"/>
              <w:left w:val="single" w:color="auto" w:sz="4" w:space="0"/>
              <w:right w:val="single" w:color="auto" w:sz="4" w:space="0"/>
            </w:tcBorders>
            <w:vAlign w:val="center"/>
          </w:tcPr>
          <w:p w14:paraId="48F1773F">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sz w:val="24"/>
                <w:szCs w:val="24"/>
                <w:highlight w:val="none"/>
              </w:rPr>
              <w:t>由政府立项核准、审批的采购项目,投标报价</w:t>
            </w:r>
            <w:r>
              <w:rPr>
                <w:rFonts w:hint="eastAsia" w:ascii="宋体" w:hAnsi="宋体" w:eastAsia="宋体" w:cs="宋体"/>
                <w:sz w:val="24"/>
                <w:szCs w:val="24"/>
                <w:highlight w:val="none"/>
                <w:lang w:eastAsia="zh-CN"/>
              </w:rPr>
              <w:t>高于设定的采购</w:t>
            </w:r>
            <w:r>
              <w:rPr>
                <w:rFonts w:hint="eastAsia" w:ascii="宋体" w:hAnsi="宋体" w:eastAsia="宋体" w:cs="宋体"/>
                <w:sz w:val="24"/>
                <w:szCs w:val="24"/>
                <w:highlight w:val="none"/>
                <w:lang w:val="en-US" w:eastAsia="zh-CN"/>
              </w:rPr>
              <w:t>最高限价</w:t>
            </w:r>
            <w:r>
              <w:rPr>
                <w:rFonts w:hint="eastAsia" w:ascii="宋体" w:hAnsi="宋体" w:eastAsia="宋体" w:cs="宋体"/>
                <w:sz w:val="24"/>
                <w:szCs w:val="24"/>
                <w:highlight w:val="none"/>
                <w:lang w:eastAsia="zh-CN"/>
              </w:rPr>
              <w:t>的</w:t>
            </w:r>
            <w:r>
              <w:rPr>
                <w:rFonts w:hint="eastAsia" w:ascii="宋体" w:hAnsi="宋体" w:cs="宋体"/>
                <w:sz w:val="24"/>
                <w:szCs w:val="24"/>
                <w:highlight w:val="none"/>
                <w:lang w:eastAsia="zh-CN"/>
              </w:rPr>
              <w:t>；</w:t>
            </w:r>
          </w:p>
        </w:tc>
        <w:tc>
          <w:tcPr>
            <w:tcW w:w="686" w:type="dxa"/>
            <w:tcBorders>
              <w:left w:val="single" w:color="auto" w:sz="4" w:space="0"/>
              <w:right w:val="single" w:color="auto" w:sz="4" w:space="0"/>
            </w:tcBorders>
          </w:tcPr>
          <w:p w14:paraId="4650CB9F">
            <w:pPr>
              <w:shd w:val="clear" w:color="auto" w:fill="auto"/>
              <w:jc w:val="center"/>
              <w:rPr>
                <w:rFonts w:hint="eastAsia" w:ascii="宋体" w:hAnsi="宋体" w:eastAsia="宋体" w:cs="宋体"/>
                <w:b w:val="0"/>
                <w:bCs/>
                <w:color w:val="auto"/>
                <w:sz w:val="24"/>
                <w:szCs w:val="24"/>
                <w:highlight w:val="none"/>
              </w:rPr>
            </w:pPr>
          </w:p>
        </w:tc>
        <w:tc>
          <w:tcPr>
            <w:tcW w:w="680" w:type="dxa"/>
            <w:tcBorders>
              <w:left w:val="single" w:color="auto" w:sz="4" w:space="0"/>
              <w:right w:val="single" w:color="auto" w:sz="4" w:space="0"/>
            </w:tcBorders>
          </w:tcPr>
          <w:p w14:paraId="19D1A07C">
            <w:pPr>
              <w:shd w:val="clear" w:color="auto" w:fill="auto"/>
              <w:jc w:val="center"/>
              <w:rPr>
                <w:rFonts w:hint="eastAsia" w:ascii="宋体" w:hAnsi="宋体" w:eastAsia="宋体" w:cs="宋体"/>
                <w:b w:val="0"/>
                <w:bCs/>
                <w:color w:val="auto"/>
                <w:sz w:val="24"/>
                <w:szCs w:val="24"/>
                <w:highlight w:val="none"/>
              </w:rPr>
            </w:pPr>
          </w:p>
        </w:tc>
      </w:tr>
      <w:tr w14:paraId="03E546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3" w:type="dxa"/>
            <w:vMerge w:val="continue"/>
            <w:tcBorders>
              <w:left w:val="single" w:color="auto" w:sz="4" w:space="0"/>
              <w:right w:val="single" w:color="auto" w:sz="4" w:space="0"/>
            </w:tcBorders>
            <w:vAlign w:val="center"/>
          </w:tcPr>
          <w:p w14:paraId="7E922014">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6A7C746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w:t>
            </w:r>
          </w:p>
        </w:tc>
        <w:tc>
          <w:tcPr>
            <w:tcW w:w="6516" w:type="dxa"/>
            <w:tcBorders>
              <w:top w:val="single" w:color="auto" w:sz="4" w:space="0"/>
              <w:left w:val="single" w:color="auto" w:sz="4" w:space="0"/>
              <w:bottom w:val="single" w:color="auto" w:sz="4" w:space="0"/>
              <w:right w:val="single" w:color="auto" w:sz="4" w:space="0"/>
            </w:tcBorders>
            <w:vAlign w:val="center"/>
          </w:tcPr>
          <w:p w14:paraId="04995149">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法定代表人身份证明及授权委托书有效，且符合</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规定的格式。</w:t>
            </w:r>
          </w:p>
        </w:tc>
        <w:tc>
          <w:tcPr>
            <w:tcW w:w="686" w:type="dxa"/>
            <w:tcBorders>
              <w:left w:val="single" w:color="auto" w:sz="4" w:space="0"/>
            </w:tcBorders>
          </w:tcPr>
          <w:p w14:paraId="5B5C7934">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4565E6E0">
            <w:pPr>
              <w:shd w:val="clear" w:color="auto" w:fill="auto"/>
              <w:rPr>
                <w:rFonts w:hint="eastAsia" w:ascii="宋体" w:hAnsi="宋体" w:eastAsia="宋体" w:cs="宋体"/>
                <w:b w:val="0"/>
                <w:bCs/>
                <w:color w:val="auto"/>
                <w:sz w:val="24"/>
                <w:szCs w:val="24"/>
                <w:highlight w:val="none"/>
              </w:rPr>
            </w:pPr>
          </w:p>
        </w:tc>
      </w:tr>
      <w:tr w14:paraId="79533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833" w:type="dxa"/>
            <w:vMerge w:val="continue"/>
            <w:tcBorders>
              <w:left w:val="single" w:color="auto" w:sz="4" w:space="0"/>
              <w:right w:val="single" w:color="auto" w:sz="4" w:space="0"/>
            </w:tcBorders>
            <w:vAlign w:val="center"/>
          </w:tcPr>
          <w:p w14:paraId="2B29A322">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right w:val="single" w:color="auto" w:sz="4" w:space="0"/>
            </w:tcBorders>
            <w:vAlign w:val="center"/>
          </w:tcPr>
          <w:p w14:paraId="3E019D8C">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w:t>
            </w:r>
          </w:p>
        </w:tc>
        <w:tc>
          <w:tcPr>
            <w:tcW w:w="6516" w:type="dxa"/>
            <w:tcBorders>
              <w:top w:val="single" w:color="auto" w:sz="4" w:space="0"/>
              <w:left w:val="single" w:color="auto" w:sz="4" w:space="0"/>
              <w:right w:val="single" w:color="auto" w:sz="4" w:space="0"/>
            </w:tcBorders>
            <w:vAlign w:val="center"/>
          </w:tcPr>
          <w:p w14:paraId="677BF104">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只有一个方案投标。</w:t>
            </w:r>
          </w:p>
        </w:tc>
        <w:tc>
          <w:tcPr>
            <w:tcW w:w="686" w:type="dxa"/>
            <w:tcBorders>
              <w:left w:val="single" w:color="auto" w:sz="4" w:space="0"/>
            </w:tcBorders>
          </w:tcPr>
          <w:p w14:paraId="163F5711">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3C8F0F9B">
            <w:pPr>
              <w:shd w:val="clear" w:color="auto" w:fill="auto"/>
              <w:rPr>
                <w:rFonts w:hint="eastAsia" w:ascii="宋体" w:hAnsi="宋体" w:eastAsia="宋体" w:cs="宋体"/>
                <w:b w:val="0"/>
                <w:bCs/>
                <w:color w:val="auto"/>
                <w:sz w:val="24"/>
                <w:szCs w:val="24"/>
                <w:highlight w:val="none"/>
              </w:rPr>
            </w:pPr>
          </w:p>
        </w:tc>
      </w:tr>
      <w:tr w14:paraId="427EBB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833" w:type="dxa"/>
            <w:vMerge w:val="continue"/>
            <w:tcBorders>
              <w:left w:val="single" w:color="auto" w:sz="4" w:space="0"/>
              <w:right w:val="single" w:color="auto" w:sz="4" w:space="0"/>
            </w:tcBorders>
            <w:vAlign w:val="center"/>
          </w:tcPr>
          <w:p w14:paraId="214B05EB">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69FDD145">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w:t>
            </w:r>
          </w:p>
        </w:tc>
        <w:tc>
          <w:tcPr>
            <w:tcW w:w="6516" w:type="dxa"/>
            <w:tcBorders>
              <w:right w:val="single" w:color="auto" w:sz="4" w:space="0"/>
            </w:tcBorders>
            <w:vAlign w:val="center"/>
          </w:tcPr>
          <w:p w14:paraId="24C5210A">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lang w:val="en-US" w:eastAsia="zh-CN"/>
              </w:rPr>
              <w:t>响应文件</w:t>
            </w:r>
            <w:r>
              <w:rPr>
                <w:rFonts w:hint="eastAsia" w:ascii="宋体" w:hAnsi="宋体" w:eastAsia="宋体" w:cs="宋体"/>
                <w:b w:val="0"/>
                <w:bCs/>
                <w:color w:val="auto"/>
                <w:kern w:val="0"/>
                <w:sz w:val="24"/>
                <w:szCs w:val="24"/>
                <w:highlight w:val="none"/>
              </w:rPr>
              <w:t>内容齐全、无遗漏。</w:t>
            </w:r>
          </w:p>
        </w:tc>
        <w:tc>
          <w:tcPr>
            <w:tcW w:w="686" w:type="dxa"/>
            <w:tcBorders>
              <w:left w:val="single" w:color="auto" w:sz="4" w:space="0"/>
            </w:tcBorders>
          </w:tcPr>
          <w:p w14:paraId="551F485B">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4B4C8A6F">
            <w:pPr>
              <w:shd w:val="clear" w:color="auto" w:fill="auto"/>
              <w:rPr>
                <w:rFonts w:hint="eastAsia" w:ascii="宋体" w:hAnsi="宋体" w:eastAsia="宋体" w:cs="宋体"/>
                <w:b w:val="0"/>
                <w:bCs/>
                <w:color w:val="auto"/>
                <w:sz w:val="24"/>
                <w:szCs w:val="24"/>
                <w:highlight w:val="none"/>
              </w:rPr>
            </w:pPr>
          </w:p>
        </w:tc>
      </w:tr>
      <w:tr w14:paraId="611C1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833" w:type="dxa"/>
            <w:vMerge w:val="continue"/>
            <w:tcBorders>
              <w:left w:val="single" w:color="auto" w:sz="4" w:space="0"/>
              <w:right w:val="single" w:color="auto" w:sz="4" w:space="0"/>
            </w:tcBorders>
            <w:vAlign w:val="center"/>
          </w:tcPr>
          <w:p w14:paraId="597F96FE">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bottom w:val="single" w:color="auto" w:sz="4" w:space="0"/>
            </w:tcBorders>
            <w:vAlign w:val="center"/>
          </w:tcPr>
          <w:p w14:paraId="65EF229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5</w:t>
            </w:r>
          </w:p>
        </w:tc>
        <w:tc>
          <w:tcPr>
            <w:tcW w:w="6516" w:type="dxa"/>
            <w:tcBorders>
              <w:bottom w:val="single" w:color="auto" w:sz="4" w:space="0"/>
              <w:right w:val="single" w:color="auto" w:sz="4" w:space="0"/>
            </w:tcBorders>
            <w:vAlign w:val="center"/>
          </w:tcPr>
          <w:p w14:paraId="00D4E26B">
            <w:pPr>
              <w:widowControl/>
              <w:shd w:val="clear" w:color="auto" w:fill="auto"/>
              <w:jc w:val="left"/>
              <w:textAlignment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kern w:val="0"/>
                <w:sz w:val="24"/>
                <w:szCs w:val="24"/>
                <w:highlight w:val="none"/>
              </w:rPr>
              <w:t>对</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规定的招标内容全部作出响应。</w:t>
            </w:r>
          </w:p>
        </w:tc>
        <w:tc>
          <w:tcPr>
            <w:tcW w:w="686" w:type="dxa"/>
            <w:tcBorders>
              <w:left w:val="single" w:color="auto" w:sz="4" w:space="0"/>
              <w:bottom w:val="single" w:color="auto" w:sz="4" w:space="0"/>
            </w:tcBorders>
          </w:tcPr>
          <w:p w14:paraId="51190339">
            <w:pPr>
              <w:shd w:val="clear" w:color="auto" w:fill="auto"/>
              <w:rPr>
                <w:rFonts w:hint="eastAsia" w:ascii="宋体" w:hAnsi="宋体" w:eastAsia="宋体" w:cs="宋体"/>
                <w:b w:val="0"/>
                <w:bCs/>
                <w:color w:val="auto"/>
                <w:sz w:val="24"/>
                <w:szCs w:val="24"/>
                <w:highlight w:val="none"/>
              </w:rPr>
            </w:pPr>
          </w:p>
        </w:tc>
        <w:tc>
          <w:tcPr>
            <w:tcW w:w="680" w:type="dxa"/>
            <w:tcBorders>
              <w:bottom w:val="single" w:color="auto" w:sz="4" w:space="0"/>
              <w:right w:val="single" w:color="auto" w:sz="4" w:space="0"/>
            </w:tcBorders>
          </w:tcPr>
          <w:p w14:paraId="49297D49">
            <w:pPr>
              <w:shd w:val="clear" w:color="auto" w:fill="auto"/>
              <w:rPr>
                <w:rFonts w:hint="eastAsia" w:ascii="宋体" w:hAnsi="宋体" w:eastAsia="宋体" w:cs="宋体"/>
                <w:b w:val="0"/>
                <w:bCs/>
                <w:color w:val="auto"/>
                <w:sz w:val="24"/>
                <w:szCs w:val="24"/>
                <w:highlight w:val="none"/>
              </w:rPr>
            </w:pPr>
          </w:p>
        </w:tc>
      </w:tr>
      <w:tr w14:paraId="3297FD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2" w:hRule="atLeast"/>
        </w:trPr>
        <w:tc>
          <w:tcPr>
            <w:tcW w:w="833" w:type="dxa"/>
            <w:vMerge w:val="continue"/>
            <w:tcBorders>
              <w:left w:val="single" w:color="auto" w:sz="4" w:space="0"/>
              <w:right w:val="single" w:color="auto" w:sz="4" w:space="0"/>
            </w:tcBorders>
            <w:vAlign w:val="center"/>
          </w:tcPr>
          <w:p w14:paraId="50E6CCD7">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328A173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6</w:t>
            </w:r>
          </w:p>
        </w:tc>
        <w:tc>
          <w:tcPr>
            <w:tcW w:w="6516" w:type="dxa"/>
            <w:tcBorders>
              <w:top w:val="single" w:color="auto" w:sz="4" w:space="0"/>
              <w:left w:val="single" w:color="auto" w:sz="4" w:space="0"/>
              <w:bottom w:val="single" w:color="auto" w:sz="4" w:space="0"/>
              <w:right w:val="single" w:color="auto" w:sz="4" w:space="0"/>
            </w:tcBorders>
            <w:vAlign w:val="center"/>
          </w:tcPr>
          <w:p w14:paraId="77A53B33">
            <w:pPr>
              <w:widowControl/>
              <w:shd w:val="clear" w:color="auto" w:fill="auto"/>
              <w:jc w:val="left"/>
              <w:textAlignment w:val="center"/>
              <w:rPr>
                <w:rFonts w:hint="eastAsia" w:ascii="宋体" w:hAnsi="宋体" w:eastAsia="宋体" w:cs="宋体"/>
                <w:b w:val="0"/>
                <w:bCs/>
                <w:color w:val="auto"/>
                <w:sz w:val="24"/>
                <w:szCs w:val="24"/>
                <w:highlight w:val="none"/>
                <w:lang w:eastAsia="zh-CN"/>
              </w:rPr>
            </w:pPr>
            <w:r>
              <w:rPr>
                <w:rFonts w:hint="eastAsia" w:ascii="宋体" w:hAnsi="宋体" w:eastAsia="宋体" w:cs="宋体"/>
                <w:color w:val="auto"/>
                <w:kern w:val="0"/>
                <w:sz w:val="24"/>
                <w:szCs w:val="24"/>
                <w:highlight w:val="none"/>
                <w:lang w:bidi="ar"/>
              </w:rPr>
              <w:t>满足</w:t>
            </w:r>
            <w:r>
              <w:rPr>
                <w:rFonts w:hint="eastAsia" w:ascii="宋体" w:hAnsi="宋体" w:eastAsia="宋体" w:cs="宋体"/>
                <w:color w:val="auto"/>
                <w:kern w:val="0"/>
                <w:sz w:val="24"/>
                <w:szCs w:val="24"/>
                <w:highlight w:val="none"/>
                <w:lang w:val="en-US" w:eastAsia="zh-CN" w:bidi="ar"/>
              </w:rPr>
              <w:t>竞争性磋商</w:t>
            </w:r>
            <w:r>
              <w:rPr>
                <w:rFonts w:hint="eastAsia" w:ascii="宋体" w:hAnsi="宋体" w:eastAsia="宋体" w:cs="宋体"/>
                <w:color w:val="auto"/>
                <w:kern w:val="0"/>
                <w:sz w:val="24"/>
                <w:szCs w:val="24"/>
                <w:highlight w:val="none"/>
                <w:lang w:bidi="ar"/>
              </w:rPr>
              <w:t>文件提出的</w:t>
            </w:r>
            <w:r>
              <w:rPr>
                <w:rFonts w:hint="eastAsia" w:ascii="宋体" w:hAnsi="宋体" w:eastAsia="宋体" w:cs="宋体"/>
                <w:color w:val="auto"/>
                <w:kern w:val="0"/>
                <w:sz w:val="24"/>
                <w:szCs w:val="24"/>
                <w:highlight w:val="none"/>
                <w:lang w:val="en-US" w:eastAsia="zh-CN" w:bidi="ar"/>
              </w:rPr>
              <w:t>采购</w:t>
            </w:r>
            <w:r>
              <w:rPr>
                <w:rFonts w:hint="eastAsia" w:ascii="宋体" w:hAnsi="宋体" w:cs="宋体"/>
                <w:color w:val="auto"/>
                <w:kern w:val="0"/>
                <w:sz w:val="24"/>
                <w:szCs w:val="24"/>
                <w:highlight w:val="none"/>
                <w:lang w:val="en-US" w:eastAsia="zh-CN" w:bidi="ar"/>
              </w:rPr>
              <w:t>需求</w:t>
            </w:r>
            <w:r>
              <w:rPr>
                <w:rFonts w:hint="eastAsia" w:ascii="宋体" w:hAnsi="宋体" w:eastAsia="宋体" w:cs="宋体"/>
                <w:color w:val="auto"/>
                <w:kern w:val="0"/>
                <w:sz w:val="24"/>
                <w:szCs w:val="24"/>
                <w:highlight w:val="none"/>
                <w:lang w:val="en-US" w:eastAsia="zh-CN" w:bidi="ar"/>
              </w:rPr>
              <w:t>及服务要求</w:t>
            </w:r>
            <w:r>
              <w:rPr>
                <w:rFonts w:hint="eastAsia" w:ascii="宋体" w:hAnsi="宋体" w:eastAsia="宋体" w:cs="宋体"/>
                <w:color w:val="auto"/>
                <w:kern w:val="0"/>
                <w:sz w:val="24"/>
                <w:szCs w:val="24"/>
                <w:highlight w:val="none"/>
                <w:lang w:bidi="ar"/>
              </w:rPr>
              <w:t>。</w:t>
            </w:r>
          </w:p>
        </w:tc>
        <w:tc>
          <w:tcPr>
            <w:tcW w:w="686" w:type="dxa"/>
            <w:tcBorders>
              <w:top w:val="single" w:color="auto" w:sz="4" w:space="0"/>
              <w:left w:val="single" w:color="auto" w:sz="4" w:space="0"/>
              <w:bottom w:val="single" w:color="auto" w:sz="4" w:space="0"/>
              <w:right w:val="single" w:color="auto" w:sz="4" w:space="0"/>
            </w:tcBorders>
          </w:tcPr>
          <w:p w14:paraId="038E8FD2">
            <w:pPr>
              <w:shd w:val="clear" w:color="auto" w:fill="auto"/>
              <w:rPr>
                <w:rFonts w:hint="eastAsia" w:ascii="宋体" w:hAnsi="宋体" w:eastAsia="宋体" w:cs="宋体"/>
                <w:b w:val="0"/>
                <w:bCs/>
                <w:color w:val="auto"/>
                <w:sz w:val="24"/>
                <w:szCs w:val="24"/>
                <w:highlight w:val="none"/>
              </w:rPr>
            </w:pPr>
          </w:p>
        </w:tc>
        <w:tc>
          <w:tcPr>
            <w:tcW w:w="680" w:type="dxa"/>
            <w:tcBorders>
              <w:top w:val="single" w:color="auto" w:sz="4" w:space="0"/>
              <w:left w:val="single" w:color="auto" w:sz="4" w:space="0"/>
              <w:bottom w:val="single" w:color="auto" w:sz="4" w:space="0"/>
              <w:right w:val="single" w:color="auto" w:sz="4" w:space="0"/>
            </w:tcBorders>
          </w:tcPr>
          <w:p w14:paraId="3D094165">
            <w:pPr>
              <w:shd w:val="clear" w:color="auto" w:fill="auto"/>
              <w:rPr>
                <w:rFonts w:hint="eastAsia" w:ascii="宋体" w:hAnsi="宋体" w:eastAsia="宋体" w:cs="宋体"/>
                <w:b w:val="0"/>
                <w:bCs/>
                <w:color w:val="auto"/>
                <w:sz w:val="24"/>
                <w:szCs w:val="24"/>
                <w:highlight w:val="none"/>
              </w:rPr>
            </w:pPr>
          </w:p>
        </w:tc>
      </w:tr>
      <w:tr w14:paraId="3D4BF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833" w:type="dxa"/>
            <w:vMerge w:val="continue"/>
            <w:tcBorders>
              <w:left w:val="single" w:color="auto" w:sz="4" w:space="0"/>
              <w:right w:val="single" w:color="auto" w:sz="4" w:space="0"/>
            </w:tcBorders>
            <w:vAlign w:val="center"/>
          </w:tcPr>
          <w:p w14:paraId="2BC22AA6">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tcBorders>
            <w:vAlign w:val="center"/>
          </w:tcPr>
          <w:p w14:paraId="71C22949">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7</w:t>
            </w:r>
          </w:p>
        </w:tc>
        <w:tc>
          <w:tcPr>
            <w:tcW w:w="6516" w:type="dxa"/>
            <w:tcBorders>
              <w:top w:val="single" w:color="auto" w:sz="4" w:space="0"/>
              <w:right w:val="single" w:color="auto" w:sz="4" w:space="0"/>
            </w:tcBorders>
            <w:vAlign w:val="center"/>
          </w:tcPr>
          <w:p w14:paraId="3EB2D490">
            <w:pPr>
              <w:widowControl/>
              <w:shd w:val="clear" w:color="auto" w:fill="auto"/>
              <w:jc w:val="left"/>
              <w:textAlignment w:val="center"/>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kern w:val="0"/>
                <w:sz w:val="24"/>
                <w:szCs w:val="24"/>
                <w:highlight w:val="none"/>
              </w:rPr>
              <w:t>投标文件没有投标单位法定代表人或其授权代表签字（盖章）和加盖投标单位公章的</w:t>
            </w:r>
            <w:r>
              <w:rPr>
                <w:rFonts w:hint="eastAsia" w:ascii="宋体" w:hAnsi="宋体" w:cs="宋体"/>
                <w:b w:val="0"/>
                <w:bCs/>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bidi="ar"/>
              </w:rPr>
              <w:t xml:space="preserve">  </w:t>
            </w:r>
          </w:p>
        </w:tc>
        <w:tc>
          <w:tcPr>
            <w:tcW w:w="686" w:type="dxa"/>
            <w:tcBorders>
              <w:top w:val="single" w:color="auto" w:sz="4" w:space="0"/>
              <w:left w:val="single" w:color="auto" w:sz="4" w:space="0"/>
            </w:tcBorders>
          </w:tcPr>
          <w:p w14:paraId="670F5DA9">
            <w:pPr>
              <w:shd w:val="clear" w:color="auto" w:fill="auto"/>
              <w:rPr>
                <w:rFonts w:hint="eastAsia" w:ascii="宋体" w:hAnsi="宋体" w:eastAsia="宋体" w:cs="宋体"/>
                <w:b w:val="0"/>
                <w:bCs/>
                <w:color w:val="auto"/>
                <w:sz w:val="24"/>
                <w:szCs w:val="24"/>
                <w:highlight w:val="none"/>
              </w:rPr>
            </w:pPr>
          </w:p>
        </w:tc>
        <w:tc>
          <w:tcPr>
            <w:tcW w:w="680" w:type="dxa"/>
            <w:tcBorders>
              <w:top w:val="single" w:color="auto" w:sz="4" w:space="0"/>
              <w:right w:val="single" w:color="auto" w:sz="4" w:space="0"/>
            </w:tcBorders>
          </w:tcPr>
          <w:p w14:paraId="1F80DAFB">
            <w:pPr>
              <w:shd w:val="clear" w:color="auto" w:fill="auto"/>
              <w:rPr>
                <w:rFonts w:hint="eastAsia" w:ascii="宋体" w:hAnsi="宋体" w:eastAsia="宋体" w:cs="宋体"/>
                <w:b w:val="0"/>
                <w:bCs/>
                <w:color w:val="auto"/>
                <w:sz w:val="24"/>
                <w:szCs w:val="24"/>
                <w:highlight w:val="none"/>
              </w:rPr>
            </w:pPr>
          </w:p>
        </w:tc>
      </w:tr>
      <w:tr w14:paraId="3A9E49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833" w:type="dxa"/>
            <w:vMerge w:val="continue"/>
            <w:tcBorders>
              <w:left w:val="single" w:color="auto" w:sz="4" w:space="0"/>
              <w:right w:val="single" w:color="auto" w:sz="4" w:space="0"/>
            </w:tcBorders>
            <w:vAlign w:val="center"/>
          </w:tcPr>
          <w:p w14:paraId="2AF60B13">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79C78B0B">
            <w:pPr>
              <w:shd w:val="clear" w:color="auto" w:fill="auto"/>
              <w:jc w:val="center"/>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val="en-US" w:eastAsia="zh-CN"/>
              </w:rPr>
              <w:t>8</w:t>
            </w:r>
          </w:p>
        </w:tc>
        <w:tc>
          <w:tcPr>
            <w:tcW w:w="6516" w:type="dxa"/>
            <w:tcBorders>
              <w:right w:val="single" w:color="auto" w:sz="4" w:space="0"/>
            </w:tcBorders>
            <w:vAlign w:val="center"/>
          </w:tcPr>
          <w:p w14:paraId="4058DE3A">
            <w:pPr>
              <w:widowControl/>
              <w:shd w:val="clear" w:color="auto" w:fill="auto"/>
              <w:jc w:val="left"/>
              <w:textAlignment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kern w:val="0"/>
                <w:sz w:val="24"/>
                <w:szCs w:val="24"/>
                <w:highlight w:val="none"/>
              </w:rPr>
              <w:t>投标人详细地址、联系人、电话</w:t>
            </w:r>
            <w:r>
              <w:rPr>
                <w:rFonts w:hint="eastAsia" w:ascii="宋体" w:hAnsi="宋体" w:cs="宋体"/>
                <w:b w:val="0"/>
                <w:bCs/>
                <w:color w:val="auto"/>
                <w:kern w:val="0"/>
                <w:sz w:val="24"/>
                <w:szCs w:val="24"/>
                <w:highlight w:val="none"/>
                <w:lang w:eastAsia="zh-CN"/>
              </w:rPr>
              <w:t>。</w:t>
            </w:r>
          </w:p>
        </w:tc>
        <w:tc>
          <w:tcPr>
            <w:tcW w:w="686" w:type="dxa"/>
            <w:tcBorders>
              <w:left w:val="single" w:color="auto" w:sz="4" w:space="0"/>
            </w:tcBorders>
          </w:tcPr>
          <w:p w14:paraId="48C6382B">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2B8ADA93">
            <w:pPr>
              <w:shd w:val="clear" w:color="auto" w:fill="auto"/>
              <w:rPr>
                <w:rFonts w:hint="eastAsia" w:ascii="宋体" w:hAnsi="宋体" w:eastAsia="宋体" w:cs="宋体"/>
                <w:b w:val="0"/>
                <w:bCs/>
                <w:color w:val="auto"/>
                <w:sz w:val="24"/>
                <w:szCs w:val="24"/>
                <w:highlight w:val="none"/>
              </w:rPr>
            </w:pPr>
          </w:p>
        </w:tc>
      </w:tr>
      <w:tr w14:paraId="12D54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833" w:type="dxa"/>
            <w:tcBorders>
              <w:left w:val="single" w:color="auto" w:sz="4" w:space="0"/>
              <w:bottom w:val="single" w:color="auto" w:sz="4" w:space="0"/>
              <w:right w:val="single" w:color="auto" w:sz="4" w:space="0"/>
            </w:tcBorders>
            <w:vAlign w:val="center"/>
          </w:tcPr>
          <w:p w14:paraId="0102AFE4">
            <w:pPr>
              <w:shd w:val="clear" w:color="auto" w:fill="auto"/>
              <w:jc w:val="center"/>
              <w:rPr>
                <w:rFonts w:hint="eastAsia" w:ascii="宋体" w:hAnsi="宋体" w:eastAsia="宋体" w:cs="宋体"/>
                <w:b w:val="0"/>
                <w:bCs/>
                <w:color w:val="auto"/>
                <w:sz w:val="24"/>
                <w:szCs w:val="24"/>
                <w:highlight w:val="none"/>
              </w:rPr>
            </w:pPr>
          </w:p>
        </w:tc>
        <w:tc>
          <w:tcPr>
            <w:tcW w:w="7236" w:type="dxa"/>
            <w:gridSpan w:val="2"/>
            <w:tcBorders>
              <w:left w:val="single" w:color="auto" w:sz="4" w:space="0"/>
              <w:bottom w:val="single" w:color="auto" w:sz="4" w:space="0"/>
              <w:right w:val="single" w:color="auto" w:sz="4" w:space="0"/>
            </w:tcBorders>
          </w:tcPr>
          <w:p w14:paraId="2EA7CC87">
            <w:pPr>
              <w:shd w:val="clear" w:color="auto" w:fil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结论：是否通过评审（须填写通过或不通过）</w:t>
            </w:r>
          </w:p>
          <w:p w14:paraId="0C525341">
            <w:pPr>
              <w:shd w:val="clear" w:color="auto" w:fil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注：如有一项不合格，作废标处理。</w:t>
            </w:r>
          </w:p>
        </w:tc>
        <w:tc>
          <w:tcPr>
            <w:tcW w:w="1366" w:type="dxa"/>
            <w:gridSpan w:val="2"/>
            <w:tcBorders>
              <w:left w:val="single" w:color="auto" w:sz="4" w:space="0"/>
              <w:bottom w:val="single" w:color="auto" w:sz="4" w:space="0"/>
              <w:right w:val="single" w:color="auto" w:sz="4" w:space="0"/>
            </w:tcBorders>
          </w:tcPr>
          <w:p w14:paraId="5E5C655C">
            <w:pPr>
              <w:shd w:val="clear" w:color="auto" w:fill="auto"/>
              <w:rPr>
                <w:rFonts w:hint="eastAsia" w:ascii="宋体" w:hAnsi="宋体" w:eastAsia="宋体" w:cs="宋体"/>
                <w:b w:val="0"/>
                <w:bCs/>
                <w:color w:val="auto"/>
                <w:sz w:val="24"/>
                <w:szCs w:val="24"/>
                <w:highlight w:val="none"/>
              </w:rPr>
            </w:pPr>
          </w:p>
        </w:tc>
      </w:tr>
    </w:tbl>
    <w:p w14:paraId="02195F74">
      <w:pPr>
        <w:shd w:val="clear" w:color="auto" w:fill="auto"/>
        <w:bidi w:val="0"/>
        <w:rPr>
          <w:rFonts w:hint="eastAsia" w:ascii="Times New Roman" w:hAnsi="Times New Roman" w:eastAsia="宋体" w:cs="Times New Roman"/>
          <w:color w:val="auto"/>
          <w:sz w:val="24"/>
          <w:szCs w:val="24"/>
          <w:highlight w:val="none"/>
        </w:rPr>
      </w:pPr>
    </w:p>
    <w:p w14:paraId="6227EDAA">
      <w:pPr>
        <w:shd w:val="clear" w:color="auto" w:fill="auto"/>
        <w:spacing w:line="400" w:lineRule="exact"/>
        <w:ind w:firstLine="578" w:firstLineChars="241"/>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.2评委会判定</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的响应性只根据</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本身的内容，而不寻求外部的证据，但投标有不真实不正确的内容时除外。</w:t>
      </w:r>
    </w:p>
    <w:p w14:paraId="485FE5DF">
      <w:pPr>
        <w:shd w:val="clear" w:color="auto" w:fill="auto"/>
        <w:spacing w:line="400" w:lineRule="exact"/>
        <w:ind w:firstLine="578" w:firstLineChars="241"/>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.3如果</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实质上没有响应</w:t>
      </w:r>
      <w:r>
        <w:rPr>
          <w:rFonts w:hint="eastAsia" w:ascii="宋体" w:hAnsi="Times New Roman" w:eastAsia="宋体" w:cs="Times New Roman"/>
          <w:color w:val="auto"/>
          <w:sz w:val="24"/>
          <w:szCs w:val="24"/>
          <w:highlight w:val="none"/>
          <w:lang w:eastAsia="zh-CN"/>
        </w:rPr>
        <w:t>磋商文件</w:t>
      </w:r>
      <w:r>
        <w:rPr>
          <w:rFonts w:hint="eastAsia" w:ascii="宋体" w:hAnsi="Times New Roman" w:eastAsia="宋体" w:cs="Times New Roman"/>
          <w:color w:val="auto"/>
          <w:sz w:val="24"/>
          <w:szCs w:val="24"/>
          <w:highlight w:val="none"/>
        </w:rPr>
        <w:t>的要求，评委会将予以拒绝，投标人不得通过修正或撤销不符合要求的偏离或保留，而使其投标成为实质上响应的投标。</w:t>
      </w:r>
    </w:p>
    <w:p w14:paraId="168DA1AF">
      <w:pPr>
        <w:shd w:val="clear" w:color="auto" w:fill="auto"/>
        <w:spacing w:line="400" w:lineRule="exact"/>
        <w:ind w:firstLine="480" w:firstLineChars="20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rPr>
        <w:t xml:space="preserve"> </w:t>
      </w: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.4投标人可在现场20分钟内对评标委员会的评审结论提出异议，评标委员会根据</w:t>
      </w:r>
      <w:r>
        <w:rPr>
          <w:rFonts w:hint="eastAsia" w:ascii="宋体" w:hAnsi="Times New Roman" w:eastAsia="宋体" w:cs="Times New Roman"/>
          <w:color w:val="auto"/>
          <w:sz w:val="24"/>
          <w:szCs w:val="24"/>
          <w:highlight w:val="none"/>
          <w:lang w:eastAsia="zh-CN"/>
        </w:rPr>
        <w:t>磋商文件</w:t>
      </w:r>
      <w:r>
        <w:rPr>
          <w:rFonts w:hint="eastAsia" w:ascii="宋体" w:hAnsi="Times New Roman" w:eastAsia="宋体" w:cs="Times New Roman"/>
          <w:color w:val="auto"/>
          <w:sz w:val="24"/>
          <w:szCs w:val="24"/>
          <w:highlight w:val="none"/>
        </w:rPr>
        <w:t>及有关规定对投标人的异议进行复议</w:t>
      </w:r>
    </w:p>
    <w:p w14:paraId="07CA7BB2">
      <w:pPr>
        <w:shd w:val="clear" w:color="auto" w:fill="auto"/>
        <w:spacing w:line="400" w:lineRule="exact"/>
        <w:ind w:firstLine="600" w:firstLineChars="25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.5只有通过初审的投标人才能进入下一步评标程序。</w:t>
      </w:r>
    </w:p>
    <w:p w14:paraId="17AE286F">
      <w:pPr>
        <w:shd w:val="clear" w:color="auto" w:fill="auto"/>
        <w:spacing w:line="400" w:lineRule="exact"/>
        <w:ind w:firstLine="482" w:firstLineChars="200"/>
        <w:rPr>
          <w:rFonts w:hint="eastAsia" w:ascii="宋体" w:hAnsi="Times New Roman" w:eastAsia="宋体" w:cs="Times New Roman"/>
          <w:b w:val="0"/>
          <w:bCs/>
          <w:color w:val="auto"/>
          <w:sz w:val="28"/>
          <w:szCs w:val="28"/>
          <w:highlight w:val="none"/>
        </w:rPr>
      </w:pPr>
      <w:r>
        <w:rPr>
          <w:rFonts w:hint="eastAsia" w:ascii="宋体" w:hAnsi="宋体" w:eastAsia="宋体" w:cs="Times New Roman"/>
          <w:b/>
          <w:color w:val="auto"/>
          <w:sz w:val="24"/>
          <w:szCs w:val="24"/>
          <w:highlight w:val="none"/>
        </w:rPr>
        <w:t>温馨提示：</w:t>
      </w:r>
      <w:r>
        <w:rPr>
          <w:rFonts w:hint="eastAsia" w:ascii="宋体" w:hAnsi="宋体" w:eastAsia="宋体" w:cs="Times New Roman"/>
          <w:b/>
          <w:color w:val="auto"/>
          <w:sz w:val="24"/>
          <w:szCs w:val="24"/>
          <w:highlight w:val="none"/>
          <w:lang w:eastAsia="zh-CN"/>
        </w:rPr>
        <w:t>响应文件</w:t>
      </w:r>
      <w:r>
        <w:rPr>
          <w:rFonts w:hint="eastAsia" w:ascii="宋体" w:hAnsi="宋体" w:eastAsia="宋体" w:cs="Times New Roman"/>
          <w:b/>
          <w:color w:val="auto"/>
          <w:sz w:val="24"/>
          <w:szCs w:val="24"/>
          <w:highlight w:val="none"/>
        </w:rPr>
        <w:t>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bookmarkStart w:id="41" w:name="_Toc15982"/>
      <w:bookmarkStart w:id="42" w:name="_Toc362983803"/>
      <w:bookmarkStart w:id="43" w:name="_Toc19366"/>
    </w:p>
    <w:p w14:paraId="19567EFD">
      <w:pPr>
        <w:shd w:val="clear" w:color="auto" w:fill="auto"/>
        <w:spacing w:before="156" w:beforeLines="50" w:line="400" w:lineRule="exact"/>
        <w:jc w:val="center"/>
        <w:outlineLvl w:val="1"/>
        <w:rPr>
          <w:rFonts w:hint="eastAsia" w:ascii="宋体" w:hAnsi="Times New Roman" w:eastAsia="宋体" w:cs="Times New Roman"/>
          <w:b/>
          <w:bCs w:val="0"/>
          <w:color w:val="auto"/>
          <w:sz w:val="24"/>
          <w:szCs w:val="24"/>
          <w:highlight w:val="none"/>
        </w:rPr>
      </w:pPr>
      <w:r>
        <w:rPr>
          <w:rFonts w:hint="eastAsia" w:ascii="宋体" w:hAnsi="Times New Roman" w:eastAsia="宋体" w:cs="Times New Roman"/>
          <w:b/>
          <w:bCs w:val="0"/>
          <w:color w:val="auto"/>
          <w:sz w:val="24"/>
          <w:szCs w:val="24"/>
          <w:highlight w:val="none"/>
        </w:rPr>
        <w:t xml:space="preserve">三  </w:t>
      </w:r>
      <w:r>
        <w:rPr>
          <w:rFonts w:hint="eastAsia" w:ascii="宋体" w:hAnsi="Times New Roman" w:eastAsia="宋体" w:cs="Times New Roman"/>
          <w:b/>
          <w:bCs w:val="0"/>
          <w:color w:val="auto"/>
          <w:sz w:val="24"/>
          <w:szCs w:val="24"/>
          <w:highlight w:val="none"/>
          <w:lang w:val="en-US" w:eastAsia="zh-CN"/>
        </w:rPr>
        <w:t>响应文件</w:t>
      </w:r>
      <w:r>
        <w:rPr>
          <w:rFonts w:hint="eastAsia" w:ascii="宋体" w:hAnsi="Times New Roman" w:eastAsia="宋体" w:cs="Times New Roman"/>
          <w:b/>
          <w:bCs w:val="0"/>
          <w:color w:val="auto"/>
          <w:sz w:val="24"/>
          <w:szCs w:val="24"/>
          <w:highlight w:val="none"/>
        </w:rPr>
        <w:t>的澄清和补正</w:t>
      </w:r>
      <w:bookmarkEnd w:id="41"/>
      <w:bookmarkEnd w:id="42"/>
      <w:bookmarkEnd w:id="43"/>
    </w:p>
    <w:p w14:paraId="337013A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8．澄清、说明或补正的形式</w:t>
      </w:r>
    </w:p>
    <w:p w14:paraId="290B56F3">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8.1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w:t>
      </w:r>
      <w:r>
        <w:rPr>
          <w:rFonts w:hint="eastAsia" w:ascii="宋体" w:hAnsi="Times New Roman" w:cs="Times New Roman"/>
          <w:b w:val="0"/>
          <w:bCs w:val="0"/>
          <w:color w:val="auto"/>
          <w:sz w:val="24"/>
          <w:szCs w:val="24"/>
          <w:highlight w:val="none"/>
          <w:lang w:val="en-US" w:eastAsia="zh-CN"/>
        </w:rPr>
        <w:t>3</w:t>
      </w:r>
      <w:r>
        <w:rPr>
          <w:rFonts w:hint="eastAsia" w:ascii="宋体" w:hAnsi="Times New Roman" w:eastAsia="宋体" w:cs="Times New Roman"/>
          <w:b w:val="0"/>
          <w:bCs w:val="0"/>
          <w:color w:val="auto"/>
          <w:sz w:val="24"/>
          <w:szCs w:val="24"/>
          <w:highlight w:val="none"/>
          <w:lang w:val="en-US" w:eastAsia="zh-CN"/>
        </w:rPr>
        <w:t>0分钟。</w:t>
      </w:r>
    </w:p>
    <w:p w14:paraId="6824FC19">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8.2投标供应商的澄清、说明或者补正应当通过“政府采购云平台”在线答复的方式提交，并加盖公章（电子印章），或者由法定代表人（负责人）或其授权的代表签字。投标供应商的澄清、说明或者补正不得超出响应文件的范围或者改变响应文件的实质性内容，不接受投标供应商主动对响应文件的澄清、说明或者补正。</w:t>
      </w:r>
    </w:p>
    <w:p w14:paraId="1161FFA4">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189C10D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9．错误修正的原则</w:t>
      </w:r>
    </w:p>
    <w:p w14:paraId="79C88646">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电子交易平台客户端里开标一览表录入的投标报价或优惠率与扫描上传的报价文件信息不一致的，以扫描上传的报价文件信息为准进行修正。</w:t>
      </w:r>
    </w:p>
    <w:p w14:paraId="05A09B53">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响应文件报价出现前后不一致的，除磋商文件另有规定外，按照下列规定修正：</w:t>
      </w:r>
    </w:p>
    <w:p w14:paraId="7725140D">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9.1 投标函中表述的内容与报价表中不一致的，以报价表为准；报价表中的内容与报价明细表不一致的，以报价表为准；</w:t>
      </w:r>
    </w:p>
    <w:p w14:paraId="37F8A72C">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9.2 响应文件中的大写金额和小写金额不一致的，以大写金额为准；</w:t>
      </w:r>
    </w:p>
    <w:p w14:paraId="24D906BE">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9.3 单价金额小数点或者百分比有明显错位的，以开标一览表的总价为准，并修改单价；</w:t>
      </w:r>
    </w:p>
    <w:p w14:paraId="565BF427">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9.4 总价金额与按单价汇总金额不一致的，以单价金额计算结果为准；</w:t>
      </w:r>
    </w:p>
    <w:p w14:paraId="47D5C739">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9.5 若用文字表示的数值与用数字表示的数值不一致，以文字表示的数值为准；</w:t>
      </w:r>
    </w:p>
    <w:p w14:paraId="3E67BD4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9.6 如有多报（指数量超出磋商文件需求）、重报（指同一货物重复报价），其投标总价在评标过程中不予调整，如其中标，其合同价按其投标单价予以调整；</w:t>
      </w:r>
    </w:p>
    <w:p w14:paraId="744CF76D">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9.7 对不同文字文本响应文件的解释发生异议的，以中文文本为准；</w:t>
      </w:r>
    </w:p>
    <w:p w14:paraId="67C5BFA7">
      <w:pPr>
        <w:shd w:val="clear" w:color="auto" w:fill="auto"/>
        <w:spacing w:line="440" w:lineRule="exact"/>
        <w:jc w:val="left"/>
        <w:rPr>
          <w:rFonts w:hint="eastAsia" w:ascii="宋体" w:hAnsi="Times New Roman" w:eastAsia="宋体" w:cs="Times New Roman"/>
          <w:color w:val="auto"/>
          <w:sz w:val="24"/>
          <w:szCs w:val="24"/>
          <w:highlight w:val="none"/>
        </w:rPr>
      </w:pPr>
      <w:r>
        <w:rPr>
          <w:rFonts w:hint="eastAsia" w:ascii="宋体" w:hAnsi="Times New Roman" w:eastAsia="宋体" w:cs="Times New Roman"/>
          <w:b w:val="0"/>
          <w:bCs w:val="0"/>
          <w:color w:val="auto"/>
          <w:sz w:val="24"/>
          <w:szCs w:val="24"/>
          <w:highlight w:val="none"/>
          <w:lang w:val="en-US"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0E27975E">
      <w:pPr>
        <w:shd w:val="clear" w:color="auto" w:fill="auto"/>
        <w:spacing w:line="400" w:lineRule="exact"/>
        <w:jc w:val="center"/>
        <w:outlineLvl w:val="1"/>
        <w:rPr>
          <w:rFonts w:hint="eastAsia" w:ascii="宋体" w:hAnsi="宋体" w:eastAsia="宋体" w:cs="宋体"/>
          <w:b/>
          <w:bCs w:val="0"/>
          <w:color w:val="auto"/>
          <w:sz w:val="24"/>
          <w:szCs w:val="24"/>
          <w:highlight w:val="none"/>
        </w:rPr>
      </w:pPr>
      <w:bookmarkStart w:id="44" w:name="_Toc16928"/>
      <w:bookmarkStart w:id="45" w:name="_Toc18469"/>
    </w:p>
    <w:p w14:paraId="6B079A40">
      <w:pPr>
        <w:shd w:val="clear" w:color="auto" w:fill="auto"/>
        <w:spacing w:line="400" w:lineRule="exact"/>
        <w:jc w:val="center"/>
        <w:outlineLvl w:val="1"/>
        <w:rPr>
          <w:rFonts w:hint="eastAsia" w:ascii="宋体" w:hAnsi="Times New Roman" w:eastAsia="宋体" w:cs="Times New Roman"/>
          <w:b/>
          <w:bCs w:val="0"/>
          <w:color w:val="auto"/>
          <w:sz w:val="24"/>
          <w:szCs w:val="24"/>
          <w:highlight w:val="none"/>
        </w:rPr>
      </w:pPr>
      <w:r>
        <w:rPr>
          <w:rFonts w:hint="eastAsia" w:ascii="宋体" w:hAnsi="宋体" w:eastAsia="宋体" w:cs="宋体"/>
          <w:b/>
          <w:bCs w:val="0"/>
          <w:color w:val="auto"/>
          <w:sz w:val="24"/>
          <w:szCs w:val="24"/>
          <w:highlight w:val="none"/>
        </w:rPr>
        <w:t>四 比较与评价</w:t>
      </w:r>
      <w:bookmarkEnd w:id="44"/>
      <w:bookmarkEnd w:id="45"/>
    </w:p>
    <w:p w14:paraId="363858CB">
      <w:pPr>
        <w:shd w:val="clear" w:color="auto" w:fill="auto"/>
        <w:tabs>
          <w:tab w:val="left" w:pos="720"/>
        </w:tabs>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10.1</w:t>
      </w:r>
      <w:r>
        <w:rPr>
          <w:rFonts w:hint="eastAsia" w:ascii="宋体" w:hAnsi="宋体" w:eastAsia="宋体" w:cs="宋体"/>
          <w:color w:val="auto"/>
          <w:sz w:val="24"/>
          <w:szCs w:val="24"/>
          <w:highlight w:val="none"/>
          <w:lang w:bidi="ar-SA"/>
        </w:rPr>
        <w:t>评标委员会按</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中规定的评标方法和标准，对资格性检查和符合性检查合格的</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进行商务和技术评估、综合比较与评价。</w:t>
      </w:r>
    </w:p>
    <w:p w14:paraId="222150A6">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10.2</w:t>
      </w:r>
      <w:r>
        <w:rPr>
          <w:rFonts w:hint="eastAsia" w:ascii="宋体" w:hAnsi="宋体" w:eastAsia="宋体" w:cs="宋体"/>
          <w:color w:val="auto"/>
          <w:sz w:val="24"/>
          <w:szCs w:val="24"/>
          <w:highlight w:val="none"/>
          <w:lang w:bidi="ar-SA"/>
        </w:rPr>
        <w:t>评标委员会根据商务和技术评估的结果，采用综合评分法，分别对</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的商务、技术、价格等内容进行打分。其中，商务评估、技术评估、价格评估的评分权值（详见评分标准和细则）。</w:t>
      </w:r>
    </w:p>
    <w:p w14:paraId="7CDE8DCC">
      <w:pPr>
        <w:shd w:val="clear" w:color="auto" w:fill="auto"/>
        <w:spacing w:line="440" w:lineRule="exact"/>
        <w:rPr>
          <w:rFonts w:hint="eastAsia" w:ascii="宋体" w:hAnsi="宋体" w:eastAsia="宋体" w:cs="宋体"/>
          <w:bCs/>
          <w:color w:val="auto"/>
          <w:sz w:val="24"/>
          <w:szCs w:val="24"/>
          <w:highlight w:val="none"/>
          <w:lang w:bidi="ar-SA"/>
        </w:rPr>
      </w:pPr>
      <w:r>
        <w:rPr>
          <w:rFonts w:hint="eastAsia" w:ascii="宋体" w:hAnsi="宋体" w:eastAsia="宋体" w:cs="宋体"/>
          <w:color w:val="auto"/>
          <w:sz w:val="24"/>
          <w:szCs w:val="24"/>
          <w:highlight w:val="none"/>
          <w:lang w:val="en-US" w:eastAsia="zh-CN" w:bidi="ar-SA"/>
        </w:rPr>
        <w:t>10.</w:t>
      </w:r>
      <w:r>
        <w:rPr>
          <w:rFonts w:hint="eastAsia" w:ascii="宋体" w:hAnsi="宋体" w:eastAsia="宋体" w:cs="宋体"/>
          <w:bCs/>
          <w:color w:val="auto"/>
          <w:sz w:val="24"/>
          <w:szCs w:val="24"/>
          <w:highlight w:val="none"/>
          <w:lang w:val="en-US" w:eastAsia="zh-CN" w:bidi="ar-SA"/>
        </w:rPr>
        <w:t>2.1</w:t>
      </w:r>
      <w:r>
        <w:rPr>
          <w:rFonts w:hint="eastAsia" w:ascii="宋体" w:hAnsi="宋体" w:eastAsia="宋体" w:cs="宋体"/>
          <w:bCs/>
          <w:color w:val="auto"/>
          <w:sz w:val="24"/>
          <w:szCs w:val="24"/>
          <w:highlight w:val="none"/>
          <w:lang w:bidi="ar-SA"/>
        </w:rPr>
        <w:t>评委打分办法</w:t>
      </w:r>
    </w:p>
    <w:p w14:paraId="08A29849">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bCs/>
          <w:color w:val="auto"/>
          <w:sz w:val="24"/>
          <w:szCs w:val="24"/>
          <w:highlight w:val="none"/>
          <w:lang w:bidi="ar-SA"/>
        </w:rPr>
        <w:t>（1）</w:t>
      </w:r>
      <w:r>
        <w:rPr>
          <w:rFonts w:hint="eastAsia" w:ascii="宋体" w:hAnsi="宋体" w:eastAsia="宋体" w:cs="宋体"/>
          <w:color w:val="auto"/>
          <w:sz w:val="24"/>
          <w:szCs w:val="24"/>
          <w:highlight w:val="none"/>
          <w:lang w:bidi="ar-SA"/>
        </w:rPr>
        <w:t>参加评分的评委应尽力体现客观、实事求是，避免学派偏见和个人偏好。</w:t>
      </w:r>
    </w:p>
    <w:p w14:paraId="1E43A03F">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（2）衡量、对比的依据，应以</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、提供的正式试验数据、质询澄清中的文字为准，口头回答和收集的资料只作为参考。</w:t>
      </w:r>
    </w:p>
    <w:p w14:paraId="46D09F96">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（3）评分主要是为比较各投标人的价格、商务和技术综合排序。</w:t>
      </w:r>
    </w:p>
    <w:p w14:paraId="4ABAD76F">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（4）评委打分采取记名形式。</w:t>
      </w:r>
    </w:p>
    <w:p w14:paraId="035ADAEB">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（5）各评委根据提供的技术打分表独立自主打分，任何人不得要求评委统一打分或统一确定等次顺序。</w:t>
      </w:r>
    </w:p>
    <w:p w14:paraId="186B9230">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（6）对打分表中的每项条款，各评委应根据</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、澄清材料、</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要求，按满足的程度给投标人打分。</w:t>
      </w:r>
    </w:p>
    <w:p w14:paraId="5A26C06E">
      <w:pPr>
        <w:shd w:val="clear" w:color="auto" w:fill="auto"/>
        <w:spacing w:line="360" w:lineRule="auto"/>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（7）评分程序</w:t>
      </w:r>
    </w:p>
    <w:p w14:paraId="7E9BF0A8">
      <w:pPr>
        <w:shd w:val="clear" w:color="auto" w:fill="auto"/>
        <w:spacing w:line="360" w:lineRule="auto"/>
        <w:ind w:firstLine="240" w:firstLineChars="100"/>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a</w:t>
      </w:r>
      <w:r>
        <w:rPr>
          <w:rFonts w:hint="eastAsia" w:ascii="宋体" w:hAnsi="宋体" w:eastAsia="宋体" w:cs="宋体"/>
          <w:color w:val="auto"/>
          <w:sz w:val="24"/>
          <w:szCs w:val="24"/>
          <w:highlight w:val="none"/>
          <w:lang w:bidi="ar-SA"/>
        </w:rPr>
        <w:t>就投标人的投标文件对照整理出商务、技术评标因素对比表、偏差表，并在经过校核的基础上逐项打分。</w:t>
      </w:r>
    </w:p>
    <w:p w14:paraId="6A38E50F">
      <w:pPr>
        <w:shd w:val="clear" w:color="auto" w:fill="auto"/>
        <w:spacing w:line="360" w:lineRule="auto"/>
        <w:ind w:firstLine="240" w:firstLineChars="100"/>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b</w:t>
      </w:r>
      <w:r>
        <w:rPr>
          <w:rFonts w:hint="eastAsia" w:ascii="宋体" w:hAnsi="宋体" w:eastAsia="宋体" w:cs="宋体"/>
          <w:color w:val="auto"/>
          <w:sz w:val="24"/>
          <w:szCs w:val="24"/>
          <w:highlight w:val="none"/>
          <w:lang w:bidi="ar-SA"/>
        </w:rPr>
        <w:t>各评委独立完成打分后，将评分表交给代理机构，由代理机构组织进行分数统计。</w:t>
      </w:r>
    </w:p>
    <w:p w14:paraId="612ED732">
      <w:pPr>
        <w:shd w:val="clear" w:color="auto" w:fill="auto"/>
        <w:spacing w:line="360" w:lineRule="auto"/>
        <w:ind w:firstLine="240" w:firstLineChars="100"/>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c</w:t>
      </w:r>
      <w:r>
        <w:rPr>
          <w:rFonts w:hint="eastAsia" w:ascii="宋体" w:hAnsi="宋体" w:eastAsia="宋体" w:cs="宋体"/>
          <w:color w:val="auto"/>
          <w:sz w:val="24"/>
          <w:szCs w:val="24"/>
          <w:highlight w:val="none"/>
          <w:lang w:bidi="ar-SA"/>
        </w:rPr>
        <w:t>最终汇总表中各投标人得分应为评委打分的算术平均值。</w:t>
      </w:r>
    </w:p>
    <w:p w14:paraId="3C35BA2E">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576EA95C">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3AE2F5DA">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667DA4EF">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34F08E1A">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6A1BDE5F">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28B00579">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24C26117">
      <w:pPr>
        <w:pStyle w:val="21"/>
        <w:jc w:val="center"/>
        <w:rPr>
          <w:rFonts w:hint="eastAsia" w:ascii="仿宋" w:hAnsi="仿宋" w:eastAsia="仿宋" w:cs="仿宋"/>
          <w:b/>
          <w:sz w:val="32"/>
          <w:szCs w:val="32"/>
          <w:highlight w:val="none"/>
        </w:rPr>
      </w:pPr>
    </w:p>
    <w:p w14:paraId="26339008">
      <w:pPr>
        <w:pStyle w:val="21"/>
        <w:jc w:val="both"/>
        <w:rPr>
          <w:rFonts w:hint="eastAsia" w:ascii="仿宋" w:hAnsi="仿宋" w:eastAsia="仿宋" w:cs="仿宋"/>
          <w:b/>
          <w:sz w:val="32"/>
          <w:szCs w:val="32"/>
          <w:highlight w:val="none"/>
        </w:rPr>
      </w:pPr>
    </w:p>
    <w:p w14:paraId="6406DBDC">
      <w:pPr>
        <w:pStyle w:val="21"/>
        <w:jc w:val="center"/>
        <w:rPr>
          <w:rFonts w:hint="eastAsia" w:ascii="仿宋" w:hAnsi="仿宋" w:eastAsia="仿宋" w:cs="仿宋"/>
          <w:b/>
          <w:sz w:val="32"/>
          <w:szCs w:val="32"/>
          <w:highlight w:val="none"/>
        </w:rPr>
      </w:pPr>
    </w:p>
    <w:p w14:paraId="521D6BB8">
      <w:pPr>
        <w:pStyle w:val="21"/>
        <w:jc w:val="center"/>
        <w:rPr>
          <w:rFonts w:hint="eastAsia" w:ascii="仿宋" w:hAnsi="仿宋" w:eastAsia="仿宋" w:cs="仿宋"/>
          <w:b/>
          <w:sz w:val="32"/>
          <w:szCs w:val="32"/>
          <w:highlight w:val="none"/>
        </w:rPr>
      </w:pPr>
    </w:p>
    <w:p w14:paraId="1E9997AC">
      <w:pPr>
        <w:pStyle w:val="21"/>
        <w:jc w:val="center"/>
        <w:rPr>
          <w:rFonts w:hint="eastAsia" w:ascii="仿宋" w:hAnsi="仿宋" w:eastAsia="仿宋" w:cs="仿宋"/>
          <w:b/>
          <w:sz w:val="32"/>
          <w:szCs w:val="32"/>
          <w:highlight w:val="none"/>
        </w:rPr>
      </w:pPr>
    </w:p>
    <w:p w14:paraId="58929B2F">
      <w:pPr>
        <w:pStyle w:val="21"/>
        <w:jc w:val="center"/>
        <w:rPr>
          <w:rFonts w:hint="eastAsia" w:ascii="仿宋" w:hAnsi="仿宋" w:eastAsia="仿宋" w:cs="仿宋"/>
          <w:b/>
          <w:sz w:val="32"/>
          <w:szCs w:val="32"/>
          <w:highlight w:val="none"/>
        </w:rPr>
      </w:pPr>
    </w:p>
    <w:p w14:paraId="2A87B646">
      <w:pPr>
        <w:pStyle w:val="21"/>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评分办法（综合评分法）及评分标准</w:t>
      </w:r>
    </w:p>
    <w:tbl>
      <w:tblPr>
        <w:tblStyle w:val="2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1131"/>
        <w:gridCol w:w="1298"/>
        <w:gridCol w:w="6518"/>
      </w:tblGrid>
      <w:tr w14:paraId="0644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30" w:type="pct"/>
            <w:gridSpan w:val="3"/>
            <w:noWrap/>
            <w:vAlign w:val="center"/>
          </w:tcPr>
          <w:p w14:paraId="022D8EFD">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评分内容</w:t>
            </w:r>
          </w:p>
        </w:tc>
        <w:tc>
          <w:tcPr>
            <w:tcW w:w="3469" w:type="pct"/>
            <w:noWrap w:val="0"/>
            <w:vAlign w:val="center"/>
          </w:tcPr>
          <w:p w14:paraId="2CEF6C61">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评分方法</w:t>
            </w:r>
          </w:p>
        </w:tc>
      </w:tr>
      <w:tr w14:paraId="7AA4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37" w:type="pct"/>
            <w:noWrap/>
            <w:vAlign w:val="center"/>
          </w:tcPr>
          <w:p w14:paraId="2208FB65">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p>
        </w:tc>
        <w:tc>
          <w:tcPr>
            <w:tcW w:w="602" w:type="pct"/>
            <w:noWrap w:val="0"/>
            <w:vAlign w:val="center"/>
          </w:tcPr>
          <w:p w14:paraId="0BF18626">
            <w:pPr>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报价评审</w:t>
            </w:r>
          </w:p>
        </w:tc>
        <w:tc>
          <w:tcPr>
            <w:tcW w:w="690" w:type="pct"/>
            <w:noWrap w:val="0"/>
            <w:vAlign w:val="center"/>
          </w:tcPr>
          <w:p w14:paraId="49FBAD11">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投标报价</w:t>
            </w:r>
          </w:p>
          <w:p w14:paraId="347E4370">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分）</w:t>
            </w:r>
          </w:p>
        </w:tc>
        <w:tc>
          <w:tcPr>
            <w:tcW w:w="3469" w:type="pct"/>
            <w:noWrap w:val="0"/>
            <w:vAlign w:val="center"/>
          </w:tcPr>
          <w:p w14:paraId="11CB12BC">
            <w:pPr>
              <w:rPr>
                <w:rFonts w:hint="eastAsia" w:ascii="仿宋" w:hAnsi="仿宋" w:eastAsia="仿宋" w:cs="仿宋"/>
                <w:color w:val="auto"/>
                <w:sz w:val="24"/>
                <w:szCs w:val="24"/>
              </w:rPr>
            </w:pPr>
            <w:r>
              <w:rPr>
                <w:rFonts w:hint="eastAsia" w:ascii="仿宋" w:hAnsi="仿宋" w:eastAsia="仿宋" w:cs="仿宋"/>
                <w:color w:val="auto"/>
                <w:sz w:val="24"/>
                <w:szCs w:val="24"/>
              </w:rPr>
              <w:t>评标基准价=有效投标报价的最低值，有效投标报价等于基准值的得满分</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rPr>
              <w:t>分，投标报价得分=（评标基准价/投标报价）×价格权重×100；有效投标报价为通过资格性和符合性审查的供应商报价。</w:t>
            </w:r>
          </w:p>
          <w:p w14:paraId="1072FC95">
            <w:pPr>
              <w:widowControl/>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rPr>
              <w:t>(注：投标报价超过采购预算价的按废标处理)</w:t>
            </w:r>
          </w:p>
        </w:tc>
      </w:tr>
      <w:tr w14:paraId="0DE5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237" w:type="pct"/>
            <w:vMerge w:val="restart"/>
            <w:noWrap w:val="0"/>
            <w:vAlign w:val="center"/>
          </w:tcPr>
          <w:p w14:paraId="18ADEB91">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p>
        </w:tc>
        <w:tc>
          <w:tcPr>
            <w:tcW w:w="602" w:type="pct"/>
            <w:vMerge w:val="restart"/>
            <w:noWrap w:val="0"/>
            <w:vAlign w:val="center"/>
          </w:tcPr>
          <w:p w14:paraId="37A1BA13">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技术商务评审    （</w:t>
            </w:r>
            <w:r>
              <w:rPr>
                <w:rFonts w:hint="eastAsia" w:ascii="仿宋" w:hAnsi="仿宋" w:eastAsia="仿宋" w:cs="仿宋"/>
                <w:color w:val="auto"/>
                <w:sz w:val="24"/>
                <w:szCs w:val="24"/>
                <w:highlight w:val="none"/>
                <w:lang w:val="en-US" w:eastAsia="zh-CN"/>
              </w:rPr>
              <w:t>90</w:t>
            </w:r>
            <w:r>
              <w:rPr>
                <w:rFonts w:hint="eastAsia" w:ascii="仿宋" w:hAnsi="仿宋" w:eastAsia="仿宋" w:cs="仿宋"/>
                <w:color w:val="auto"/>
                <w:sz w:val="24"/>
                <w:szCs w:val="24"/>
                <w:highlight w:val="none"/>
                <w:lang w:eastAsia="zh-CN"/>
              </w:rPr>
              <w:t>分）</w:t>
            </w:r>
          </w:p>
        </w:tc>
        <w:tc>
          <w:tcPr>
            <w:tcW w:w="690" w:type="pct"/>
            <w:noWrap w:val="0"/>
            <w:vAlign w:val="center"/>
          </w:tcPr>
          <w:p w14:paraId="2061D32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服务方案</w:t>
            </w:r>
          </w:p>
          <w:p w14:paraId="0A66BF7F">
            <w:pPr>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（25分）</w:t>
            </w:r>
          </w:p>
        </w:tc>
        <w:tc>
          <w:tcPr>
            <w:tcW w:w="3469" w:type="pct"/>
            <w:noWrap w:val="0"/>
            <w:vAlign w:val="center"/>
          </w:tcPr>
          <w:p w14:paraId="49F26EF2">
            <w:pPr>
              <w:widowControl/>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针对本项目提供服务方案，包括但不限于：①服务内容总体认识；②项目整体服务流程；③工作重难点分析及解决措施；④项目进度计划及质量控制措施；⑤助餐人员的分布、结构等数据的统计。方案完全满足要求且完整的得25分，以上内容每出现一项缺失扣5分，每有一项表述混乱或不完善的扣2.5分，本项分值扣完为止。未提供不得分。</w:t>
            </w:r>
          </w:p>
          <w:p w14:paraId="0082E43D">
            <w:pPr>
              <w:widowControl/>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698E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noWrap w:val="0"/>
            <w:vAlign w:val="center"/>
          </w:tcPr>
          <w:p w14:paraId="17A55932">
            <w:pPr>
              <w:jc w:val="center"/>
              <w:rPr>
                <w:rFonts w:hint="eastAsia" w:ascii="仿宋" w:hAnsi="仿宋" w:eastAsia="仿宋" w:cs="仿宋"/>
                <w:color w:val="auto"/>
                <w:sz w:val="24"/>
                <w:szCs w:val="24"/>
                <w:highlight w:val="none"/>
              </w:rPr>
            </w:pPr>
          </w:p>
        </w:tc>
        <w:tc>
          <w:tcPr>
            <w:tcW w:w="602" w:type="pct"/>
            <w:vMerge w:val="continue"/>
            <w:noWrap w:val="0"/>
            <w:vAlign w:val="center"/>
          </w:tcPr>
          <w:p w14:paraId="6A6BB784">
            <w:pPr>
              <w:widowControl/>
              <w:jc w:val="center"/>
              <w:textAlignment w:val="center"/>
              <w:rPr>
                <w:rFonts w:hint="eastAsia" w:ascii="仿宋" w:hAnsi="仿宋" w:eastAsia="仿宋" w:cs="仿宋"/>
                <w:color w:val="auto"/>
                <w:sz w:val="24"/>
                <w:szCs w:val="24"/>
                <w:highlight w:val="none"/>
              </w:rPr>
            </w:pPr>
          </w:p>
        </w:tc>
        <w:tc>
          <w:tcPr>
            <w:tcW w:w="690" w:type="pct"/>
            <w:noWrap w:val="0"/>
            <w:vAlign w:val="center"/>
          </w:tcPr>
          <w:p w14:paraId="47EB76A1">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食材管控措施（16分）</w:t>
            </w:r>
          </w:p>
        </w:tc>
        <w:tc>
          <w:tcPr>
            <w:tcW w:w="3469" w:type="pct"/>
            <w:noWrap w:val="0"/>
            <w:vAlign w:val="center"/>
          </w:tcPr>
          <w:p w14:paraId="2804E0D9">
            <w:pPr>
              <w:widowControl/>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sz w:val="24"/>
                <w:szCs w:val="24"/>
                <w:highlight w:val="none"/>
                <w:lang w:val="en-US" w:eastAsia="zh-CN"/>
              </w:rPr>
              <w:t>供应商须针对本项目提交食材管控措施方案，方案应包含以下 8 项内容：①食材、原材料管控；②半成品管控；③成品加工流程管控；④卫生管理；⑤设施、人员、制度及台账配备；⑥成本控制；⑦食材保管；⑧进货渠道与来源可追溯。 评分规则：方案全部 8 项内容齐全、措施完整清晰、可落地可核查的，得 16 分；缺 1 项扣 2 分；任意 1 项内容表述不清、混乱或不完善</w:t>
            </w:r>
            <w:r>
              <w:rPr>
                <w:rFonts w:hint="eastAsia" w:ascii="仿宋" w:hAnsi="仿宋" w:eastAsia="仿宋" w:cs="仿宋"/>
                <w:color w:val="000000"/>
                <w:sz w:val="24"/>
                <w:szCs w:val="24"/>
                <w:highlight w:val="none"/>
                <w:lang w:eastAsia="zh-CN"/>
              </w:rPr>
              <w:t>”是指：①该项方案内容描述前后矛盾，前后逻辑错误</w:t>
            </w:r>
            <w:r>
              <w:rPr>
                <w:rFonts w:hint="eastAsia" w:ascii="仿宋" w:hAnsi="仿宋" w:eastAsia="仿宋" w:cs="仿宋"/>
                <w:color w:val="000000"/>
                <w:sz w:val="24"/>
                <w:szCs w:val="24"/>
                <w:highlight w:val="none"/>
                <w:lang w:val="en-US" w:eastAsia="zh-CN"/>
              </w:rPr>
              <w:t>的扣 1 分，扣至 0 分为止；未提供方案不得分。注：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5331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37" w:type="pct"/>
            <w:vMerge w:val="continue"/>
            <w:noWrap w:val="0"/>
            <w:vAlign w:val="center"/>
          </w:tcPr>
          <w:p w14:paraId="29FEFEB6">
            <w:pPr>
              <w:jc w:val="center"/>
              <w:rPr>
                <w:rFonts w:hint="eastAsia" w:ascii="仿宋" w:hAnsi="仿宋" w:eastAsia="仿宋" w:cs="仿宋"/>
                <w:color w:val="auto"/>
                <w:sz w:val="24"/>
                <w:szCs w:val="24"/>
                <w:highlight w:val="none"/>
              </w:rPr>
            </w:pPr>
          </w:p>
        </w:tc>
        <w:tc>
          <w:tcPr>
            <w:tcW w:w="602" w:type="pct"/>
            <w:vMerge w:val="continue"/>
            <w:noWrap w:val="0"/>
            <w:vAlign w:val="center"/>
          </w:tcPr>
          <w:p w14:paraId="784BAA34">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noWrap w:val="0"/>
            <w:vAlign w:val="center"/>
          </w:tcPr>
          <w:p w14:paraId="0E7E29BC">
            <w:pPr>
              <w:widowControl/>
              <w:jc w:val="center"/>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卫生管理控制方案（8分）</w:t>
            </w:r>
          </w:p>
        </w:tc>
        <w:tc>
          <w:tcPr>
            <w:tcW w:w="3469" w:type="pct"/>
            <w:noWrap w:val="0"/>
            <w:vAlign w:val="center"/>
          </w:tcPr>
          <w:p w14:paraId="298C716A">
            <w:pPr>
              <w:widowControl/>
              <w:textAlignment w:val="center"/>
              <w:rPr>
                <w:rFonts w:hint="eastAsia" w:ascii="仿宋" w:hAnsi="仿宋" w:eastAsia="仿宋" w:cs="仿宋"/>
                <w:i w:val="0"/>
                <w:iCs w:val="0"/>
                <w:snapToGrid w:val="0"/>
                <w:color w:val="auto"/>
                <w:kern w:val="0"/>
                <w:sz w:val="24"/>
                <w:szCs w:val="24"/>
                <w:highlight w:val="none"/>
                <w:u w:val="none"/>
                <w:lang w:val="en-US" w:eastAsia="zh-CN" w:bidi="ar"/>
              </w:rPr>
            </w:pPr>
            <w:r>
              <w:rPr>
                <w:rFonts w:hint="eastAsia" w:ascii="仿宋" w:hAnsi="仿宋" w:eastAsia="仿宋" w:cs="仿宋"/>
                <w:i w:val="0"/>
                <w:iCs w:val="0"/>
                <w:snapToGrid w:val="0"/>
                <w:color w:val="auto"/>
                <w:kern w:val="0"/>
                <w:sz w:val="24"/>
                <w:szCs w:val="24"/>
                <w:highlight w:val="none"/>
                <w:u w:val="none"/>
                <w:lang w:val="en-US" w:eastAsia="zh-CN" w:bidi="ar"/>
              </w:rPr>
              <w:t>供应商针对本项目提供的卫生管理控制方案，包括但不限于：①食品卫生；②人员卫生；③环境卫生；④垃圾处理方案。方案完全满足要求且完整的得 8 分，以上内容每出现一项缺失扣2分，</w:t>
            </w:r>
            <w:r>
              <w:rPr>
                <w:rFonts w:hint="eastAsia" w:ascii="仿宋" w:hAnsi="仿宋" w:eastAsia="仿宋" w:cs="仿宋"/>
                <w:color w:val="auto"/>
                <w:sz w:val="24"/>
                <w:szCs w:val="24"/>
                <w:highlight w:val="none"/>
                <w:lang w:val="en-US" w:eastAsia="zh-CN"/>
              </w:rPr>
              <w:t>每有一项表述混乱或不完善的扣</w:t>
            </w:r>
            <w:r>
              <w:rPr>
                <w:rFonts w:hint="eastAsia" w:ascii="仿宋" w:hAnsi="仿宋" w:eastAsia="仿宋" w:cs="仿宋"/>
                <w:i w:val="0"/>
                <w:iCs w:val="0"/>
                <w:snapToGrid w:val="0"/>
                <w:color w:val="auto"/>
                <w:kern w:val="0"/>
                <w:sz w:val="24"/>
                <w:szCs w:val="24"/>
                <w:highlight w:val="none"/>
                <w:u w:val="none"/>
                <w:lang w:val="en-US" w:eastAsia="zh-CN" w:bidi="ar"/>
              </w:rPr>
              <w:t>1分，本项分值扣完为止。未提供不得分。</w:t>
            </w:r>
          </w:p>
          <w:p w14:paraId="751F0FD8">
            <w:pPr>
              <w:widowControl/>
              <w:textAlignment w:val="center"/>
              <w:rPr>
                <w:rFonts w:hint="eastAsia" w:ascii="仿宋" w:hAnsi="仿宋" w:eastAsia="仿宋" w:cs="仿宋"/>
                <w:i w:val="0"/>
                <w:iCs w:val="0"/>
                <w:snapToGrid w:val="0"/>
                <w:color w:val="auto"/>
                <w:kern w:val="0"/>
                <w:sz w:val="24"/>
                <w:szCs w:val="24"/>
                <w:highlight w:val="none"/>
                <w:u w:val="none"/>
                <w:lang w:val="en-US" w:eastAsia="zh-CN" w:bidi="ar"/>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73A8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237" w:type="pct"/>
            <w:vMerge w:val="continue"/>
            <w:noWrap w:val="0"/>
            <w:vAlign w:val="center"/>
          </w:tcPr>
          <w:p w14:paraId="506F513A">
            <w:pPr>
              <w:widowControl/>
              <w:jc w:val="center"/>
              <w:textAlignment w:val="center"/>
              <w:rPr>
                <w:rFonts w:hint="eastAsia" w:ascii="仿宋" w:hAnsi="仿宋" w:eastAsia="仿宋" w:cs="仿宋"/>
                <w:color w:val="auto"/>
                <w:sz w:val="24"/>
                <w:szCs w:val="24"/>
                <w:highlight w:val="none"/>
                <w:lang w:eastAsia="zh-CN"/>
              </w:rPr>
            </w:pPr>
          </w:p>
        </w:tc>
        <w:tc>
          <w:tcPr>
            <w:tcW w:w="602" w:type="pct"/>
            <w:vMerge w:val="continue"/>
            <w:noWrap w:val="0"/>
            <w:vAlign w:val="center"/>
          </w:tcPr>
          <w:p w14:paraId="1F65014C">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vMerge w:val="restart"/>
            <w:noWrap w:val="0"/>
            <w:vAlign w:val="center"/>
          </w:tcPr>
          <w:p w14:paraId="32B74F8E">
            <w:pPr>
              <w:widowControl/>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企业实力</w:t>
            </w:r>
          </w:p>
          <w:p w14:paraId="1BB76F44">
            <w:pPr>
              <w:widowControl/>
              <w:jc w:val="center"/>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（24分）</w:t>
            </w:r>
          </w:p>
        </w:tc>
        <w:tc>
          <w:tcPr>
            <w:tcW w:w="3469" w:type="pct"/>
            <w:noWrap w:val="0"/>
            <w:vAlign w:val="center"/>
          </w:tcPr>
          <w:p w14:paraId="524F96B5">
            <w:pPr>
              <w:widowControl/>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1.投标供应商提供2023年1月1日至投标截止时间承担过类似业绩，每提供一项得1分，最高得2分。（须提供中标通知书及合同扫描件，不提供不得分）</w:t>
            </w:r>
          </w:p>
        </w:tc>
      </w:tr>
      <w:tr w14:paraId="7D75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237" w:type="pct"/>
            <w:vMerge w:val="continue"/>
            <w:noWrap w:val="0"/>
            <w:vAlign w:val="center"/>
          </w:tcPr>
          <w:p w14:paraId="44BB507A">
            <w:pPr>
              <w:widowControl/>
              <w:jc w:val="center"/>
              <w:textAlignment w:val="center"/>
              <w:rPr>
                <w:rFonts w:hint="eastAsia" w:ascii="仿宋" w:hAnsi="仿宋" w:eastAsia="仿宋" w:cs="仿宋"/>
                <w:color w:val="auto"/>
                <w:sz w:val="24"/>
                <w:szCs w:val="24"/>
                <w:highlight w:val="none"/>
                <w:lang w:eastAsia="zh-CN"/>
              </w:rPr>
            </w:pPr>
          </w:p>
        </w:tc>
        <w:tc>
          <w:tcPr>
            <w:tcW w:w="602" w:type="pct"/>
            <w:vMerge w:val="continue"/>
            <w:noWrap w:val="0"/>
            <w:vAlign w:val="center"/>
          </w:tcPr>
          <w:p w14:paraId="2003C0CF">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vMerge w:val="continue"/>
            <w:noWrap w:val="0"/>
            <w:vAlign w:val="center"/>
          </w:tcPr>
          <w:p w14:paraId="37F904DF">
            <w:pPr>
              <w:widowControl/>
              <w:jc w:val="center"/>
              <w:textAlignment w:val="center"/>
              <w:rPr>
                <w:rFonts w:hint="eastAsia" w:ascii="仿宋" w:hAnsi="仿宋" w:eastAsia="仿宋" w:cs="仿宋"/>
                <w:color w:val="auto"/>
                <w:kern w:val="2"/>
                <w:sz w:val="24"/>
                <w:szCs w:val="24"/>
                <w:highlight w:val="none"/>
                <w:lang w:val="en-US" w:eastAsia="zh-CN" w:bidi="ar-SA"/>
              </w:rPr>
            </w:pPr>
          </w:p>
        </w:tc>
        <w:tc>
          <w:tcPr>
            <w:tcW w:w="3469" w:type="pct"/>
            <w:noWrap w:val="0"/>
            <w:vAlign w:val="center"/>
          </w:tcPr>
          <w:p w14:paraId="68E8800B">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为本项目至少配备具有专业服务能力和工作经验丰富的专职管理人员2名：专职管理人员须提供社会工作者职业资格证书，每一人资料齐全得3分，全部满足得6分。（注：未提供或提供不全此项不得分且以上人员证件每人只按一个计算，不重复计分。）</w:t>
            </w:r>
          </w:p>
        </w:tc>
      </w:tr>
      <w:tr w14:paraId="7C37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237" w:type="pct"/>
            <w:vMerge w:val="continue"/>
            <w:noWrap w:val="0"/>
            <w:vAlign w:val="center"/>
          </w:tcPr>
          <w:p w14:paraId="4688C157">
            <w:pPr>
              <w:widowControl/>
              <w:jc w:val="center"/>
              <w:textAlignment w:val="center"/>
              <w:rPr>
                <w:rFonts w:hint="eastAsia" w:ascii="仿宋" w:hAnsi="仿宋" w:eastAsia="仿宋" w:cs="仿宋"/>
                <w:color w:val="auto"/>
                <w:sz w:val="24"/>
                <w:szCs w:val="24"/>
                <w:highlight w:val="none"/>
                <w:lang w:eastAsia="zh-CN"/>
              </w:rPr>
            </w:pPr>
          </w:p>
        </w:tc>
        <w:tc>
          <w:tcPr>
            <w:tcW w:w="602" w:type="pct"/>
            <w:vMerge w:val="continue"/>
            <w:noWrap w:val="0"/>
            <w:vAlign w:val="center"/>
          </w:tcPr>
          <w:p w14:paraId="655EA708">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vMerge w:val="continue"/>
            <w:noWrap w:val="0"/>
            <w:vAlign w:val="center"/>
          </w:tcPr>
          <w:p w14:paraId="1F7B9CDD">
            <w:pPr>
              <w:widowControl/>
              <w:jc w:val="center"/>
              <w:textAlignment w:val="center"/>
              <w:rPr>
                <w:rFonts w:hint="eastAsia" w:ascii="仿宋" w:hAnsi="仿宋" w:eastAsia="仿宋" w:cs="仿宋"/>
                <w:color w:val="auto"/>
                <w:kern w:val="2"/>
                <w:sz w:val="24"/>
                <w:szCs w:val="24"/>
                <w:highlight w:val="none"/>
                <w:lang w:val="en-US" w:eastAsia="zh-CN" w:bidi="ar-SA"/>
              </w:rPr>
            </w:pPr>
          </w:p>
        </w:tc>
        <w:tc>
          <w:tcPr>
            <w:tcW w:w="3469" w:type="pct"/>
            <w:noWrap w:val="0"/>
            <w:vAlign w:val="center"/>
          </w:tcPr>
          <w:p w14:paraId="779D83F6">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3、项目执行团队中配备专职人员不少于8人，要求熟悉电脑系统操作流程。 提供8人以上（含8人）的，得16分，在8人的基础上每少1人的减2分，扣完为止。（注：提供人员身份证、劳动合同（缺任意一项不得分）且以上人员证件每人只按一个计算，不重复计分）。</w:t>
            </w:r>
          </w:p>
        </w:tc>
      </w:tr>
      <w:tr w14:paraId="017C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37" w:type="pct"/>
            <w:vMerge w:val="continue"/>
            <w:noWrap w:val="0"/>
            <w:vAlign w:val="center"/>
          </w:tcPr>
          <w:p w14:paraId="358017D2">
            <w:pPr>
              <w:widowControl/>
              <w:jc w:val="center"/>
              <w:textAlignment w:val="center"/>
              <w:rPr>
                <w:rFonts w:hint="eastAsia" w:ascii="仿宋" w:hAnsi="仿宋" w:eastAsia="仿宋" w:cs="仿宋"/>
                <w:color w:val="auto"/>
                <w:sz w:val="24"/>
                <w:szCs w:val="24"/>
                <w:highlight w:val="none"/>
              </w:rPr>
            </w:pPr>
          </w:p>
        </w:tc>
        <w:tc>
          <w:tcPr>
            <w:tcW w:w="602" w:type="pct"/>
            <w:vMerge w:val="continue"/>
            <w:noWrap w:val="0"/>
            <w:vAlign w:val="center"/>
          </w:tcPr>
          <w:p w14:paraId="75DA50F2">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noWrap w:val="0"/>
            <w:vAlign w:val="center"/>
          </w:tcPr>
          <w:p w14:paraId="73D30F2C">
            <w:pPr>
              <w:widowControl/>
              <w:jc w:val="center"/>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配送方案(9分）</w:t>
            </w:r>
          </w:p>
        </w:tc>
        <w:tc>
          <w:tcPr>
            <w:tcW w:w="3469" w:type="pct"/>
            <w:noWrap w:val="0"/>
            <w:vAlign w:val="center"/>
          </w:tcPr>
          <w:p w14:paraId="5353DF22">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供应商针对本项目提供配送方案，方案包括但不限于：①配送方式；②人员及车辆的安排；③配送的时效及配送防护。方案完全满足要求且完整的得9分，以上内容每出现一项缺失扣3分，</w:t>
            </w:r>
            <w:r>
              <w:rPr>
                <w:rFonts w:hint="eastAsia" w:ascii="仿宋" w:hAnsi="仿宋" w:eastAsia="仿宋" w:cs="仿宋"/>
                <w:color w:val="auto"/>
                <w:sz w:val="24"/>
                <w:szCs w:val="24"/>
                <w:highlight w:val="none"/>
                <w:lang w:val="en-US" w:eastAsia="zh-CN"/>
              </w:rPr>
              <w:t>每有一项表述混乱或不完善的扣</w:t>
            </w:r>
            <w:r>
              <w:rPr>
                <w:rFonts w:hint="eastAsia" w:ascii="仿宋" w:hAnsi="仿宋" w:eastAsia="仿宋" w:cs="仿宋"/>
                <w:color w:val="auto"/>
                <w:kern w:val="2"/>
                <w:sz w:val="24"/>
                <w:szCs w:val="24"/>
                <w:highlight w:val="none"/>
                <w:lang w:val="en-US" w:eastAsia="zh-CN" w:bidi="ar-SA"/>
              </w:rPr>
              <w:t>1.5分，本项分值扣完为止。未提供不得分。</w:t>
            </w:r>
          </w:p>
          <w:p w14:paraId="248580A8">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36A4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37" w:type="pct"/>
            <w:noWrap w:val="0"/>
            <w:vAlign w:val="center"/>
          </w:tcPr>
          <w:p w14:paraId="23320BF8">
            <w:pPr>
              <w:widowControl/>
              <w:jc w:val="center"/>
              <w:textAlignment w:val="center"/>
              <w:rPr>
                <w:rFonts w:hint="eastAsia" w:ascii="仿宋" w:hAnsi="仿宋" w:eastAsia="仿宋" w:cs="仿宋"/>
                <w:color w:val="auto"/>
                <w:sz w:val="24"/>
                <w:szCs w:val="24"/>
                <w:highlight w:val="none"/>
              </w:rPr>
            </w:pPr>
          </w:p>
        </w:tc>
        <w:tc>
          <w:tcPr>
            <w:tcW w:w="602" w:type="pct"/>
            <w:vMerge w:val="continue"/>
            <w:noWrap w:val="0"/>
            <w:vAlign w:val="center"/>
          </w:tcPr>
          <w:p w14:paraId="2352B804">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noWrap w:val="0"/>
            <w:vAlign w:val="center"/>
          </w:tcPr>
          <w:p w14:paraId="3EA72DFF">
            <w:pPr>
              <w:widowControl/>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应急预案（8分）</w:t>
            </w:r>
          </w:p>
        </w:tc>
        <w:tc>
          <w:tcPr>
            <w:tcW w:w="3469" w:type="pct"/>
            <w:noWrap w:val="0"/>
            <w:vAlign w:val="center"/>
          </w:tcPr>
          <w:p w14:paraId="373CC808">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供应商针对本项目提供相应的应急预案，方案包括但不限于:①食品卫生安全应急保障措施；②食物中毒应急措施；③服务对象意外事故应急保障措施；④紧急情况应急措施等。方案完全满足要求且完整的得 8 分，以上内容每出现一项缺失扣2分，</w:t>
            </w:r>
            <w:r>
              <w:rPr>
                <w:rFonts w:hint="eastAsia" w:ascii="仿宋" w:hAnsi="仿宋" w:eastAsia="仿宋" w:cs="仿宋"/>
                <w:color w:val="auto"/>
                <w:sz w:val="24"/>
                <w:szCs w:val="24"/>
                <w:highlight w:val="none"/>
                <w:lang w:val="en-US" w:eastAsia="zh-CN"/>
              </w:rPr>
              <w:t>每有一项表述混乱或不完善的扣</w:t>
            </w:r>
            <w:r>
              <w:rPr>
                <w:rFonts w:hint="eastAsia" w:ascii="仿宋" w:hAnsi="仿宋" w:eastAsia="仿宋" w:cs="仿宋"/>
                <w:color w:val="auto"/>
                <w:kern w:val="2"/>
                <w:sz w:val="24"/>
                <w:szCs w:val="24"/>
                <w:highlight w:val="none"/>
                <w:lang w:val="en-US" w:eastAsia="zh-CN" w:bidi="ar-SA"/>
              </w:rPr>
              <w:t>1分，本项分值扣完为止。未提供不得分。</w:t>
            </w:r>
          </w:p>
          <w:p w14:paraId="252D3114">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bl>
    <w:p w14:paraId="4912A6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b/>
          <w:bCs/>
          <w:color w:val="0000FF"/>
          <w:sz w:val="24"/>
          <w:szCs w:val="24"/>
          <w:highlight w:val="none"/>
          <w:lang w:val="en-US" w:eastAsia="zh-CN"/>
        </w:rPr>
      </w:pPr>
      <w:r>
        <w:rPr>
          <w:rFonts w:hint="eastAsia" w:ascii="仿宋" w:hAnsi="仿宋" w:eastAsia="仿宋" w:cs="仿宋"/>
          <w:b/>
          <w:bCs/>
          <w:sz w:val="44"/>
          <w:szCs w:val="44"/>
          <w:highlight w:val="none"/>
        </w:rPr>
        <w:br w:type="page"/>
      </w:r>
    </w:p>
    <w:p w14:paraId="0381FCE6">
      <w:pPr>
        <w:keepNext w:val="0"/>
        <w:keepLines w:val="0"/>
        <w:pageBreakBefore w:val="0"/>
        <w:widowControl w:val="0"/>
        <w:kinsoku/>
        <w:wordWrap/>
        <w:overflowPunct/>
        <w:topLinePunct w:val="0"/>
        <w:autoSpaceDE/>
        <w:autoSpaceDN/>
        <w:bidi w:val="0"/>
        <w:adjustRightInd/>
        <w:snapToGrid/>
        <w:spacing w:line="400" w:lineRule="exact"/>
        <w:ind w:firstLine="241" w:firstLineChars="100"/>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11.</w:t>
      </w:r>
      <w:r>
        <w:rPr>
          <w:rFonts w:hint="default" w:ascii="宋体" w:hAnsi="宋体" w:eastAsia="宋体" w:cs="宋体"/>
          <w:b/>
          <w:bCs/>
          <w:color w:val="auto"/>
          <w:sz w:val="24"/>
          <w:szCs w:val="24"/>
          <w:highlight w:val="none"/>
          <w:lang w:val="en-US" w:eastAsia="zh-CN"/>
        </w:rPr>
        <w:t>备注 :</w:t>
      </w:r>
    </w:p>
    <w:p w14:paraId="5D48FF75">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11.1</w:t>
      </w:r>
      <w:r>
        <w:rPr>
          <w:rFonts w:hint="eastAsia" w:ascii="宋体" w:hAnsi="宋体" w:eastAsia="宋体" w:cs="宋体"/>
          <w:b w:val="0"/>
          <w:bCs w:val="0"/>
          <w:color w:val="auto"/>
          <w:sz w:val="24"/>
          <w:szCs w:val="24"/>
          <w:highlight w:val="none"/>
          <w:lang w:val="en-US" w:eastAsia="zh-CN"/>
        </w:rPr>
        <w:t>、根据《政府采购服务和服务招投标管理办法》第87号令第六十条：评标委员会认为投标人的报价明显低于其他通过符合性审查投标人的报价，有可能影响产品质量</w:t>
      </w:r>
      <w:r>
        <w:rPr>
          <w:rFonts w:hint="eastAsia" w:ascii="宋体" w:hAnsi="宋体" w:eastAsia="宋体" w:cs="宋体"/>
          <w:b w:val="0"/>
          <w:bCs w:val="0"/>
          <w:sz w:val="24"/>
          <w:szCs w:val="24"/>
          <w:highlight w:val="none"/>
          <w:lang w:val="en-US" w:eastAsia="zh-CN"/>
        </w:rPr>
        <w:t>或者不能诚信履约的，应当要求其在评标现场合理的时间内提供书面说明，必要时提交相关证明材料；投标人不能证明其报价合理性的，评标委员会应当将其作为无效投标处理。</w:t>
      </w:r>
    </w:p>
    <w:p w14:paraId="12BA9BD2">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11.2</w:t>
      </w:r>
      <w:r>
        <w:rPr>
          <w:rFonts w:hint="eastAsia" w:ascii="宋体" w:hAnsi="宋体" w:eastAsia="宋体" w:cs="宋体"/>
          <w:b w:val="0"/>
          <w:bCs w:val="0"/>
          <w:sz w:val="24"/>
          <w:szCs w:val="24"/>
          <w:highlight w:val="none"/>
          <w:lang w:val="en-US" w:eastAsia="zh-CN"/>
        </w:rPr>
        <w:t>导致其被取消中标资格。</w:t>
      </w:r>
    </w:p>
    <w:p w14:paraId="3F5E74E5">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11.3</w:t>
      </w:r>
      <w:r>
        <w:rPr>
          <w:rFonts w:hint="eastAsia" w:ascii="宋体" w:hAnsi="宋体" w:eastAsia="宋体" w:cs="宋体"/>
          <w:b w:val="0"/>
          <w:bCs w:val="0"/>
          <w:sz w:val="24"/>
          <w:szCs w:val="24"/>
          <w:highlight w:val="none"/>
          <w:lang w:val="en-US" w:eastAsia="zh-CN"/>
        </w:rPr>
        <w:t>与招标文件有重大偏离的投标文件将被拒绝。</w:t>
      </w:r>
    </w:p>
    <w:p w14:paraId="39223FB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附：对于商务部分（投标报价）的评分，按以下方法进行：价格分统一采用低价优先法计算，即满足竞争性磋商文件要求且评标价格最低的报价为评标基准价，其价格分为满分。其他投标人的价格分统一按照下列公式计算：投标报价得分=（基准价/投标报价）×</w:t>
      </w:r>
      <w:r>
        <w:rPr>
          <w:rFonts w:hint="eastAsia" w:ascii="宋体" w:hAnsi="宋体" w:cs="宋体"/>
          <w:b w:val="0"/>
          <w:bCs w:val="0"/>
          <w:sz w:val="24"/>
          <w:szCs w:val="24"/>
          <w:highlight w:val="none"/>
          <w:lang w:val="en-US" w:eastAsia="zh-CN"/>
        </w:rPr>
        <w:t>20</w:t>
      </w:r>
    </w:p>
    <w:p w14:paraId="374B1B1A">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11.4</w:t>
      </w:r>
      <w:r>
        <w:rPr>
          <w:rFonts w:hint="eastAsia" w:ascii="宋体" w:hAnsi="宋体" w:eastAsia="宋体" w:cs="宋体"/>
          <w:b w:val="0"/>
          <w:bCs w:val="0"/>
          <w:sz w:val="24"/>
          <w:szCs w:val="24"/>
          <w:highlight w:val="none"/>
          <w:lang w:val="en-US" w:eastAsia="zh-CN"/>
        </w:rPr>
        <w:t>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中标候选人。</w:t>
      </w:r>
    </w:p>
    <w:p w14:paraId="1D0EB584">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11.5</w:t>
      </w:r>
      <w:r>
        <w:rPr>
          <w:rFonts w:hint="eastAsia" w:ascii="宋体" w:hAnsi="宋体" w:eastAsia="宋体" w:cs="宋体"/>
          <w:b w:val="0"/>
          <w:bCs w:val="0"/>
          <w:sz w:val="24"/>
          <w:szCs w:val="24"/>
          <w:highlight w:val="none"/>
          <w:lang w:val="en-US" w:eastAsia="zh-CN"/>
        </w:rPr>
        <w:t>最低报价不作为评标的唯一依据。采购人不承诺将合同授予报价最低的投标人。</w:t>
      </w:r>
    </w:p>
    <w:p w14:paraId="45FF1F93">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11.6</w:t>
      </w:r>
      <w:r>
        <w:rPr>
          <w:rFonts w:hint="eastAsia" w:ascii="宋体" w:hAnsi="宋体" w:eastAsia="宋体" w:cs="宋体"/>
          <w:b w:val="0"/>
          <w:bCs w:val="0"/>
          <w:sz w:val="24"/>
          <w:szCs w:val="24"/>
          <w:highlight w:val="none"/>
          <w:lang w:val="en-US" w:eastAsia="zh-CN"/>
        </w:rPr>
        <w:t>经评标委员会评议，认为投标报价过高、超出采购人预算的项目，可以不确立中标候选人，</w:t>
      </w:r>
      <w:r>
        <w:rPr>
          <w:rFonts w:hint="eastAsia" w:ascii="宋体" w:hAnsi="宋体" w:cs="宋体"/>
          <w:b w:val="0"/>
          <w:bCs w:val="0"/>
          <w:sz w:val="24"/>
          <w:szCs w:val="24"/>
          <w:highlight w:val="none"/>
          <w:lang w:val="en-US" w:eastAsia="zh-CN"/>
        </w:rPr>
        <w:t>作为</w:t>
      </w:r>
      <w:r>
        <w:rPr>
          <w:rFonts w:hint="eastAsia" w:ascii="宋体" w:hAnsi="宋体" w:eastAsia="宋体" w:cs="宋体"/>
          <w:b w:val="0"/>
          <w:bCs w:val="0"/>
          <w:sz w:val="24"/>
          <w:szCs w:val="24"/>
          <w:highlight w:val="none"/>
          <w:lang w:val="en-US" w:eastAsia="zh-CN"/>
        </w:rPr>
        <w:t>废标处理。</w:t>
      </w:r>
    </w:p>
    <w:p w14:paraId="204C552B">
      <w:pPr>
        <w:keepNext w:val="0"/>
        <w:keepLines w:val="0"/>
        <w:pageBreakBefore w:val="0"/>
        <w:widowControl w:val="0"/>
        <w:kinsoku/>
        <w:wordWrap/>
        <w:overflowPunct/>
        <w:topLinePunct w:val="0"/>
        <w:autoSpaceDE/>
        <w:autoSpaceDN/>
        <w:bidi w:val="0"/>
        <w:adjustRightInd/>
        <w:snapToGrid/>
        <w:spacing w:line="400" w:lineRule="exact"/>
        <w:ind w:firstLine="241" w:firstLineChars="100"/>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12.无效投标条款</w:t>
      </w:r>
    </w:p>
    <w:p w14:paraId="5D333F90">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12.1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有下列情形之一的,其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拒收 :</w:t>
      </w:r>
    </w:p>
    <w:p w14:paraId="41A55EDE">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（1）未在开标截止时间前通过网上招标投标系统递交有效电子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的，开标系统不予接收。</w:t>
      </w:r>
    </w:p>
    <w:p w14:paraId="1FAC524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（2）所有投标人应在规定时间里完成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的解密工作【投标人使用其有效加密锁（CA 锁）进行解密（因投标人原因未能提供有效 CA 锁对其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进行解密的，其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 以网上招投标系统解密倒计时为准】，因系统原因未能成功解密的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，可导入备份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也无法导入的，则</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被否决。</w:t>
      </w:r>
    </w:p>
    <w:p w14:paraId="6C9B50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12.2 投标人有下列情形之一的,资格审查后其投标作无效投标处理：</w:t>
      </w:r>
    </w:p>
    <w:p w14:paraId="0A293DE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)投标人为本项目提供招标代理服务的；</w:t>
      </w:r>
    </w:p>
    <w:p w14:paraId="333BECB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)投标人与在本项目代理机构存在相互任职或工作的；</w:t>
      </w:r>
    </w:p>
    <w:p w14:paraId="7FA1EC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)投标保证金未按规定要求缴纳的；</w:t>
      </w:r>
    </w:p>
    <w:p w14:paraId="4B8D6EC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)评标专家无法查看并检验电子标书中相关资料的；</w:t>
      </w:r>
    </w:p>
    <w:p w14:paraId="29BB0F8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)联合体投标未提交联合体协议的；</w:t>
      </w:r>
    </w:p>
    <w:p w14:paraId="0A1C59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6</w:t>
      </w:r>
      <w:r>
        <w:rPr>
          <w:rFonts w:hint="default" w:ascii="宋体" w:hAnsi="宋体" w:eastAsia="宋体" w:cs="宋体"/>
          <w:b w:val="0"/>
          <w:bCs w:val="0"/>
          <w:sz w:val="24"/>
          <w:szCs w:val="24"/>
          <w:highlight w:val="none"/>
          <w:lang w:val="en-US" w:eastAsia="zh-CN"/>
        </w:rPr>
        <w:t>)被暂停营业的；</w:t>
      </w:r>
    </w:p>
    <w:p w14:paraId="71060B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)被暂停或取消投标资格的；</w:t>
      </w:r>
    </w:p>
    <w:p w14:paraId="74E1D4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8</w:t>
      </w:r>
      <w:r>
        <w:rPr>
          <w:rFonts w:hint="default" w:ascii="宋体" w:hAnsi="宋体" w:eastAsia="宋体" w:cs="宋体"/>
          <w:b w:val="0"/>
          <w:bCs w:val="0"/>
          <w:sz w:val="24"/>
          <w:szCs w:val="24"/>
          <w:highlight w:val="none"/>
          <w:lang w:val="en-US" w:eastAsia="zh-CN"/>
        </w:rPr>
        <w:t>)财产被接管或冻结的；</w:t>
      </w:r>
    </w:p>
    <w:p w14:paraId="78BA6F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9</w:t>
      </w:r>
      <w:r>
        <w:rPr>
          <w:rFonts w:hint="default" w:ascii="宋体" w:hAnsi="宋体" w:eastAsia="宋体" w:cs="宋体"/>
          <w:b w:val="0"/>
          <w:bCs w:val="0"/>
          <w:sz w:val="24"/>
          <w:szCs w:val="24"/>
          <w:highlight w:val="none"/>
          <w:lang w:val="en-US" w:eastAsia="zh-CN"/>
        </w:rPr>
        <w:t>)投标人单位负责人为同一人或者存在控股、管理关系的不同单位的；</w:t>
      </w:r>
    </w:p>
    <w:p w14:paraId="163FFE2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10</w:t>
      </w:r>
      <w:r>
        <w:rPr>
          <w:rFonts w:hint="default" w:ascii="宋体" w:hAnsi="宋体" w:eastAsia="宋体" w:cs="宋体"/>
          <w:b w:val="0"/>
          <w:bCs w:val="0"/>
          <w:sz w:val="24"/>
          <w:szCs w:val="24"/>
          <w:highlight w:val="none"/>
          <w:lang w:val="en-US" w:eastAsia="zh-CN"/>
        </w:rPr>
        <w:t>）投标人基本资格条件和特定资格条件中有一项及以上不符合要求的；</w:t>
      </w:r>
    </w:p>
    <w:p w14:paraId="4542DD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11</w:t>
      </w:r>
      <w:r>
        <w:rPr>
          <w:rFonts w:hint="default" w:ascii="宋体" w:hAnsi="宋体" w:eastAsia="宋体" w:cs="宋体"/>
          <w:b w:val="0"/>
          <w:bCs w:val="0"/>
          <w:sz w:val="24"/>
          <w:szCs w:val="24"/>
          <w:highlight w:val="none"/>
          <w:lang w:val="en-US" w:eastAsia="zh-CN"/>
        </w:rPr>
        <w:t>）投标人使用相同的 MAC 地址进行报名的；</w:t>
      </w:r>
    </w:p>
    <w:p w14:paraId="448360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）其它情形，经评标委员会委提出按无效投标处理，并经公共资源交易监督部门核准的；</w:t>
      </w:r>
    </w:p>
    <w:p w14:paraId="386B26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）投标人使用相同 IP 地址报名的，一经发现，监管部门将进一步核实，查实后按串通投标处理；</w:t>
      </w:r>
    </w:p>
    <w:p w14:paraId="15F61F6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2BE824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12.3 投标人有下列情形之一的,符合性审查后其投标按无效投标处理：</w:t>
      </w:r>
    </w:p>
    <w:p w14:paraId="18BFD75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签字、盖章不全，经评标委员会一致认定对开评标内容有实质性影响并经监督部门核准的；</w:t>
      </w:r>
    </w:p>
    <w:p w14:paraId="5EAFBC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(2)未按规定的格式填写，实质性内容不全或关键字迹模糊、无法辨认; 经监督部门核准的；</w:t>
      </w:r>
    </w:p>
    <w:p w14:paraId="58E9293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(3)同一投标人提交两个以上不同的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或者投标报价，但</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规定提交备选方案的除外；</w:t>
      </w:r>
    </w:p>
    <w:p w14:paraId="53C50B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没有对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的实质性要求和条件作出响应;</w:t>
      </w:r>
    </w:p>
    <w:p w14:paraId="5F3882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(5)投标报价超出规定的投标限价或公布的采购预算的</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否则，其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将按无效投标处理。</w:t>
      </w:r>
    </w:p>
    <w:p w14:paraId="1D636C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(6)不按评标委员会要求澄清、说明或补正的，或者评标委员会根据</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的规定对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的计算错误进行修正后，投标人不接受修正的投标报价的。</w:t>
      </w:r>
    </w:p>
    <w:p w14:paraId="2991DD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（7）其它情形，经评标委员会委提出按无效投标处理，并经公共资源交易监督部门核准的；</w:t>
      </w:r>
    </w:p>
    <w:p w14:paraId="449F56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（8）未按照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的规定提交投标保证金的；</w:t>
      </w:r>
    </w:p>
    <w:p w14:paraId="4D5E04F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含有采购人不能接受的附加条件的 ;</w:t>
      </w:r>
    </w:p>
    <w:p w14:paraId="787F201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0108BC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12.4 投标人有下列情形之一的, 详细评审后其投标按无效投标处理：</w:t>
      </w:r>
    </w:p>
    <w:p w14:paraId="0B692E8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（1）投标产品不符合必须强制执行的国家标准的；</w:t>
      </w:r>
    </w:p>
    <w:p w14:paraId="69E628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（2）投标人有串通投标、弄虚作假、行贿等违法行为；</w:t>
      </w:r>
    </w:p>
    <w:p w14:paraId="1DD460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含有违反国家法律、法规的内容，或附有</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不能接受的条件的；</w:t>
      </w:r>
    </w:p>
    <w:p w14:paraId="3D37910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（4）在同一项目（或同一标段）中有多个投标人有效投标报价接近最高限价，且评标委员会认为报价 出现异常的，可以宣布其投标无效；</w:t>
      </w:r>
    </w:p>
    <w:p w14:paraId="2555B63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（5）报价明显低于其他投标人，且不能证明报价合理性的投标无效；</w:t>
      </w:r>
    </w:p>
    <w:p w14:paraId="4E8BF5D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（6）拒不确认评标委员会评审修正的投标无效；</w:t>
      </w:r>
    </w:p>
    <w:p w14:paraId="37E6B3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（7）其它情形，经评标委员会委提出按无效投标处理，并经公共资源交易监督部门核准的；</w:t>
      </w:r>
    </w:p>
    <w:p w14:paraId="424A51B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36"/>
          <w:szCs w:val="36"/>
          <w:highlight w:val="none"/>
          <w:lang w:val="en-US" w:eastAsia="zh-CN"/>
        </w:rPr>
      </w:pPr>
      <w:r>
        <w:rPr>
          <w:rFonts w:hint="default"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6C3F39A9">
      <w:pPr>
        <w:pStyle w:val="35"/>
        <w:ind w:left="0" w:leftChars="0" w:firstLine="0" w:firstLineChars="0"/>
        <w:rPr>
          <w:rFonts w:hint="eastAsia"/>
          <w:sz w:val="36"/>
          <w:szCs w:val="21"/>
          <w:lang w:val="en-US" w:eastAsia="zh-CN"/>
        </w:rPr>
      </w:pPr>
      <w:bookmarkStart w:id="46" w:name="_Toc16752"/>
    </w:p>
    <w:p w14:paraId="66D56ACC">
      <w:pPr>
        <w:rPr>
          <w:rFonts w:hint="eastAsia"/>
          <w:lang w:val="en-US" w:eastAsia="zh-CN"/>
        </w:rPr>
      </w:pPr>
    </w:p>
    <w:p w14:paraId="1D102E47">
      <w:pPr>
        <w:pStyle w:val="4"/>
        <w:bidi w:val="0"/>
        <w:ind w:firstLine="3253" w:firstLineChars="900"/>
        <w:jc w:val="both"/>
        <w:rPr>
          <w:rFonts w:hint="default"/>
          <w:lang w:val="en-US" w:eastAsia="zh-CN"/>
        </w:rPr>
      </w:pPr>
      <w:r>
        <w:rPr>
          <w:rFonts w:hint="eastAsia"/>
          <w:sz w:val="36"/>
          <w:szCs w:val="21"/>
          <w:lang w:val="en-US" w:eastAsia="zh-CN"/>
        </w:rPr>
        <w:t>第四章、采购需求</w:t>
      </w:r>
    </w:p>
    <w:p w14:paraId="07397485">
      <w:pPr>
        <w:rPr>
          <w:rFonts w:hint="default"/>
          <w:lang w:val="en-US" w:eastAsia="zh-CN"/>
        </w:rPr>
      </w:pPr>
    </w:p>
    <w:p w14:paraId="6A0C057A">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b/>
          <w:bCs/>
          <w:sz w:val="24"/>
          <w:szCs w:val="24"/>
          <w:lang w:val="en-US" w:eastAsia="zh-CN"/>
        </w:rPr>
        <w:t>一、项目名称</w:t>
      </w:r>
      <w:r>
        <w:rPr>
          <w:rFonts w:hint="eastAsia" w:ascii="方正仿宋_GB2312" w:hAnsi="方正仿宋_GB2312" w:eastAsia="方正仿宋_GB2312" w:cs="方正仿宋_GB2312"/>
          <w:sz w:val="24"/>
          <w:szCs w:val="24"/>
          <w:lang w:val="en-US" w:eastAsia="zh-CN"/>
        </w:rPr>
        <w:t>：阿图什市“金色晚霞”老年人助餐服务项目（二次）</w:t>
      </w:r>
    </w:p>
    <w:p w14:paraId="3F453D1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b/>
          <w:bCs/>
          <w:sz w:val="24"/>
          <w:szCs w:val="24"/>
          <w:lang w:val="en-US" w:eastAsia="zh-CN"/>
        </w:rPr>
        <w:t>二、服务期</w:t>
      </w:r>
      <w:r>
        <w:rPr>
          <w:rFonts w:hint="eastAsia" w:ascii="方正仿宋_GB2312" w:hAnsi="方正仿宋_GB2312" w:eastAsia="方正仿宋_GB2312" w:cs="方正仿宋_GB2312"/>
          <w:sz w:val="24"/>
          <w:szCs w:val="24"/>
          <w:lang w:val="en-US" w:eastAsia="zh-CN"/>
        </w:rPr>
        <w:t>：1年，具体以甲乙双方合同签订日期为准。</w:t>
      </w:r>
    </w:p>
    <w:p w14:paraId="6DB3992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b/>
          <w:bCs/>
          <w:sz w:val="24"/>
          <w:szCs w:val="24"/>
          <w:lang w:val="en-US" w:eastAsia="zh-CN"/>
        </w:rPr>
        <w:t>三、服务地点</w:t>
      </w:r>
      <w:r>
        <w:rPr>
          <w:rFonts w:hint="eastAsia" w:ascii="方正仿宋_GB2312" w:hAnsi="方正仿宋_GB2312" w:eastAsia="方正仿宋_GB2312" w:cs="方正仿宋_GB2312"/>
          <w:sz w:val="24"/>
          <w:szCs w:val="24"/>
          <w:lang w:val="en-US" w:eastAsia="zh-CN"/>
        </w:rPr>
        <w:t>：阿图什市各乡镇街道，具体以采购人指定的地点为准。</w:t>
      </w:r>
    </w:p>
    <w:p w14:paraId="720B4E6A">
      <w:pPr>
        <w:rPr>
          <w:rFonts w:hint="eastAsia"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lang w:val="en-US" w:eastAsia="zh-CN"/>
        </w:rPr>
        <w:t>四、采购内容</w:t>
      </w:r>
    </w:p>
    <w:p w14:paraId="180B9225">
      <w:pPr>
        <w:ind w:firstLine="480" w:firstLineChars="20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购买第三方服务，为全市特殊困难老人群体提供助餐服务，重点保障60周岁及以上高龄、独居、失能、空巢老年人，逐步向辖区其他老年人拓展。必须保障特困、低保、低保边缘等特殊困难老年人中高龄、独居、失能、空巢老年人助餐需求。</w:t>
      </w:r>
    </w:p>
    <w:p w14:paraId="2F4906A4">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1.原则上每日优先保障午餐，针对失能、高龄独居老人可按需增设早、晚餐。餐食遵循本地老年饮食特点，低盐少油、少辛辣、软烂易咀嚼，每餐保证荤素搭配、干稀搭配。</w:t>
      </w:r>
    </w:p>
    <w:p w14:paraId="6D29FE6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补贴标准:原则上享受助餐服务补贴的老年人，补贴按每人每天不超过7元的标准列支;提供助餐服务的项目承接主体，在服务过程中所产生的开具发票等中间服务费用，补贴按每人每天不超过1元的标准列支;有送餐服务需求的，补贴按每人每天不超过2元的标准列支。</w:t>
      </w:r>
    </w:p>
    <w:p w14:paraId="67F29B9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助餐点位确定:阿图什市各乡镇在社区老年助餐服务点、邻里互助点等老年助餐点中，科学合理确定区域内“金色晚霞”老年助餐示范点位，点位之间提供就餐服务互联互通，各服务点位不得限制服务对象人数，便于老年人自主就近选择助餐服务网点。</w:t>
      </w:r>
    </w:p>
    <w:p w14:paraId="18A9AB5E">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4.实行集中就餐+上门送餐双模式:身体状况良好的老年人到助餐点就餐;失能、半失能、独居行动不便老人，由供餐方使用保温餐箱上门送餐到户。</w:t>
      </w:r>
    </w:p>
    <w:p w14:paraId="2B4CE6C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5.第三方服务机构定期开展厨艺指导，结合老人反馈优化菜品，丰富老年餐食谱。</w:t>
      </w:r>
    </w:p>
    <w:p w14:paraId="60325220">
      <w:pPr>
        <w:numPr>
          <w:ilvl w:val="0"/>
          <w:numId w:val="5"/>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成交供应商在项目实施过程中必须接受和配合相关单位的监督、检查、审核和指导，同时负责编制、归档资料。供应商须按照采购人需要为采购人提供后续服务，对后续实施过程中涉及的问题给予配合，此后续服务费用包含在报价中</w:t>
      </w:r>
    </w:p>
    <w:p w14:paraId="4D37BFFF">
      <w:pPr>
        <w:numPr>
          <w:ilvl w:val="0"/>
          <w:numId w:val="5"/>
        </w:numPr>
        <w:ind w:left="0" w:leftChars="0" w:firstLine="0" w:firstLineChars="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成交供应商对助餐服务人员进行专业培训，提供热情周到的服务。定期收集老年人对助餐服务的意见和建议，持续改进服务流程和内容。</w:t>
      </w:r>
    </w:p>
    <w:p w14:paraId="6B6A3550">
      <w:pPr>
        <w:numPr>
          <w:ilvl w:val="0"/>
          <w:numId w:val="0"/>
        </w:numPr>
        <w:ind w:leftChars="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8.提供服务的第三方服务机构若具备餐饮加工及物流配送能力，可独立完成老年餐食制作(加工)、保温配送服务，需提供相关能力证明材料(如《食品经营许可证》、场地证明、厨房设备清单+设备照片、人员资质等)。若不具备餐饮加工能力，将与阿图什市“金色晚霞”老年助餐示范点位开展合作，依托示范点位完成助餐服务，本单位负责助餐对象动态管理、就餐、台账管理等全流程管理，签订正式合作协议(项目实施前须提供)，保障餐品质量与食品安全，本项目。</w:t>
      </w:r>
    </w:p>
    <w:p w14:paraId="52A5FBDF">
      <w:pPr>
        <w:numPr>
          <w:ilvl w:val="0"/>
          <w:numId w:val="0"/>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9.食品配送服务应做到以下几点:</w:t>
      </w:r>
    </w:p>
    <w:p w14:paraId="4B7F1521">
      <w:pPr>
        <w:numPr>
          <w:ilvl w:val="0"/>
          <w:numId w:val="6"/>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使用具有统一标识的送餐设施将食品送至助餐服务对象手中(2)送餐时应使用无毒、清洁的食品容器、餐具和包装材料，避免送餐人员直接接触食品，确保食品不受污染;禁止重复使用一次性餐具。(3)送餐时核对助餐服务对象的姓名、菜品及数量，确定无误后签收，服务时礼貌、周到、细致。(4)提供服务的供应商保证加工现场、室内外环境卫生必须符合有关创卫要求和餐饮业卫生要求。就餐场所卫生应符合《餐饮服务通用卫生规范》GB31654-2021等国家现行法律法规的相关要求。提供服务的供应商保证采购、制作、销售的食品质量要求符合国家的卫生、安全标准，食品验收验发有记录，不使用“三无”和过期变质食品，每餐菜肴按要求留样;无条件随时接受政府行政管理部门的监管和采购人对食品原材料采购和贮存、原材料采购登记台账和索证索票、食品加工和销售、食品留样、餐具消毒、饭菜质量、菜肴品种、服务规范等方面的监督检查。</w:t>
      </w:r>
    </w:p>
    <w:p w14:paraId="702E6A22">
      <w:pPr>
        <w:numPr>
          <w:ilvl w:val="0"/>
          <w:numId w:val="0"/>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10.加工食品原材料的采购:1应当到正规市场购买加工食品原材料，确保食品原材料来源的可追溯性。不宜外购熟食制品。2食品质量应当把关，确保选购新鲜、优质食材。3应当建立并落实食品、食品添加剂及食品相关产品采购索证索票、进货查验和采购验收制度，由食品安全管理员负责台账记录和保管工作，保障食品安全。</w:t>
      </w:r>
    </w:p>
    <w:p w14:paraId="61BD74CB">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11.食品加工:</w:t>
      </w:r>
    </w:p>
    <w:p w14:paraId="5F2930A5">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1加工操作过程应符合《餐饮服务食品安全操作规范》的要求;</w:t>
      </w:r>
    </w:p>
    <w:p w14:paraId="33B27B68">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2食品加工过程应做到生熟分开，烧熟煮透，依法使用食品添加剂。</w:t>
      </w:r>
    </w:p>
    <w:p w14:paraId="1BD1AD8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12.食品留样:</w:t>
      </w:r>
    </w:p>
    <w:p w14:paraId="0C75F0A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1每餐、每种菜品留样不少于125克，放入已消毒的专用留样容器中，以免被污</w:t>
      </w:r>
    </w:p>
    <w:p w14:paraId="2338380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2留样食品必须放入专用留样冰箱内，在5°C左右的冷藏条件下存放不少于48</w:t>
      </w:r>
    </w:p>
    <w:p w14:paraId="2D0C597E">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小时;</w:t>
      </w:r>
    </w:p>
    <w:p w14:paraId="5C4CBE7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3留样冰箱内严禁存放非留样食品</w:t>
      </w:r>
    </w:p>
    <w:p w14:paraId="622D411D">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4明确留样要求;管理人员做好留样记录。</w:t>
      </w:r>
    </w:p>
    <w:p w14:paraId="64BC53B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是供服务的供应商应根据就餐人员的需要和季节变化，经常调剂菜品种、花样，饭菜应酥软、清淡，菜成品达到色、香、味、形俱全的标准，营养丰富，适合老年人不同口味的需要。能够根据助餐服务对象意愿和需要为助餐服务对象制定个性化食谱。食品加工符合操作规程，不断提高烹饪技术。禁止向老人售卖隔夜食</w:t>
      </w:r>
    </w:p>
    <w:p w14:paraId="0E3319E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13.食品安全:</w:t>
      </w:r>
    </w:p>
    <w:p w14:paraId="724AF9C8">
      <w:pPr>
        <w:rPr>
          <w:rFonts w:hint="eastAsia" w:ascii="方正仿宋_GB2312" w:hAnsi="方正仿宋_GB2312" w:eastAsia="方正仿宋_GB2312" w:cs="方正仿宋_GB2312"/>
          <w:sz w:val="24"/>
          <w:szCs w:val="24"/>
          <w:lang w:val="en-US" w:eastAsia="zh-CN"/>
        </w:rPr>
      </w:pPr>
    </w:p>
    <w:p w14:paraId="209BEE1A">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(1)食品加工前清洗、削皮、褪毛干净，及时处理有腐烂、变质、异味等食物;</w:t>
      </w:r>
    </w:p>
    <w:p w14:paraId="5B6342A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(2)厨房的陈列合理、清洁卫生、餐具消毒设施达标、消防器材按规定摆放;</w:t>
      </w:r>
    </w:p>
    <w:p w14:paraId="4085487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(3)按时定量做好食品留样;(4)经检测无农药、兽药、致病性微生物残留等检测报告留存情况。</w:t>
      </w:r>
    </w:p>
    <w:p w14:paraId="7D4660C0">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14.安全操作:</w:t>
      </w:r>
    </w:p>
    <w:p w14:paraId="12B37D6B">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(1)遵守规章制度及餐饮从业人员操作流程;</w:t>
      </w:r>
    </w:p>
    <w:p w14:paraId="0DAEAA8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(2)按要求做好各类台账资料记录归档;</w:t>
      </w:r>
    </w:p>
    <w:p w14:paraId="67B11A3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(3)定期对厨房员工进行培训，增强安全意识。</w:t>
      </w:r>
    </w:p>
    <w:p w14:paraId="0840FF85">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15.菜品出品:</w:t>
      </w:r>
    </w:p>
    <w:p w14:paraId="6F156DF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(1)每周提前制定菜肴菜系、营养搭配等，注重菜品的色、香、味;</w:t>
      </w:r>
    </w:p>
    <w:p w14:paraId="1970578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(2)按质按量按时烹制菜品，保证厨房菜品出品的质量及速度;</w:t>
      </w:r>
    </w:p>
    <w:p w14:paraId="3438625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(3)增强改善、更新菜品种类的意识。</w:t>
      </w:r>
    </w:p>
    <w:p w14:paraId="639A6BA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16.餐食配送:</w:t>
      </w:r>
    </w:p>
    <w:p w14:paraId="17F9D4F4">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(1)餐具外表整洁，保持清爽干净;</w:t>
      </w:r>
    </w:p>
    <w:p w14:paraId="403BC4A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(2)准时开餐，按时按量送达每个站点;</w:t>
      </w:r>
    </w:p>
    <w:p w14:paraId="31825F1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(3)配送过程中须配备保温箱，包装须完好无洒漏现象，保证餐食温度。</w:t>
      </w:r>
    </w:p>
    <w:p w14:paraId="18265FA8">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17.餐饮人员管理:</w:t>
      </w:r>
    </w:p>
    <w:p w14:paraId="5E27ECFC">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(1)从业人员持健康证上岗;</w:t>
      </w:r>
    </w:p>
    <w:p w14:paraId="4074056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(2)进入厨房作业区必须着工作服戴工作帽，工作服饰保持整洁干净;</w:t>
      </w:r>
    </w:p>
    <w:p w14:paraId="692232AA">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(3)在岗期间做好个人卫生，不留长指甲，不佩戴首饰。</w:t>
      </w:r>
    </w:p>
    <w:p w14:paraId="23870D6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注1:集中就餐人数达到10人以上的邻居互助助餐点、中心食堂需符合防疫、消</w:t>
      </w:r>
    </w:p>
    <w:p w14:paraId="69499D97">
      <w:pPr>
        <w:rPr>
          <w:rFonts w:hint="eastAsia" w:ascii="方正仿宋_GB2312" w:hAnsi="方正仿宋_GB2312" w:eastAsia="方正仿宋_GB2312" w:cs="方正仿宋_GB2312"/>
          <w:sz w:val="24"/>
          <w:szCs w:val="24"/>
          <w:lang w:val="en-US" w:eastAsia="zh-CN"/>
        </w:rPr>
      </w:pPr>
    </w:p>
    <w:p w14:paraId="4995555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防安全等要求。</w:t>
      </w:r>
    </w:p>
    <w:p w14:paraId="16D557F5">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注2:本项目服务开展严格遵循新民发〔2026]72号文件相关要求，规范实施“金色晚霞”老年助餐服务。本方案自2026年8月1日起实施。2026年1月1日起至本方案实施之日新旧政策衔接期间，所开展的老年助餐服务项目按原政策执行，助餐服务补贴可用当年“金色晚霞”老年人助餐服务项目资金支持。</w:t>
      </w:r>
    </w:p>
    <w:p w14:paraId="6FA5473A">
      <w:pPr>
        <w:rPr>
          <w:rFonts w:hint="default"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lang w:val="en-US" w:eastAsia="zh-CN"/>
        </w:rPr>
        <w:t xml:space="preserve">五、服务要求 </w:t>
      </w:r>
    </w:p>
    <w:p w14:paraId="534F4FCF">
      <w:pPr>
        <w:ind w:firstLine="480" w:firstLineChars="20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本项目主要为符合服务对象范围的老年人提供助餐类服务补贴，补贴范围包含助餐服务补贴、第三方机构服务补贴、送餐服务补贴等，所有补贴严格按照既定标准执行，服务及补贴核算持续执行至本项目合同总金额使用完毕为止。具体补贴标准如下:</w:t>
      </w:r>
    </w:p>
    <w:p w14:paraId="0F4C4D8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1、老年人助餐服务补贴:原则上，享受助餐服务补贴的老年人，补贴按每人每天7元的标准列支;</w:t>
      </w:r>
    </w:p>
    <w:p w14:paraId="778ABB9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2、第三方机构服务补贴:为项目提供助餐服务的承接主体，服务过程中产生的发票开具等各类中间服务费用，按每人每天不超过1元的标准列支补贴;</w:t>
      </w:r>
    </w:p>
    <w:p w14:paraId="31723E26">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3、送餐服务补贴:针对有上门送餐服务需求的服务对象，送餐服务按每人每天2元的标准列支补贴</w:t>
      </w:r>
    </w:p>
    <w:p w14:paraId="52B35CCD">
      <w:pPr>
        <w:ind w:firstLine="480" w:firstLineChars="200"/>
        <w:rPr>
          <w:rFonts w:hint="default"/>
          <w:lang w:val="en-US" w:eastAsia="zh-CN"/>
        </w:rPr>
      </w:pPr>
      <w:r>
        <w:rPr>
          <w:rFonts w:hint="eastAsia" w:ascii="方正仿宋_GB2312" w:hAnsi="方正仿宋_GB2312" w:eastAsia="方正仿宋_GB2312" w:cs="方正仿宋_GB2312"/>
          <w:sz w:val="24"/>
          <w:szCs w:val="24"/>
          <w:lang w:val="en-US" w:eastAsia="zh-CN"/>
        </w:rPr>
        <w:t xml:space="preserve">本项目各项补贴根据实际服务人数、实际服务场景据实核算、分项列支，累计服务人数最低保障165人，全程按照本文件规定的补贴标准提供服务、结算补贴，直至项目合同金额全部使用完毕，合同服务事宜终止。  </w:t>
      </w:r>
    </w:p>
    <w:p w14:paraId="036170B1">
      <w:pPr>
        <w:pStyle w:val="4"/>
        <w:bidi w:val="0"/>
        <w:ind w:firstLine="1767" w:firstLineChars="400"/>
        <w:jc w:val="both"/>
        <w:rPr>
          <w:rFonts w:hint="eastAsia"/>
          <w:lang w:val="en-US" w:eastAsia="zh-CN"/>
        </w:rPr>
      </w:pPr>
    </w:p>
    <w:p w14:paraId="2DBB4257">
      <w:pPr>
        <w:pStyle w:val="4"/>
        <w:bidi w:val="0"/>
        <w:ind w:firstLine="1767" w:firstLineChars="400"/>
        <w:jc w:val="both"/>
        <w:rPr>
          <w:rFonts w:hint="eastAsia"/>
          <w:lang w:val="en-US" w:eastAsia="zh-CN"/>
        </w:rPr>
      </w:pPr>
    </w:p>
    <w:p w14:paraId="38B38D6F">
      <w:pPr>
        <w:pStyle w:val="4"/>
        <w:bidi w:val="0"/>
        <w:ind w:firstLine="1767" w:firstLineChars="400"/>
        <w:jc w:val="both"/>
        <w:rPr>
          <w:rFonts w:hint="eastAsia"/>
          <w:lang w:val="en-US" w:eastAsia="zh-CN"/>
        </w:rPr>
      </w:pPr>
    </w:p>
    <w:p w14:paraId="5FC0C275">
      <w:pPr>
        <w:rPr>
          <w:rFonts w:hint="eastAsia"/>
          <w:lang w:val="en-US" w:eastAsia="zh-CN"/>
        </w:rPr>
      </w:pPr>
    </w:p>
    <w:p w14:paraId="166DBC4A">
      <w:pPr>
        <w:pStyle w:val="2"/>
        <w:rPr>
          <w:rFonts w:hint="eastAsia"/>
          <w:lang w:val="en-US" w:eastAsia="zh-CN"/>
        </w:rPr>
      </w:pPr>
    </w:p>
    <w:p w14:paraId="77199B31">
      <w:pPr>
        <w:pStyle w:val="3"/>
        <w:rPr>
          <w:rFonts w:hint="eastAsia"/>
          <w:lang w:val="en-US" w:eastAsia="zh-CN"/>
        </w:rPr>
      </w:pPr>
    </w:p>
    <w:p w14:paraId="56709E89">
      <w:pPr>
        <w:pStyle w:val="4"/>
        <w:bidi w:val="0"/>
        <w:ind w:firstLine="1767" w:firstLineChars="400"/>
        <w:jc w:val="both"/>
        <w:rPr>
          <w:rFonts w:hint="eastAsia"/>
          <w:lang w:val="en-US" w:eastAsia="zh-CN"/>
        </w:rPr>
      </w:pPr>
    </w:p>
    <w:p w14:paraId="4AC1549C">
      <w:pPr>
        <w:pStyle w:val="4"/>
        <w:bidi w:val="0"/>
        <w:ind w:firstLine="1767" w:firstLineChars="400"/>
        <w:jc w:val="both"/>
        <w:rPr>
          <w:rFonts w:hint="eastAsia" w:ascii="宋体" w:hAnsi="宋体" w:eastAsia="宋体" w:cs="宋体"/>
          <w:color w:val="auto"/>
          <w:lang w:eastAsia="zh-CN"/>
        </w:rPr>
      </w:pPr>
      <w:r>
        <w:rPr>
          <w:rFonts w:hint="eastAsia"/>
          <w:lang w:val="en-US" w:eastAsia="zh-CN"/>
        </w:rPr>
        <w:t>第五章 合同条款及格式</w:t>
      </w:r>
      <w:bookmarkEnd w:id="46"/>
    </w:p>
    <w:p w14:paraId="49D37DBB">
      <w:pPr>
        <w:pStyle w:val="2"/>
        <w:spacing w:line="256" w:lineRule="auto"/>
        <w:ind w:firstLine="420"/>
        <w:rPr>
          <w:rFonts w:hint="eastAsia" w:ascii="宋体" w:hAnsi="宋体" w:eastAsia="宋体" w:cs="宋体"/>
          <w:color w:val="auto"/>
          <w:lang w:eastAsia="zh-CN"/>
        </w:rPr>
      </w:pPr>
    </w:p>
    <w:p w14:paraId="258C072A">
      <w:pPr>
        <w:widowControl w:val="0"/>
        <w:jc w:val="center"/>
        <w:rPr>
          <w:rFonts w:hint="eastAsia" w:ascii="Calibri" w:hAnsi="Calibri" w:eastAsia="宋体" w:cs="宋体"/>
          <w:kern w:val="2"/>
          <w:sz w:val="22"/>
          <w:szCs w:val="28"/>
          <w:lang w:val="en-US" w:eastAsia="zh-CN" w:bidi="ar-SA"/>
        </w:rPr>
      </w:pPr>
      <w:r>
        <w:rPr>
          <w:rFonts w:hint="eastAsia" w:cs="宋体"/>
          <w:kern w:val="2"/>
          <w:sz w:val="24"/>
          <w:szCs w:val="32"/>
          <w:lang w:val="en-US" w:eastAsia="zh-CN" w:bidi="ar-SA"/>
        </w:rPr>
        <w:t>阿图什市“金色晚霞”老年人助餐服务项目（二次）</w:t>
      </w:r>
      <w:r>
        <w:rPr>
          <w:rFonts w:hint="eastAsia" w:ascii="Calibri" w:hAnsi="Calibri" w:eastAsia="宋体" w:cs="宋体"/>
          <w:kern w:val="2"/>
          <w:sz w:val="24"/>
          <w:szCs w:val="32"/>
          <w:lang w:val="en-US" w:eastAsia="zh-CN" w:bidi="ar-SA"/>
        </w:rPr>
        <w:t>（示范文本）</w:t>
      </w:r>
    </w:p>
    <w:p w14:paraId="168C88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kern w:val="2"/>
          <w:sz w:val="28"/>
          <w:szCs w:val="28"/>
          <w:highlight w:val="none"/>
          <w:lang w:val="en-US" w:eastAsia="zh-CN" w:bidi="ar-SA"/>
        </w:rPr>
      </w:pPr>
    </w:p>
    <w:p w14:paraId="425294AD">
      <w:pPr>
        <w:widowControl w:val="0"/>
        <w:jc w:val="both"/>
        <w:rPr>
          <w:rFonts w:hint="eastAsia" w:asciiTheme="minorEastAsia" w:hAnsiTheme="minorEastAsia" w:eastAsiaTheme="minorEastAsia" w:cstheme="minorEastAsia"/>
          <w:kern w:val="2"/>
          <w:sz w:val="24"/>
          <w:szCs w:val="24"/>
          <w:lang w:val="en-US" w:eastAsia="zh-CN" w:bidi="ar-SA"/>
        </w:rPr>
      </w:pPr>
    </w:p>
    <w:p w14:paraId="6FC770AB">
      <w:pPr>
        <w:widowControl w:val="0"/>
        <w:jc w:val="both"/>
        <w:rPr>
          <w:rFonts w:hint="eastAsia" w:asciiTheme="minorEastAsia" w:hAnsiTheme="minorEastAsia" w:eastAsiaTheme="minorEastAsia" w:cstheme="minorEastAsia"/>
          <w:kern w:val="2"/>
          <w:sz w:val="24"/>
          <w:szCs w:val="24"/>
          <w:lang w:val="en-US" w:eastAsia="zh-CN" w:bidi="ar-SA"/>
        </w:rPr>
      </w:pPr>
    </w:p>
    <w:p w14:paraId="76DD538E">
      <w:pPr>
        <w:keepNext w:val="0"/>
        <w:keepLines w:val="0"/>
        <w:pageBreakBefore w:val="0"/>
        <w:kinsoku/>
        <w:wordWrap/>
        <w:overflowPunct/>
        <w:topLinePunct w:val="0"/>
        <w:autoSpaceDE/>
        <w:autoSpaceDN/>
        <w:bidi w:val="0"/>
        <w:adjustRightInd/>
        <w:spacing w:line="400" w:lineRule="exact"/>
        <w:jc w:val="center"/>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（本合同为合同样稿，最终稿由供需双方协商后确定</w:t>
      </w:r>
      <w:r>
        <w:rPr>
          <w:rFonts w:hint="eastAsia" w:ascii="仿宋" w:hAnsi="仿宋" w:eastAsia="仿宋" w:cs="仿宋"/>
          <w:b/>
          <w:bCs/>
          <w:color w:val="auto"/>
          <w:sz w:val="24"/>
          <w:szCs w:val="24"/>
          <w:highlight w:val="none"/>
          <w:lang w:eastAsia="zh-CN"/>
        </w:rPr>
        <w:t>）</w:t>
      </w:r>
    </w:p>
    <w:p w14:paraId="294B8F8E">
      <w:pPr>
        <w:pStyle w:val="21"/>
        <w:keepNext w:val="0"/>
        <w:keepLines w:val="0"/>
        <w:pageBreakBefore w:val="0"/>
        <w:kinsoku/>
        <w:wordWrap/>
        <w:overflowPunct/>
        <w:topLinePunct w:val="0"/>
        <w:autoSpaceDE/>
        <w:autoSpaceDN/>
        <w:bidi w:val="0"/>
        <w:adjustRightInd/>
        <w:spacing w:line="400" w:lineRule="exact"/>
        <w:outlineLvl w:val="9"/>
        <w:rPr>
          <w:rFonts w:hint="eastAsia" w:ascii="仿宋" w:hAnsi="仿宋" w:eastAsia="仿宋" w:cs="仿宋"/>
          <w:color w:val="auto"/>
          <w:sz w:val="24"/>
          <w:szCs w:val="24"/>
          <w:highlight w:val="none"/>
        </w:rPr>
      </w:pPr>
    </w:p>
    <w:p w14:paraId="28A8FF4C">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00" w:lineRule="exact"/>
        <w:ind w:leftChars="0" w:right="0" w:rightChars="0"/>
        <w:jc w:val="center"/>
        <w:textAlignment w:val="baseline"/>
        <w:outlineLvl w:val="9"/>
        <w:rPr>
          <w:rFonts w:hint="eastAsia" w:ascii="仿宋" w:hAnsi="仿宋" w:eastAsia="仿宋" w:cs="仿宋"/>
          <w:b/>
          <w:color w:val="auto"/>
          <w:sz w:val="24"/>
          <w:szCs w:val="24"/>
          <w:highlight w:val="none"/>
        </w:rPr>
      </w:pPr>
      <w:bookmarkStart w:id="47" w:name="_Toc469495741"/>
      <w:r>
        <w:rPr>
          <w:rFonts w:hint="eastAsia" w:ascii="仿宋" w:hAnsi="仿宋" w:eastAsia="仿宋" w:cs="仿宋"/>
          <w:b/>
          <w:color w:val="auto"/>
          <w:sz w:val="24"/>
          <w:szCs w:val="24"/>
          <w:highlight w:val="none"/>
        </w:rPr>
        <w:t>合同协议书</w:t>
      </w:r>
      <w:bookmarkEnd w:id="47"/>
    </w:p>
    <w:p w14:paraId="1DE0EF56">
      <w:pPr>
        <w:keepNext w:val="0"/>
        <w:keepLines w:val="0"/>
        <w:pageBreakBefore w:val="0"/>
        <w:shd w:val="clear" w:color="auto" w:fill="auto"/>
        <w:kinsoku/>
        <w:wordWrap/>
        <w:overflowPunct/>
        <w:topLinePunct w:val="0"/>
        <w:autoSpaceDE/>
        <w:bidi w:val="0"/>
        <w:adjustRightInd/>
        <w:snapToGrid/>
        <w:spacing w:line="400" w:lineRule="exact"/>
        <w:ind w:firstLine="482" w:firstLineChars="200"/>
        <w:outlineLvl w:val="9"/>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 xml:space="preserve">合同名称   </w:t>
      </w:r>
      <w:r>
        <w:rPr>
          <w:rFonts w:hint="eastAsia" w:ascii="仿宋" w:hAnsi="仿宋" w:eastAsia="仿宋" w:cs="仿宋"/>
          <w:color w:val="auto"/>
          <w:sz w:val="24"/>
          <w:szCs w:val="24"/>
          <w:highlight w:val="none"/>
        </w:rPr>
        <w:t xml:space="preserve">          编号</w:t>
      </w:r>
    </w:p>
    <w:p w14:paraId="4C0F3A74">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bookmarkStart w:id="48" w:name="_Toc469495742"/>
      <w:r>
        <w:rPr>
          <w:rFonts w:hint="eastAsia" w:ascii="仿宋" w:hAnsi="仿宋" w:eastAsia="仿宋" w:cs="仿宋"/>
          <w:color w:val="auto"/>
          <w:sz w:val="24"/>
          <w:szCs w:val="24"/>
          <w:highlight w:val="none"/>
        </w:rPr>
        <w:t>买    方：                                   卖    方：</w:t>
      </w:r>
    </w:p>
    <w:p w14:paraId="079CE577">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    话：                                   电    话：</w:t>
      </w:r>
    </w:p>
    <w:p w14:paraId="489D04AC">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住    所：                                   住    所：                       </w:t>
      </w:r>
    </w:p>
    <w:p w14:paraId="74517D6F">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（买方）</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（项目名称）</w:t>
      </w:r>
      <w:r>
        <w:rPr>
          <w:rFonts w:hint="eastAsia" w:ascii="仿宋" w:hAnsi="仿宋" w:eastAsia="仿宋" w:cs="仿宋"/>
          <w:color w:val="auto"/>
          <w:sz w:val="24"/>
          <w:szCs w:val="24"/>
          <w:highlight w:val="none"/>
        </w:rPr>
        <w:t>中所需</w:t>
      </w:r>
      <w:r>
        <w:rPr>
          <w:rFonts w:hint="eastAsia" w:ascii="仿宋" w:hAnsi="仿宋" w:eastAsia="仿宋" w:cs="仿宋"/>
          <w:color w:val="auto"/>
          <w:sz w:val="24"/>
          <w:szCs w:val="24"/>
          <w:highlight w:val="none"/>
          <w:u w:val="single"/>
        </w:rPr>
        <w:t>（产品名称）</w:t>
      </w:r>
      <w:r>
        <w:rPr>
          <w:rFonts w:hint="eastAsia" w:ascii="仿宋" w:hAnsi="仿宋" w:eastAsia="仿宋" w:cs="仿宋"/>
          <w:color w:val="auto"/>
          <w:sz w:val="24"/>
          <w:szCs w:val="24"/>
          <w:highlight w:val="none"/>
        </w:rPr>
        <w:t xml:space="preserve"> 经公开招标，确定</w:t>
      </w:r>
      <w:r>
        <w:rPr>
          <w:rFonts w:hint="eastAsia" w:ascii="仿宋" w:hAnsi="仿宋" w:eastAsia="仿宋" w:cs="仿宋"/>
          <w:color w:val="auto"/>
          <w:sz w:val="24"/>
          <w:szCs w:val="24"/>
          <w:highlight w:val="none"/>
          <w:u w:val="single"/>
        </w:rPr>
        <w:t>（卖方）</w:t>
      </w:r>
      <w:r>
        <w:rPr>
          <w:rFonts w:hint="eastAsia" w:ascii="仿宋" w:hAnsi="仿宋" w:eastAsia="仿宋" w:cs="仿宋"/>
          <w:color w:val="auto"/>
          <w:sz w:val="24"/>
          <w:szCs w:val="24"/>
          <w:highlight w:val="none"/>
        </w:rPr>
        <w:t>为中标人。按照中华人民共和国合同法的规定，买卖双方同意按照下述的条款和条件，签署本合同。</w:t>
      </w:r>
    </w:p>
    <w:p w14:paraId="3B4C73E9">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1、本合同文件</w:t>
      </w:r>
    </w:p>
    <w:p w14:paraId="6F6D5456">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下列每一文件均应作为合同的组成部分进行阅读和解释：</w:t>
      </w:r>
    </w:p>
    <w:p w14:paraId="0CF75B66">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采购文件</w:t>
      </w:r>
      <w:r>
        <w:rPr>
          <w:rFonts w:hint="eastAsia" w:ascii="仿宋" w:hAnsi="仿宋" w:eastAsia="仿宋" w:cs="仿宋"/>
          <w:color w:val="auto"/>
          <w:sz w:val="24"/>
          <w:szCs w:val="24"/>
          <w:highlight w:val="none"/>
        </w:rPr>
        <w:t>（2）投标文件（3）中标通知书</w:t>
      </w:r>
    </w:p>
    <w:p w14:paraId="153149B7">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（4）经双方确认进入合同的其它文件、补充条款或说明</w:t>
      </w:r>
    </w:p>
    <w:p w14:paraId="65061D82">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2、采购标的、数量、质量要求</w:t>
      </w:r>
    </w:p>
    <w:p w14:paraId="1228F191">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3、合同总价</w:t>
      </w:r>
    </w:p>
    <w:p w14:paraId="59F2E143">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合同总价为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元人民币。</w:t>
      </w:r>
    </w:p>
    <w:p w14:paraId="0D81BBFC">
      <w:pPr>
        <w:keepNext w:val="0"/>
        <w:keepLines w:val="0"/>
        <w:pageBreakBefore w:val="0"/>
        <w:shd w:val="clear" w:color="auto" w:fill="auto"/>
        <w:kinsoku/>
        <w:wordWrap/>
        <w:overflowPunct/>
        <w:topLinePunct w:val="0"/>
        <w:autoSpaceDE/>
        <w:autoSpaceDN w:val="0"/>
        <w:bidi w:val="0"/>
        <w:adjustRightInd/>
        <w:snapToGrid/>
        <w:spacing w:line="400" w:lineRule="exact"/>
        <w:ind w:firstLine="480" w:firstLineChars="200"/>
        <w:outlineLvl w:val="9"/>
        <w:rPr>
          <w:rFonts w:hint="eastAsia" w:ascii="仿宋" w:hAnsi="仿宋" w:eastAsia="仿宋" w:cs="仿宋"/>
          <w:b/>
          <w:color w:val="auto"/>
          <w:kern w:val="0"/>
          <w:sz w:val="24"/>
          <w:szCs w:val="24"/>
          <w:highlight w:val="none"/>
        </w:rPr>
      </w:pPr>
      <w:r>
        <w:rPr>
          <w:rFonts w:hint="eastAsia" w:ascii="仿宋" w:hAnsi="仿宋" w:eastAsia="仿宋" w:cs="仿宋"/>
          <w:color w:val="auto"/>
          <w:sz w:val="24"/>
          <w:szCs w:val="24"/>
          <w:highlight w:val="none"/>
        </w:rPr>
        <w:t>4、付款方式</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u w:val="single"/>
        </w:rPr>
        <w:t xml:space="preserve">                                         。</w:t>
      </w:r>
    </w:p>
    <w:p w14:paraId="0C91785C">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5、合同供货（服务）期限及地点和方式</w:t>
      </w:r>
    </w:p>
    <w:p w14:paraId="1B321227">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6、验收要求及违约责任</w:t>
      </w:r>
    </w:p>
    <w:p w14:paraId="7F3EA5A2">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7、违约责任及解决争议方法</w:t>
      </w:r>
    </w:p>
    <w:p w14:paraId="10B9C778">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8、合同的生效</w:t>
      </w:r>
    </w:p>
    <w:p w14:paraId="2505C0DF">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合同经双方授权代表签署，买卖双方加盖印章之后生效。</w:t>
      </w:r>
    </w:p>
    <w:p w14:paraId="01B2D883">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本合同一式     份，双方各执     份。</w:t>
      </w:r>
    </w:p>
    <w:p w14:paraId="6C28280A">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买  方：                          卖  方：</w:t>
      </w:r>
    </w:p>
    <w:p w14:paraId="4418BE71">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名  称：（盖章）                   名  称：（盖章）</w:t>
      </w:r>
    </w:p>
    <w:p w14:paraId="01EEEAAD">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法定代表人（或委托代理人）：       法定代表人（或委托代理人）：</w:t>
      </w:r>
    </w:p>
    <w:p w14:paraId="63059D5E">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（签字）                        （签字）</w:t>
      </w:r>
    </w:p>
    <w:p w14:paraId="1DC60974">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地    址：                        地    址：</w:t>
      </w:r>
    </w:p>
    <w:p w14:paraId="5CC3ABCB">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邮政编码：                        邮政编码：</w:t>
      </w:r>
    </w:p>
    <w:p w14:paraId="4B6AACF6">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电    话：                        电    话：</w:t>
      </w:r>
    </w:p>
    <w:p w14:paraId="569DDC9B">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开户银行：                        开户银行：</w:t>
      </w:r>
    </w:p>
    <w:p w14:paraId="39827479">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帐    号：                        帐    号：</w:t>
      </w:r>
    </w:p>
    <w:p w14:paraId="7680FFF6">
      <w:pPr>
        <w:shd w:val="clear" w:color="auto" w:fill="auto"/>
        <w:spacing w:line="600" w:lineRule="exact"/>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r>
        <w:rPr>
          <w:rFonts w:hint="eastAsia" w:ascii="仿宋" w:hAnsi="仿宋" w:eastAsia="仿宋" w:cs="仿宋"/>
          <w:b/>
          <w:color w:val="auto"/>
          <w:sz w:val="24"/>
          <w:szCs w:val="24"/>
          <w:highlight w:val="none"/>
        </w:rPr>
        <w:t>二  合同条款</w:t>
      </w:r>
      <w:bookmarkEnd w:id="48"/>
    </w:p>
    <w:p w14:paraId="69513065">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  合同文件</w:t>
      </w:r>
    </w:p>
    <w:p w14:paraId="05A7A73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1、合同文件适用法律</w:t>
      </w:r>
    </w:p>
    <w:p w14:paraId="5C2243E6">
      <w:pPr>
        <w:shd w:val="clear" w:color="auto" w:fill="auto"/>
        <w:spacing w:line="440" w:lineRule="exact"/>
        <w:ind w:firstLine="720" w:firstLineChars="3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适用于合同文件的法律是中华人民共和国现行法律、法规及招标人所在地的地方性法规。</w:t>
      </w:r>
    </w:p>
    <w:p w14:paraId="57FFE0A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2、合同文件组成和解释顺序</w:t>
      </w:r>
    </w:p>
    <w:p w14:paraId="7CD62ECB">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(1)合同文件的组成和解释顺序如下：</w:t>
      </w:r>
    </w:p>
    <w:p w14:paraId="0D6016E3">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&lt;1&gt;合同的主要条款；</w:t>
      </w:r>
    </w:p>
    <w:p w14:paraId="62E295E5">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&lt;2&gt;合同的一般性条款；</w:t>
      </w:r>
    </w:p>
    <w:p w14:paraId="5B3C64E6">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&lt;3&gt;洽商、变更等明确双方权利义务的纪要、协议；</w:t>
      </w:r>
    </w:p>
    <w:p w14:paraId="4972B49C">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&lt;4&gt;中标通知书、投标文件和</w:t>
      </w:r>
      <w:r>
        <w:rPr>
          <w:rFonts w:hint="eastAsia" w:ascii="仿宋" w:hAnsi="仿宋" w:eastAsia="仿宋" w:cs="仿宋"/>
          <w:color w:val="auto"/>
          <w:sz w:val="24"/>
          <w:szCs w:val="24"/>
          <w:highlight w:val="none"/>
          <w:lang w:eastAsia="zh-CN"/>
        </w:rPr>
        <w:t>采购文件</w:t>
      </w:r>
      <w:r>
        <w:rPr>
          <w:rFonts w:hint="eastAsia" w:ascii="仿宋" w:hAnsi="仿宋" w:eastAsia="仿宋" w:cs="仿宋"/>
          <w:color w:val="auto"/>
          <w:sz w:val="24"/>
          <w:szCs w:val="24"/>
          <w:highlight w:val="none"/>
        </w:rPr>
        <w:t>；</w:t>
      </w:r>
    </w:p>
    <w:p w14:paraId="54BE610F">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&lt;5&gt;有关图纸、标准、规范和其它有关技术资料、技术要求。</w:t>
      </w:r>
    </w:p>
    <w:p w14:paraId="468E6187">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&lt;6&gt;合同的主要条款的效力优于合同的一般性条款的效力。</w:t>
      </w:r>
    </w:p>
    <w:p w14:paraId="7BA0314A">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3、合同文件使用文字</w:t>
      </w:r>
    </w:p>
    <w:p w14:paraId="45B2BF7E">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(1)合同文件使用中文书写、解释和说明。</w:t>
      </w:r>
    </w:p>
    <w:p w14:paraId="1E3EA7C2">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 xml:space="preserve">(2)合同文件使用技术性条款约定的为国家标准和规范；国家没有相应标准、规范时，可使用行业标准、规范。非标货物应按约定的技术性条款的标准和规范。 </w:t>
      </w:r>
    </w:p>
    <w:p w14:paraId="4F5069C1">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  标的物的一般条款</w:t>
      </w:r>
    </w:p>
    <w:p w14:paraId="349E4FF7">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4、完整物权</w:t>
      </w:r>
    </w:p>
    <w:p w14:paraId="6A6745FE">
      <w:pPr>
        <w:shd w:val="clear" w:color="auto" w:fill="auto"/>
        <w:tabs>
          <w:tab w:val="left" w:pos="660"/>
        </w:tabs>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对于出卖的标的物，卖方应当拥有完整物权，并且卖方负有保证第三人不得向买方主张任何权利（包括知识产权）的义务。</w:t>
      </w:r>
    </w:p>
    <w:p w14:paraId="6083F2B6">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5、质量保证</w:t>
      </w:r>
    </w:p>
    <w:p w14:paraId="5D9F03DF">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67CCE811">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43F9CC0B">
      <w:pPr>
        <w:pStyle w:val="9"/>
        <w:shd w:val="clear" w:color="auto" w:fill="auto"/>
        <w:tabs>
          <w:tab w:val="left" w:pos="900"/>
        </w:tabs>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01B71169">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6、包装</w:t>
      </w:r>
    </w:p>
    <w:p w14:paraId="535818B7">
      <w:pPr>
        <w:pStyle w:val="9"/>
        <w:shd w:val="clear" w:color="auto" w:fill="auto"/>
        <w:tabs>
          <w:tab w:val="left" w:pos="900"/>
        </w:tabs>
        <w:spacing w:line="440" w:lineRule="exact"/>
        <w:ind w:firstLine="540" w:firstLineChars="225"/>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D66FC51">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7、伴随服务</w:t>
      </w:r>
    </w:p>
    <w:p w14:paraId="4EBAC388">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(1)卖方除应履行按期按量交付合格标的物的义务之外，还应提供下列服务：</w:t>
      </w:r>
    </w:p>
    <w:p w14:paraId="6DDEA33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&lt;1&gt;标的物的现场安装或指导安装、启动、调试、监督（如果必须安装、调试的话）；</w:t>
      </w:r>
    </w:p>
    <w:p w14:paraId="5FC18E8A">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&lt;2&gt;提供标的物组装和一般维修所必须的工具；</w:t>
      </w:r>
    </w:p>
    <w:p w14:paraId="70798FB7">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&lt;3&gt;在合同规定的期限内对所提供标的物实行运行监督、维修服务的前提条件是该服务并不能免除卖方在质量保证期内所承担的义务；</w:t>
      </w:r>
    </w:p>
    <w:p w14:paraId="161E0EA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&lt;4&gt;对买方技术人员的技术指导或培训。</w:t>
      </w:r>
    </w:p>
    <w:p w14:paraId="0A81D1F1">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(2)除合同另有规定之外，伴随服务的费用均已含在合同价款中，买方不再另行进行支付。</w:t>
      </w:r>
    </w:p>
    <w:p w14:paraId="4A93DF0A">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  标的物的交付、检验和验收</w:t>
      </w:r>
    </w:p>
    <w:p w14:paraId="3B25B02B">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8、标的物的交付</w:t>
      </w:r>
    </w:p>
    <w:p w14:paraId="29DBFC3A">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(1)标的物的所有权自标的物交付时转移。</w:t>
      </w:r>
    </w:p>
    <w:p w14:paraId="2AD73BF5">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(2)卖方应当按照约定的期限和约定的地点交付符合</w:t>
      </w:r>
      <w:r>
        <w:rPr>
          <w:rFonts w:hint="eastAsia" w:ascii="仿宋" w:hAnsi="仿宋" w:eastAsia="仿宋" w:cs="仿宋"/>
          <w:color w:val="auto"/>
          <w:sz w:val="24"/>
          <w:szCs w:val="24"/>
          <w:highlight w:val="none"/>
          <w:u w:val="none" w:color="000000"/>
          <w:lang w:eastAsia="zh-CN"/>
        </w:rPr>
        <w:t>采购文件</w:t>
      </w:r>
      <w:r>
        <w:rPr>
          <w:rFonts w:hint="eastAsia" w:ascii="仿宋" w:hAnsi="仿宋" w:eastAsia="仿宋" w:cs="仿宋"/>
          <w:color w:val="auto"/>
          <w:sz w:val="24"/>
          <w:szCs w:val="24"/>
          <w:highlight w:val="none"/>
          <w:u w:val="none" w:color="000000"/>
        </w:rPr>
        <w:t>要求的标的物。</w:t>
      </w:r>
    </w:p>
    <w:p w14:paraId="5D700C7E">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(3)卖方应当按照约定或者交易习惯向招标人交付提取标的物单证以外的有关单证和资料。</w:t>
      </w:r>
    </w:p>
    <w:p w14:paraId="59A93168">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9、检验和验收</w:t>
      </w:r>
    </w:p>
    <w:p w14:paraId="345054D9">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6D5B3CC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(2)买方根据合同规定的内容和验收标准进行验收，经检验无误后出具验收合格证明，该证明作为最终付款所需文件的组成部分。</w:t>
      </w:r>
    </w:p>
    <w:p w14:paraId="50797D6E">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(3)验收期限自标的物交付之日起三十天内。特殊情况需延长的，双方应在合同条款中约定。</w:t>
      </w:r>
    </w:p>
    <w:p w14:paraId="6DDF08A4">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 对标的物提出异议的时间和办法</w:t>
      </w:r>
    </w:p>
    <w:p w14:paraId="4CE048DE">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10、对标的物提出异议的时间和办法 </w:t>
      </w:r>
    </w:p>
    <w:p w14:paraId="4B217BC6">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(1)买方在验收过程中，应当于双方约定的检验期间内将标的物的数量或质量不符合约定的情形及处理方式以书面形式通知卖方。</w:t>
      </w:r>
    </w:p>
    <w:p w14:paraId="1DFDDD65">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(2)如买方在验收期满后既不出具验收合格证明又未提出书面异议的视为卖方所交标的物符合合同规定。</w:t>
      </w:r>
    </w:p>
    <w:p w14:paraId="42F25923">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(3)卖方应在收到买方书面异议后七天内负责处理问题，否则将视为默认买方提出的异议和处理意见。</w:t>
      </w:r>
    </w:p>
    <w:p w14:paraId="5CA8FEEA">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 合同价款和支付</w:t>
      </w:r>
    </w:p>
    <w:p w14:paraId="0ED51566">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11、合同价款和支付</w:t>
      </w:r>
    </w:p>
    <w:p w14:paraId="53BB0768">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(1)本合同的结算货币为人民币，单位元。</w:t>
      </w:r>
    </w:p>
    <w:p w14:paraId="44BD8C1F">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(2)卖方应按照双方签订的合同规定交货并在合同主要条款规定的期限内持下列单据结算货款：</w:t>
      </w:r>
    </w:p>
    <w:p w14:paraId="3FB6E02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&lt;1&gt;合格的销售发票；</w:t>
      </w:r>
    </w:p>
    <w:p w14:paraId="459394C4">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&lt;2&gt;买方盖章签收后的送货回单和验收合格证明。</w:t>
      </w:r>
    </w:p>
    <w:p w14:paraId="59245A6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(3)买方应按合同主要条款规定的期限和方式付款。</w:t>
      </w:r>
    </w:p>
    <w:p w14:paraId="54166886">
      <w:pPr>
        <w:pStyle w:val="9"/>
        <w:shd w:val="clear" w:color="auto" w:fill="auto"/>
        <w:tabs>
          <w:tab w:val="left" w:pos="540"/>
        </w:tabs>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(4)根据现行税法对买方征收的与本合同有关的一切税费均由买方承担；根据现行税法对卖方征收的与本合同有关的一切税费均由卖方承担。</w:t>
      </w:r>
    </w:p>
    <w:p w14:paraId="13A9D5BF">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六. 违约责任</w:t>
      </w:r>
    </w:p>
    <w:p w14:paraId="2DF7069C">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12、违约责任</w:t>
      </w:r>
    </w:p>
    <w:p w14:paraId="6218559B">
      <w:pPr>
        <w:pStyle w:val="9"/>
        <w:shd w:val="clear" w:color="auto" w:fill="auto"/>
        <w:spacing w:line="440" w:lineRule="exact"/>
        <w:ind w:firstLine="540" w:firstLineChars="225"/>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合同一方不履行合同义务或者履行合同义务不符合约定的，应当承担继续履行、采取补救措施或者赔偿损失等违约责任。</w:t>
      </w:r>
    </w:p>
    <w:p w14:paraId="242295A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13、买方违约责任</w:t>
      </w:r>
    </w:p>
    <w:p w14:paraId="220A93C7">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(1)在合同生效后，买方要求退货的，应向卖方偿付合同总价款的5%，作为违约金，违约金不足以补偿损失的，卖方有权要求甲方补足。</w:t>
      </w:r>
    </w:p>
    <w:p w14:paraId="33398B03">
      <w:pPr>
        <w:pStyle w:val="9"/>
        <w:shd w:val="clear" w:color="auto" w:fill="auto"/>
        <w:overflowPunct w:val="0"/>
        <w:spacing w:line="440" w:lineRule="exact"/>
        <w:ind w:right="-334" w:rightChars="-159"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(2)买方逾期付款的应按照逾期付款金额的每天万分之四支付逾期付款违约金。</w:t>
      </w:r>
    </w:p>
    <w:p w14:paraId="706997FC">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(3)买方违反合同规定，拒绝接收卖方交付的符合</w:t>
      </w:r>
      <w:r>
        <w:rPr>
          <w:rFonts w:hint="eastAsia" w:ascii="仿宋" w:hAnsi="仿宋" w:eastAsia="仿宋" w:cs="仿宋"/>
          <w:color w:val="auto"/>
          <w:sz w:val="24"/>
          <w:szCs w:val="24"/>
          <w:highlight w:val="none"/>
          <w:u w:val="none" w:color="000000"/>
          <w:lang w:eastAsia="zh-CN"/>
        </w:rPr>
        <w:t>采购文件</w:t>
      </w:r>
      <w:r>
        <w:rPr>
          <w:rFonts w:hint="eastAsia" w:ascii="仿宋" w:hAnsi="仿宋" w:eastAsia="仿宋" w:cs="仿宋"/>
          <w:color w:val="auto"/>
          <w:sz w:val="24"/>
          <w:szCs w:val="24"/>
          <w:highlight w:val="none"/>
          <w:u w:val="none" w:color="000000"/>
        </w:rPr>
        <w:t>要求的合格标的物，应当承担卖方由此造成的损失。</w:t>
      </w:r>
    </w:p>
    <w:p w14:paraId="46A6965B">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14、卖方违约责任</w:t>
      </w:r>
    </w:p>
    <w:p w14:paraId="1E3E4A2A">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(1)卖方不能交货（逾期超过五天视为不能交货），或交货不合格从而影响买方按期正常使用的，应向买方偿付合同总价款5%的违约金，违约金不足以补偿损失的，买方有权要求卖方补足。</w:t>
      </w:r>
    </w:p>
    <w:p w14:paraId="0788AEB2">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55C1D3DF">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15、不可抗力</w:t>
      </w:r>
    </w:p>
    <w:p w14:paraId="5481E92B">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(1)因水灾、火灾、地震、战争等不可抗力不能履行合同的，根据不可抗力的影响，部分或者全部免除责任。但合同一方迟延履行后发生不可抗力的，不能免除责任。</w:t>
      </w:r>
    </w:p>
    <w:p w14:paraId="2DCEE723">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(2)合同一方因不可抗力不能履行合同的，应当及时通知对方，以减轻可能给对方造成的损失，并应当在合理期限内提供证明。</w:t>
      </w:r>
    </w:p>
    <w:p w14:paraId="52FBA25F">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七. 索赔</w:t>
      </w:r>
    </w:p>
    <w:p w14:paraId="312315F7">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16、索赔</w:t>
      </w:r>
    </w:p>
    <w:p w14:paraId="3E97F62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(1)买方有权根据当地产品质量检验机构或其它有权威部门出具的检验证书向卖方提出索赔。</w:t>
      </w:r>
    </w:p>
    <w:p w14:paraId="7561D488">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(2)在本合同规定的检验期和质量保证期内，如果卖方对买方提出的索赔或差异有责任，则卖方应按买方同意的下列一种或多种方式解决索赔事宜：</w:t>
      </w:r>
    </w:p>
    <w:p w14:paraId="5E41E73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47FABDB7">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&lt;2&gt;根据标的物的低劣程度、损坏程度以及甲方遭受损失的数额，经双方协商确定降低标的物的价格；</w:t>
      </w:r>
    </w:p>
    <w:p w14:paraId="585C30C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661CF4C4">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7BCC452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(4)买方提出索赔的书面材料应报当地政府采购管理部门备案。卖方同意的索赔方案应报当地政府采购管理部门审核。</w:t>
      </w:r>
    </w:p>
    <w:p w14:paraId="42CCE9AA">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八.  合同的解除和转让</w:t>
      </w:r>
    </w:p>
    <w:p w14:paraId="5CDB19F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17</w:t>
      </w:r>
      <w:r>
        <w:rPr>
          <w:rFonts w:hint="eastAsia" w:ascii="仿宋" w:hAnsi="仿宋" w:eastAsia="仿宋" w:cs="仿宋"/>
          <w:color w:val="auto"/>
          <w:sz w:val="24"/>
          <w:szCs w:val="24"/>
          <w:highlight w:val="none"/>
        </w:rPr>
        <w:t>、合同的解除</w:t>
      </w:r>
    </w:p>
    <w:p w14:paraId="6B6D888D">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(1)买方和卖方协商一致，可以解除合同。</w:t>
      </w:r>
    </w:p>
    <w:p w14:paraId="2343DA2A">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(2)有下列情形之一，合同一方可以解除合同：</w:t>
      </w:r>
    </w:p>
    <w:p w14:paraId="02B161CC">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&lt;1&gt;因不可抗力致使不能实现合同目的，未受不可抗力影响的一方有权解除合同；</w:t>
      </w:r>
    </w:p>
    <w:p w14:paraId="4C97221E">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&lt;2&gt;因合同一方违约导致合同不能履行，另一方有权解除合同。</w:t>
      </w:r>
    </w:p>
    <w:p w14:paraId="5E836D6F">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(3)有权解除合同的一方，应当在违约事实或不可抗力发生之后三十天内书面通知对方以主张解除合同，合同在书面通知到达对方时解除。</w:t>
      </w:r>
    </w:p>
    <w:p w14:paraId="32E14FF3">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、合同的转让</w:t>
      </w:r>
    </w:p>
    <w:p w14:paraId="77D824D3">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合同的部分和全部都不得转让。</w:t>
      </w:r>
    </w:p>
    <w:p w14:paraId="4EC51FE4">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九</w:t>
      </w:r>
      <w:r>
        <w:rPr>
          <w:rFonts w:hint="eastAsia" w:ascii="仿宋" w:hAnsi="仿宋" w:eastAsia="仿宋" w:cs="仿宋"/>
          <w:b/>
          <w:color w:val="auto"/>
          <w:sz w:val="24"/>
          <w:szCs w:val="24"/>
          <w:highlight w:val="none"/>
        </w:rPr>
        <w:t>. 合同的生效</w:t>
      </w:r>
    </w:p>
    <w:p w14:paraId="43D1E2BD">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19</w:t>
      </w:r>
      <w:r>
        <w:rPr>
          <w:rFonts w:hint="eastAsia" w:ascii="仿宋" w:hAnsi="仿宋" w:eastAsia="仿宋" w:cs="仿宋"/>
          <w:color w:val="auto"/>
          <w:sz w:val="24"/>
          <w:szCs w:val="24"/>
          <w:highlight w:val="none"/>
        </w:rPr>
        <w:t>、合同的生效</w:t>
      </w:r>
    </w:p>
    <w:p w14:paraId="296C653B">
      <w:pPr>
        <w:shd w:val="clear" w:color="auto" w:fill="auto"/>
        <w:spacing w:line="440" w:lineRule="exact"/>
        <w:ind w:firstLine="664" w:firstLineChars="277"/>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本合同在双方签字盖章并在招标人收到中标人提交的履约保证金后，经招标采购管理部门备案后生效。</w:t>
      </w:r>
    </w:p>
    <w:p w14:paraId="18441870">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 争议解决</w:t>
      </w:r>
    </w:p>
    <w:p w14:paraId="31ADF642">
      <w:pPr>
        <w:shd w:val="clear" w:color="auto" w:fill="auto"/>
        <w:spacing w:line="440" w:lineRule="exact"/>
        <w:ind w:firstLine="240" w:firstLineChars="1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、争议解决</w:t>
      </w:r>
    </w:p>
    <w:p w14:paraId="684057F6">
      <w:pPr>
        <w:pStyle w:val="9"/>
        <w:shd w:val="clear" w:color="auto" w:fill="auto"/>
        <w:overflowPunct w:val="0"/>
        <w:spacing w:line="440" w:lineRule="exact"/>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 xml:space="preserve"> 买卖双方因合同发生争议，进行调解，协商不成，可选择：</w:t>
      </w:r>
    </w:p>
    <w:p w14:paraId="3B706B9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(1)双方同时申请仲裁；</w:t>
      </w:r>
    </w:p>
    <w:p w14:paraId="6CB9937B">
      <w:pPr>
        <w:pStyle w:val="9"/>
        <w:shd w:val="clear" w:color="auto" w:fill="auto"/>
        <w:tabs>
          <w:tab w:val="left" w:pos="900"/>
        </w:tabs>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(2)向买方所在地人民法院提起诉讼。</w:t>
      </w:r>
    </w:p>
    <w:p w14:paraId="33DF9489">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w:t>
      </w: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rPr>
        <w:t xml:space="preserve"> .附则</w:t>
      </w:r>
    </w:p>
    <w:p w14:paraId="621AD6BC">
      <w:pPr>
        <w:shd w:val="clear" w:color="auto" w:fill="auto"/>
        <w:spacing w:line="440" w:lineRule="exact"/>
        <w:ind w:firstLine="240" w:firstLineChars="1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、合同份数。</w:t>
      </w:r>
    </w:p>
    <w:p w14:paraId="01E37D2E">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 xml:space="preserve">  本合同一式陆份，买卖双方各执二份，招标代理机构一份，招标采购管理部门一份。</w:t>
      </w:r>
    </w:p>
    <w:p w14:paraId="57FE7189">
      <w:pPr>
        <w:shd w:val="clear" w:color="auto" w:fill="auto"/>
        <w:spacing w:line="440" w:lineRule="exact"/>
        <w:ind w:firstLine="240" w:firstLineChars="1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、未尽事宜</w:t>
      </w:r>
    </w:p>
    <w:p w14:paraId="52663E03">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本合同未尽事宜应按《中华人民共和国政府采购法》、《中华人民共和国合同法》、《中华人民共和国产品质量法》之规定解释。</w:t>
      </w:r>
    </w:p>
    <w:p w14:paraId="6C69B6AC">
      <w:pPr>
        <w:shd w:val="clear" w:color="auto" w:fill="auto"/>
        <w:spacing w:line="440" w:lineRule="exact"/>
        <w:outlineLvl w:val="9"/>
        <w:rPr>
          <w:rFonts w:hint="eastAsia" w:ascii="仿宋" w:hAnsi="仿宋" w:eastAsia="仿宋" w:cs="仿宋"/>
          <w:color w:val="auto"/>
          <w:kern w:val="0"/>
          <w:sz w:val="24"/>
          <w:szCs w:val="24"/>
          <w:highlight w:val="none"/>
          <w:u w:val="none" w:color="000000"/>
        </w:rPr>
      </w:pPr>
    </w:p>
    <w:p w14:paraId="65EA3AF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bCs/>
          <w:sz w:val="36"/>
          <w:szCs w:val="36"/>
          <w:highlight w:val="none"/>
          <w:lang w:val="en-US" w:eastAsia="zh-CN"/>
        </w:rPr>
      </w:pPr>
    </w:p>
    <w:p w14:paraId="538E81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19A31B5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0A0E437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5014ED1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2EE51BB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39D20D3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0FB3530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 xml:space="preserve">第六章 </w:t>
      </w:r>
      <w:r>
        <w:rPr>
          <w:rFonts w:hint="eastAsia" w:ascii="宋体" w:hAnsi="宋体" w:cs="宋体"/>
          <w:b/>
          <w:bCs/>
          <w:sz w:val="36"/>
          <w:szCs w:val="36"/>
          <w:highlight w:val="none"/>
          <w:lang w:val="en-US" w:eastAsia="zh-CN"/>
        </w:rPr>
        <w:t>投标</w:t>
      </w:r>
      <w:r>
        <w:rPr>
          <w:rFonts w:hint="eastAsia" w:ascii="宋体" w:hAnsi="宋体" w:eastAsia="宋体" w:cs="宋体"/>
          <w:b/>
          <w:bCs/>
          <w:sz w:val="36"/>
          <w:szCs w:val="36"/>
          <w:highlight w:val="none"/>
          <w:lang w:val="en-US" w:eastAsia="zh-CN"/>
        </w:rPr>
        <w:t>文件格式</w:t>
      </w:r>
    </w:p>
    <w:p w14:paraId="33A17B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4C7B01CE">
      <w:pPr>
        <w:adjustRightInd w:val="0"/>
        <w:snapToGrid w:val="0"/>
        <w:spacing w:line="360" w:lineRule="auto"/>
        <w:ind w:left="602" w:right="70" w:hanging="602"/>
        <w:jc w:val="right"/>
        <w:rPr>
          <w:rFonts w:hint="eastAsia" w:ascii="仿宋" w:hAnsi="仿宋" w:eastAsia="仿宋" w:cs="仿宋"/>
          <w:b/>
          <w:bCs/>
          <w:color w:val="000000"/>
          <w:kern w:val="0"/>
          <w:sz w:val="28"/>
          <w:szCs w:val="28"/>
          <w:highlight w:val="none"/>
          <w:bdr w:val="single" w:color="auto" w:sz="4" w:space="0"/>
          <w:lang w:eastAsia="en-US" w:bidi="en-US"/>
        </w:rPr>
      </w:pPr>
      <w:r>
        <w:rPr>
          <w:rFonts w:hint="eastAsia" w:ascii="宋体" w:hAnsi="宋体" w:eastAsia="宋体" w:cs="Times New Roman"/>
          <w:sz w:val="20"/>
          <w:szCs w:val="20"/>
          <w:highlight w:val="none"/>
          <w:lang w:val="en-US" w:eastAsia="zh-CN"/>
        </w:rPr>
        <w:t xml:space="preserve">                         </w:t>
      </w:r>
    </w:p>
    <w:p w14:paraId="1C5A645B">
      <w:pPr>
        <w:spacing w:line="360" w:lineRule="exact"/>
        <w:ind w:firstLine="400"/>
        <w:rPr>
          <w:rFonts w:hint="default" w:ascii="宋体" w:hAnsi="宋体" w:eastAsia="宋体" w:cs="Times New Roman"/>
          <w:sz w:val="20"/>
          <w:szCs w:val="20"/>
          <w:highlight w:val="none"/>
          <w:lang w:val="en-US" w:eastAsia="zh-CN"/>
        </w:rPr>
      </w:pPr>
    </w:p>
    <w:p w14:paraId="73C32B95">
      <w:pPr>
        <w:spacing w:line="360" w:lineRule="exact"/>
        <w:ind w:firstLine="400"/>
        <w:rPr>
          <w:rFonts w:hint="eastAsia" w:ascii="宋体" w:hAnsi="宋体" w:eastAsia="宋体" w:cs="Times New Roman"/>
          <w:sz w:val="20"/>
          <w:szCs w:val="20"/>
          <w:highlight w:val="none"/>
        </w:rPr>
      </w:pPr>
    </w:p>
    <w:p w14:paraId="1257EAFE">
      <w:pPr>
        <w:ind w:firstLine="400"/>
        <w:rPr>
          <w:rFonts w:hint="eastAsia" w:ascii="宋体" w:hAnsi="宋体" w:eastAsia="宋体" w:cs="Times New Roman"/>
          <w:sz w:val="20"/>
          <w:szCs w:val="20"/>
          <w:highlight w:val="none"/>
        </w:rPr>
      </w:pPr>
    </w:p>
    <w:p w14:paraId="53AD9FD8">
      <w:pPr>
        <w:tabs>
          <w:tab w:val="left" w:pos="5610"/>
        </w:tabs>
        <w:spacing w:before="91" w:line="398" w:lineRule="auto"/>
        <w:ind w:left="2250" w:right="1062"/>
        <w:rPr>
          <w:rFonts w:hint="eastAsia" w:asciiTheme="minorEastAsia" w:hAnsiTheme="minorEastAsia" w:eastAsiaTheme="minorEastAsia" w:cstheme="minorEastAsia"/>
          <w:color w:val="auto"/>
          <w:spacing w:val="-3"/>
          <w:sz w:val="28"/>
          <w:szCs w:val="28"/>
        </w:rPr>
      </w:pPr>
      <w:r>
        <w:rPr>
          <w:rFonts w:hint="eastAsia" w:asciiTheme="minorEastAsia" w:hAnsiTheme="minorEastAsia" w:eastAsiaTheme="minorEastAsia" w:cstheme="minorEastAsia"/>
          <w:color w:val="auto"/>
          <w:spacing w:val="-3"/>
          <w:sz w:val="28"/>
          <w:szCs w:val="28"/>
        </w:rPr>
        <w:t>（项目名称）</w:t>
      </w:r>
    </w:p>
    <w:p w14:paraId="4A708B1D">
      <w:pPr>
        <w:tabs>
          <w:tab w:val="left" w:pos="5610"/>
        </w:tabs>
        <w:spacing w:before="91" w:line="398" w:lineRule="auto"/>
        <w:ind w:left="2250" w:right="1062"/>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3"/>
          <w:sz w:val="28"/>
          <w:szCs w:val="28"/>
        </w:rPr>
        <w:t>（项目编号）</w:t>
      </w:r>
    </w:p>
    <w:p w14:paraId="7485034F">
      <w:pPr>
        <w:pStyle w:val="2"/>
        <w:spacing w:line="259" w:lineRule="auto"/>
        <w:rPr>
          <w:rFonts w:hint="eastAsia" w:asciiTheme="minorEastAsia" w:hAnsiTheme="minorEastAsia" w:eastAsiaTheme="minorEastAsia" w:cstheme="minorEastAsia"/>
          <w:color w:val="auto"/>
        </w:rPr>
      </w:pPr>
    </w:p>
    <w:p w14:paraId="1549D63B">
      <w:pPr>
        <w:ind w:firstLine="620"/>
        <w:jc w:val="center"/>
        <w:rPr>
          <w:rFonts w:hint="eastAsia" w:ascii="宋体" w:hAnsi="宋体" w:eastAsia="宋体" w:cs="Times New Roman"/>
          <w:sz w:val="31"/>
          <w:szCs w:val="31"/>
          <w:highlight w:val="none"/>
        </w:rPr>
      </w:pPr>
    </w:p>
    <w:p w14:paraId="6F9FD7DD">
      <w:pPr>
        <w:widowControl w:val="0"/>
        <w:jc w:val="both"/>
        <w:rPr>
          <w:rFonts w:hint="eastAsia" w:ascii="宋体" w:hAnsi="宋体" w:eastAsia="宋体" w:cs="Times New Roman"/>
          <w:b/>
          <w:kern w:val="2"/>
          <w:sz w:val="50"/>
          <w:szCs w:val="50"/>
          <w:highlight w:val="none"/>
          <w:lang w:val="en-US" w:eastAsia="zh-CN" w:bidi="ar-SA"/>
        </w:rPr>
      </w:pPr>
    </w:p>
    <w:p w14:paraId="23EBCB37">
      <w:pPr>
        <w:rPr>
          <w:rFonts w:hint="eastAsia" w:ascii="Times New Roman" w:hAnsi="Times New Roman" w:eastAsia="宋体" w:cs="Times New Roman"/>
          <w:highlight w:val="none"/>
          <w:lang w:val="en-US" w:eastAsia="zh-CN"/>
        </w:rPr>
      </w:pPr>
    </w:p>
    <w:p w14:paraId="19E9BCD3">
      <w:pPr>
        <w:ind w:firstLine="1004"/>
        <w:jc w:val="center"/>
        <w:rPr>
          <w:rFonts w:hint="eastAsia" w:ascii="宋体" w:hAnsi="宋体" w:eastAsia="宋体" w:cs="Times New Roman"/>
          <w:b/>
          <w:sz w:val="50"/>
          <w:szCs w:val="50"/>
          <w:highlight w:val="none"/>
          <w:lang w:eastAsia="zh-CN"/>
        </w:rPr>
      </w:pPr>
      <w:r>
        <w:rPr>
          <w:rFonts w:hint="eastAsia" w:ascii="宋体" w:hAnsi="宋体" w:cs="Times New Roman"/>
          <w:b/>
          <w:sz w:val="50"/>
          <w:szCs w:val="50"/>
          <w:highlight w:val="none"/>
          <w:lang w:val="en-US" w:eastAsia="zh-CN"/>
        </w:rPr>
        <w:t>投标</w:t>
      </w:r>
      <w:r>
        <w:rPr>
          <w:rFonts w:hint="eastAsia" w:ascii="宋体" w:hAnsi="宋体" w:eastAsia="宋体" w:cs="Times New Roman"/>
          <w:b/>
          <w:sz w:val="50"/>
          <w:szCs w:val="50"/>
          <w:highlight w:val="none"/>
          <w:lang w:val="en-US" w:eastAsia="zh-CN"/>
        </w:rPr>
        <w:t>文件</w:t>
      </w:r>
    </w:p>
    <w:p w14:paraId="192530E4">
      <w:pPr>
        <w:spacing w:line="360" w:lineRule="exact"/>
        <w:ind w:firstLine="400"/>
        <w:jc w:val="left"/>
        <w:rPr>
          <w:rFonts w:hint="eastAsia" w:ascii="宋体" w:hAnsi="宋体" w:eastAsia="宋体" w:cs="Times New Roman"/>
          <w:sz w:val="20"/>
          <w:szCs w:val="20"/>
          <w:highlight w:val="none"/>
        </w:rPr>
      </w:pPr>
    </w:p>
    <w:p w14:paraId="3469CD9B">
      <w:pPr>
        <w:widowControl w:val="0"/>
        <w:spacing w:after="120"/>
        <w:jc w:val="both"/>
        <w:rPr>
          <w:rFonts w:hint="eastAsia" w:ascii="Times New Roman" w:hAnsi="Times New Roman" w:eastAsia="宋体" w:cs="Times New Roman"/>
          <w:kern w:val="2"/>
          <w:sz w:val="21"/>
          <w:szCs w:val="24"/>
          <w:highlight w:val="none"/>
          <w:lang w:val="en-US" w:eastAsia="zh-CN" w:bidi="ar-SA"/>
        </w:rPr>
      </w:pPr>
    </w:p>
    <w:p w14:paraId="488ECBD6">
      <w:pPr>
        <w:widowControl w:val="0"/>
        <w:ind w:firstLine="560" w:firstLineChars="200"/>
        <w:jc w:val="both"/>
        <w:rPr>
          <w:rFonts w:hint="eastAsia" w:ascii="Calibri" w:hAnsi="Calibri" w:eastAsia="宋体" w:cs="Times New Roman"/>
          <w:kern w:val="2"/>
          <w:sz w:val="28"/>
          <w:szCs w:val="22"/>
          <w:highlight w:val="none"/>
          <w:lang w:val="en-US" w:eastAsia="zh-CN" w:bidi="ar-SA"/>
        </w:rPr>
      </w:pPr>
    </w:p>
    <w:p w14:paraId="214C2FBB">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
          <w:w w:val="93"/>
          <w:kern w:val="0"/>
          <w:sz w:val="30"/>
          <w:szCs w:val="30"/>
          <w:highlight w:val="none"/>
          <w:fitText w:val="2810" w:id="1166737905"/>
        </w:rPr>
        <w:t>供应商名称（公章）</w:t>
      </w:r>
      <w:r>
        <w:rPr>
          <w:rFonts w:hint="eastAsia" w:ascii="宋体" w:hAnsi="宋体" w:eastAsia="宋体" w:cs="宋体"/>
          <w:b/>
          <w:caps/>
          <w:color w:val="000000"/>
          <w:spacing w:val="-2"/>
          <w:w w:val="93"/>
          <w:kern w:val="0"/>
          <w:sz w:val="30"/>
          <w:szCs w:val="30"/>
          <w:highlight w:val="none"/>
          <w:fitText w:val="2810" w:id="1166737905"/>
        </w:rPr>
        <w:t>：</w:t>
      </w:r>
    </w:p>
    <w:p w14:paraId="704CB3E1">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123CB614">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0"/>
          <w:w w:val="72"/>
          <w:kern w:val="0"/>
          <w:sz w:val="30"/>
          <w:szCs w:val="30"/>
          <w:highlight w:val="none"/>
          <w:fitText w:val="2810" w:id="1660960577"/>
        </w:rPr>
        <w:t>法定代表人（</w:t>
      </w:r>
      <w:r>
        <w:rPr>
          <w:rFonts w:hint="eastAsia" w:ascii="宋体" w:hAnsi="宋体" w:eastAsia="宋体" w:cs="宋体"/>
          <w:b/>
          <w:caps/>
          <w:color w:val="000000"/>
          <w:spacing w:val="0"/>
          <w:w w:val="72"/>
          <w:kern w:val="0"/>
          <w:sz w:val="30"/>
          <w:szCs w:val="30"/>
          <w:highlight w:val="none"/>
          <w:fitText w:val="2810" w:id="1660960577"/>
          <w:lang w:eastAsia="zh-CN"/>
        </w:rPr>
        <w:t>签章</w:t>
      </w:r>
      <w:r>
        <w:rPr>
          <w:rFonts w:hint="eastAsia" w:ascii="宋体" w:hAnsi="宋体" w:eastAsia="宋体" w:cs="宋体"/>
          <w:b/>
          <w:caps/>
          <w:color w:val="000000"/>
          <w:spacing w:val="0"/>
          <w:w w:val="72"/>
          <w:kern w:val="0"/>
          <w:sz w:val="30"/>
          <w:szCs w:val="30"/>
          <w:highlight w:val="none"/>
          <w:fitText w:val="2810" w:id="1660960577"/>
        </w:rPr>
        <w:t>或盖章）</w:t>
      </w:r>
      <w:r>
        <w:rPr>
          <w:rFonts w:hint="eastAsia" w:ascii="宋体" w:hAnsi="宋体" w:eastAsia="宋体" w:cs="宋体"/>
          <w:b/>
          <w:caps/>
          <w:color w:val="000000"/>
          <w:spacing w:val="-4"/>
          <w:w w:val="72"/>
          <w:kern w:val="0"/>
          <w:sz w:val="30"/>
          <w:szCs w:val="30"/>
          <w:highlight w:val="none"/>
          <w:fitText w:val="2810" w:id="1660960577"/>
        </w:rPr>
        <w:t>：</w:t>
      </w:r>
    </w:p>
    <w:p w14:paraId="13044013">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2AADE284">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01"/>
          <w:kern w:val="0"/>
          <w:sz w:val="30"/>
          <w:szCs w:val="30"/>
          <w:highlight w:val="none"/>
          <w:fitText w:val="2810" w:id="1362192846"/>
        </w:rPr>
        <w:t>供应商地址</w:t>
      </w:r>
      <w:r>
        <w:rPr>
          <w:rFonts w:hint="eastAsia" w:ascii="宋体" w:hAnsi="宋体" w:eastAsia="宋体" w:cs="宋体"/>
          <w:b/>
          <w:caps/>
          <w:color w:val="000000"/>
          <w:spacing w:val="0"/>
          <w:kern w:val="0"/>
          <w:sz w:val="30"/>
          <w:szCs w:val="30"/>
          <w:highlight w:val="none"/>
          <w:fitText w:val="2810" w:id="1362192846"/>
        </w:rPr>
        <w:t>：</w:t>
      </w:r>
    </w:p>
    <w:p w14:paraId="4FF8423C">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314C7FCB">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268"/>
          <w:kern w:val="0"/>
          <w:sz w:val="30"/>
          <w:szCs w:val="30"/>
          <w:highlight w:val="none"/>
          <w:fitText w:val="2810" w:id="1828745683"/>
        </w:rPr>
        <w:t>联系人</w:t>
      </w:r>
      <w:r>
        <w:rPr>
          <w:rFonts w:hint="eastAsia" w:ascii="宋体" w:hAnsi="宋体" w:eastAsia="宋体" w:cs="宋体"/>
          <w:b/>
          <w:caps/>
          <w:color w:val="000000"/>
          <w:spacing w:val="1"/>
          <w:kern w:val="0"/>
          <w:sz w:val="30"/>
          <w:szCs w:val="30"/>
          <w:highlight w:val="none"/>
          <w:fitText w:val="2810" w:id="1828745683"/>
        </w:rPr>
        <w:t>：</w:t>
      </w:r>
    </w:p>
    <w:p w14:paraId="529DF346">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5258265E">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63"/>
          <w:kern w:val="0"/>
          <w:sz w:val="30"/>
          <w:szCs w:val="30"/>
          <w:highlight w:val="none"/>
          <w:fitText w:val="2810" w:id="649101295"/>
        </w:rPr>
        <w:t>联系电话</w:t>
      </w:r>
      <w:r>
        <w:rPr>
          <w:rFonts w:hint="eastAsia" w:ascii="宋体" w:hAnsi="宋体" w:eastAsia="宋体" w:cs="宋体"/>
          <w:b/>
          <w:caps/>
          <w:color w:val="000000"/>
          <w:spacing w:val="3"/>
          <w:kern w:val="0"/>
          <w:sz w:val="30"/>
          <w:szCs w:val="30"/>
          <w:highlight w:val="none"/>
          <w:fitText w:val="2810" w:id="649101295"/>
        </w:rPr>
        <w:t>：</w:t>
      </w:r>
    </w:p>
    <w:p w14:paraId="3C18DFCD">
      <w:pPr>
        <w:adjustRightInd w:val="0"/>
        <w:snapToGrid w:val="0"/>
        <w:spacing w:line="240" w:lineRule="auto"/>
        <w:jc w:val="center"/>
        <w:rPr>
          <w:rFonts w:hint="eastAsia" w:ascii="宋体" w:hAnsi="宋体" w:eastAsia="宋体" w:cs="宋体"/>
          <w:b/>
          <w:caps/>
          <w:color w:val="000000"/>
          <w:sz w:val="30"/>
          <w:szCs w:val="30"/>
          <w:highlight w:val="none"/>
        </w:rPr>
      </w:pPr>
    </w:p>
    <w:p w14:paraId="7519BF55">
      <w:pPr>
        <w:spacing w:line="360" w:lineRule="exact"/>
        <w:ind w:firstLine="400"/>
        <w:jc w:val="left"/>
        <w:rPr>
          <w:rFonts w:hint="eastAsia" w:ascii="宋体" w:hAnsi="宋体" w:eastAsia="宋体" w:cs="宋体"/>
          <w:b/>
          <w:bCs/>
          <w:sz w:val="30"/>
          <w:szCs w:val="30"/>
          <w:highlight w:val="none"/>
          <w:lang w:val="en-US" w:eastAsia="zh-CN"/>
        </w:rPr>
      </w:pPr>
      <w:r>
        <w:rPr>
          <w:rFonts w:hint="eastAsia" w:ascii="宋体" w:hAnsi="宋体" w:eastAsia="宋体" w:cs="宋体"/>
          <w:sz w:val="30"/>
          <w:szCs w:val="30"/>
          <w:highlight w:val="none"/>
          <w:lang w:val="en-US" w:eastAsia="zh-CN"/>
        </w:rPr>
        <w:t xml:space="preserve">                    </w:t>
      </w:r>
      <w:r>
        <w:rPr>
          <w:rFonts w:hint="eastAsia" w:ascii="宋体" w:hAnsi="宋体" w:eastAsia="宋体" w:cs="宋体"/>
          <w:sz w:val="30"/>
          <w:szCs w:val="30"/>
          <w:highlight w:val="none"/>
          <w:u w:val="single"/>
          <w:lang w:val="en-US" w:eastAsia="zh-CN"/>
        </w:rPr>
        <w:t xml:space="preserve">    </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 xml:space="preserve">年 </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月</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日</w:t>
      </w:r>
    </w:p>
    <w:p w14:paraId="5DF52A81">
      <w:pPr>
        <w:pStyle w:val="2"/>
        <w:rPr>
          <w:rFonts w:hint="eastAsia"/>
        </w:rPr>
      </w:pPr>
    </w:p>
    <w:p w14:paraId="22BEFB82">
      <w:pPr>
        <w:bidi w:val="0"/>
        <w:ind w:firstLine="3092" w:firstLineChars="1100"/>
        <w:jc w:val="left"/>
        <w:rPr>
          <w:rFonts w:hint="eastAsia" w:ascii="宋体" w:hAnsi="宋体" w:eastAsia="宋体" w:cs="Times New Roman"/>
          <w:b/>
          <w:bCs/>
          <w:sz w:val="28"/>
          <w:szCs w:val="28"/>
          <w:highlight w:val="none"/>
        </w:rPr>
      </w:pPr>
    </w:p>
    <w:p w14:paraId="0807416D">
      <w:pPr>
        <w:bidi w:val="0"/>
        <w:ind w:firstLine="3092" w:firstLineChars="1100"/>
        <w:jc w:val="left"/>
        <w:rPr>
          <w:rFonts w:hint="eastAsia" w:ascii="宋体" w:hAnsi="宋体" w:eastAsia="宋体" w:cs="Times New Roman"/>
          <w:sz w:val="24"/>
          <w:szCs w:val="24"/>
          <w:highlight w:val="none"/>
        </w:rPr>
      </w:pPr>
      <w:r>
        <w:rPr>
          <w:rFonts w:hint="eastAsia" w:ascii="宋体" w:hAnsi="宋体" w:eastAsia="宋体" w:cs="Times New Roman"/>
          <w:b/>
          <w:bCs/>
          <w:sz w:val="28"/>
          <w:szCs w:val="28"/>
          <w:highlight w:val="none"/>
        </w:rPr>
        <w:t>第一部分 资格证明文件</w:t>
      </w:r>
    </w:p>
    <w:p w14:paraId="6C9BF4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1、法人或者非法人组织的营业执照等证明文件复印件（须加盖本单位章）或自然人的身份证明复印件</w:t>
      </w:r>
      <w:r>
        <w:rPr>
          <w:rFonts w:hint="eastAsia" w:ascii="宋体" w:hAnsi="宋体" w:eastAsia="宋体" w:cs="Times New Roman"/>
          <w:sz w:val="24"/>
          <w:szCs w:val="24"/>
          <w:highlight w:val="none"/>
          <w:lang w:eastAsia="zh-CN"/>
        </w:rPr>
        <w:t>；</w:t>
      </w:r>
    </w:p>
    <w:p w14:paraId="6DBDE7C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2、法定代表人资格证明书</w:t>
      </w:r>
      <w:r>
        <w:rPr>
          <w:rFonts w:hint="eastAsia" w:ascii="宋体" w:hAnsi="宋体" w:eastAsia="宋体" w:cs="Times New Roman"/>
          <w:sz w:val="24"/>
          <w:szCs w:val="24"/>
          <w:highlight w:val="none"/>
          <w:lang w:eastAsia="zh-CN"/>
        </w:rPr>
        <w:t>；</w:t>
      </w:r>
    </w:p>
    <w:p w14:paraId="1217828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3、法定代表人授权委托书</w:t>
      </w:r>
      <w:r>
        <w:rPr>
          <w:rFonts w:hint="eastAsia" w:ascii="宋体" w:hAnsi="宋体" w:eastAsia="宋体" w:cs="Times New Roman"/>
          <w:sz w:val="24"/>
          <w:szCs w:val="24"/>
          <w:highlight w:val="none"/>
          <w:lang w:eastAsia="zh-CN"/>
        </w:rPr>
        <w:t>；</w:t>
      </w:r>
    </w:p>
    <w:p w14:paraId="6114919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color w:val="auto"/>
          <w:sz w:val="24"/>
          <w:szCs w:val="24"/>
          <w:highlight w:val="none"/>
        </w:rPr>
      </w:pPr>
      <w:r>
        <w:rPr>
          <w:rFonts w:hint="eastAsia" w:ascii="宋体" w:hAnsi="宋体" w:eastAsia="宋体" w:cs="Times New Roman"/>
          <w:sz w:val="24"/>
          <w:szCs w:val="24"/>
          <w:highlight w:val="none"/>
        </w:rPr>
        <w:t>4、投标企业须提供投标人（被授权本单位在职人员）近</w:t>
      </w: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rPr>
        <w:t xml:space="preserve"> 个月</w:t>
      </w:r>
      <w:r>
        <w:rPr>
          <w:rFonts w:hint="eastAsia" w:ascii="宋体" w:hAnsi="宋体" w:eastAsia="宋体" w:cs="Times New Roman"/>
          <w:sz w:val="24"/>
          <w:szCs w:val="24"/>
          <w:highlight w:val="none"/>
          <w:lang w:val="en-US" w:eastAsia="zh-CN"/>
        </w:rPr>
        <w:t>内任意一个月</w:t>
      </w:r>
      <w:r>
        <w:rPr>
          <w:rFonts w:hint="eastAsia" w:ascii="宋体" w:hAnsi="宋体" w:eastAsia="宋体" w:cs="Times New Roman"/>
          <w:sz w:val="24"/>
          <w:szCs w:val="24"/>
          <w:highlight w:val="none"/>
        </w:rPr>
        <w:t>有效的社保证明</w:t>
      </w:r>
      <w:r>
        <w:rPr>
          <w:rFonts w:hint="eastAsia" w:ascii="宋体" w:hAnsi="宋体" w:eastAsia="宋体" w:cs="Times New Roman"/>
          <w:sz w:val="24"/>
          <w:szCs w:val="24"/>
          <w:highlight w:val="none"/>
          <w:lang w:eastAsia="zh-CN"/>
        </w:rPr>
        <w:t>；</w:t>
      </w:r>
    </w:p>
    <w:p w14:paraId="257F8C2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5、投标保证金缴纳依据（汇款凭证）或保函等票据；</w:t>
      </w:r>
    </w:p>
    <w:p w14:paraId="3ED3A67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336" w:lineRule="auto"/>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Times New Roman"/>
          <w:color w:val="auto"/>
          <w:szCs w:val="21"/>
          <w:highlight w:val="none"/>
          <w:lang w:val="en-US" w:eastAsia="zh-CN"/>
        </w:rPr>
        <w:t>6、</w:t>
      </w: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270216E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cs="Times New Roman"/>
          <w:sz w:val="24"/>
          <w:szCs w:val="24"/>
          <w:highlight w:val="none"/>
          <w:lang w:val="en-US" w:eastAsia="zh-CN"/>
        </w:rPr>
        <w:t>7</w:t>
      </w:r>
      <w:r>
        <w:rPr>
          <w:rFonts w:hint="eastAsia" w:ascii="宋体" w:hAnsi="宋体" w:eastAsia="宋体" w:cs="Times New Roman"/>
          <w:sz w:val="24"/>
          <w:szCs w:val="24"/>
          <w:highlight w:val="none"/>
        </w:rPr>
        <w:t>、投标人须知资料表要求的其他资格证明文件</w:t>
      </w:r>
      <w:r>
        <w:rPr>
          <w:rFonts w:hint="eastAsia" w:ascii="宋体" w:hAnsi="宋体" w:eastAsia="宋体" w:cs="Times New Roman"/>
          <w:sz w:val="24"/>
          <w:szCs w:val="24"/>
          <w:highlight w:val="none"/>
          <w:lang w:eastAsia="zh-CN"/>
        </w:rPr>
        <w:t>。</w:t>
      </w:r>
    </w:p>
    <w:p w14:paraId="0FD0845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p>
    <w:p w14:paraId="113360AD">
      <w:pPr>
        <w:pStyle w:val="2"/>
        <w:spacing w:before="168" w:line="232" w:lineRule="auto"/>
        <w:ind w:left="21"/>
        <w:rPr>
          <w:sz w:val="23"/>
          <w:szCs w:val="23"/>
        </w:rPr>
      </w:pPr>
      <w:r>
        <w:rPr>
          <w:b/>
          <w:bCs/>
          <w:spacing w:val="-3"/>
          <w:sz w:val="23"/>
          <w:szCs w:val="23"/>
        </w:rPr>
        <w:t>注：</w:t>
      </w:r>
    </w:p>
    <w:p w14:paraId="2B73189D">
      <w:pPr>
        <w:pStyle w:val="2"/>
        <w:spacing w:before="75" w:line="227" w:lineRule="auto"/>
        <w:ind w:left="23"/>
        <w:rPr>
          <w:sz w:val="23"/>
          <w:szCs w:val="23"/>
        </w:rPr>
      </w:pPr>
      <w:r>
        <w:rPr>
          <w:b/>
          <w:bCs/>
          <w:spacing w:val="7"/>
          <w:sz w:val="23"/>
          <w:szCs w:val="23"/>
        </w:rPr>
        <w:t>1、招标文件提供格式的请严格按照格式要求填写，未提供格式的请供应商自行</w:t>
      </w:r>
      <w:r>
        <w:rPr>
          <w:b/>
          <w:bCs/>
          <w:spacing w:val="5"/>
          <w:sz w:val="23"/>
          <w:szCs w:val="23"/>
        </w:rPr>
        <w:t>编辑提供。</w:t>
      </w:r>
    </w:p>
    <w:p w14:paraId="6126EB3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b/>
          <w:bCs/>
          <w:spacing w:val="9"/>
          <w:sz w:val="23"/>
          <w:szCs w:val="23"/>
        </w:rPr>
        <w:t>2、投标文件须逐页加盖投标单位公章。</w:t>
      </w:r>
    </w:p>
    <w:p w14:paraId="10483A7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F11739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A7A3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88B21B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8CA8DA5">
      <w:pPr>
        <w:pStyle w:val="2"/>
        <w:rPr>
          <w:rFonts w:hint="default" w:ascii="宋体" w:hAnsi="宋体" w:eastAsia="宋体" w:cs="Times New Roman"/>
          <w:sz w:val="24"/>
          <w:szCs w:val="24"/>
          <w:highlight w:val="none"/>
          <w:lang w:val="en-US" w:eastAsia="zh-CN"/>
        </w:rPr>
      </w:pPr>
    </w:p>
    <w:p w14:paraId="1E11B419">
      <w:pPr>
        <w:pStyle w:val="26"/>
        <w:rPr>
          <w:rFonts w:hint="default" w:ascii="宋体" w:hAnsi="宋体" w:eastAsia="宋体" w:cs="Times New Roman"/>
          <w:sz w:val="24"/>
          <w:szCs w:val="24"/>
          <w:highlight w:val="none"/>
          <w:lang w:val="en-US" w:eastAsia="zh-CN"/>
        </w:rPr>
      </w:pPr>
    </w:p>
    <w:p w14:paraId="166FE3B0">
      <w:pPr>
        <w:pStyle w:val="22"/>
        <w:rPr>
          <w:rFonts w:hint="default" w:ascii="宋体" w:hAnsi="宋体" w:eastAsia="宋体" w:cs="Times New Roman"/>
          <w:sz w:val="24"/>
          <w:szCs w:val="24"/>
          <w:highlight w:val="none"/>
          <w:lang w:val="en-US" w:eastAsia="zh-CN"/>
        </w:rPr>
      </w:pPr>
    </w:p>
    <w:p w14:paraId="6D8DE43D">
      <w:pPr>
        <w:rPr>
          <w:rFonts w:hint="default" w:ascii="宋体" w:hAnsi="宋体" w:eastAsia="宋体" w:cs="Times New Roman"/>
          <w:sz w:val="24"/>
          <w:szCs w:val="24"/>
          <w:highlight w:val="none"/>
          <w:lang w:val="en-US" w:eastAsia="zh-CN"/>
        </w:rPr>
      </w:pPr>
    </w:p>
    <w:p w14:paraId="75F120E8">
      <w:pPr>
        <w:pStyle w:val="2"/>
        <w:rPr>
          <w:rFonts w:hint="default" w:ascii="宋体" w:hAnsi="宋体" w:eastAsia="宋体" w:cs="Times New Roman"/>
          <w:sz w:val="24"/>
          <w:szCs w:val="24"/>
          <w:highlight w:val="none"/>
          <w:lang w:val="en-US" w:eastAsia="zh-CN"/>
        </w:rPr>
      </w:pPr>
    </w:p>
    <w:p w14:paraId="72741E29">
      <w:pPr>
        <w:pStyle w:val="26"/>
        <w:rPr>
          <w:rFonts w:hint="default" w:ascii="宋体" w:hAnsi="宋体" w:eastAsia="宋体" w:cs="Times New Roman"/>
          <w:sz w:val="24"/>
          <w:szCs w:val="24"/>
          <w:highlight w:val="none"/>
          <w:lang w:val="en-US" w:eastAsia="zh-CN"/>
        </w:rPr>
      </w:pPr>
    </w:p>
    <w:p w14:paraId="5459DB08">
      <w:pPr>
        <w:pStyle w:val="22"/>
        <w:rPr>
          <w:rFonts w:hint="default" w:ascii="宋体" w:hAnsi="宋体" w:eastAsia="宋体" w:cs="Times New Roman"/>
          <w:sz w:val="24"/>
          <w:szCs w:val="24"/>
          <w:highlight w:val="none"/>
          <w:lang w:val="en-US" w:eastAsia="zh-CN"/>
        </w:rPr>
      </w:pPr>
    </w:p>
    <w:p w14:paraId="4EA1DB59">
      <w:pPr>
        <w:rPr>
          <w:rFonts w:hint="default" w:ascii="宋体" w:hAnsi="宋体" w:eastAsia="宋体" w:cs="Times New Roman"/>
          <w:sz w:val="24"/>
          <w:szCs w:val="24"/>
          <w:highlight w:val="none"/>
          <w:lang w:val="en-US" w:eastAsia="zh-CN"/>
        </w:rPr>
      </w:pPr>
    </w:p>
    <w:p w14:paraId="415D10A6">
      <w:pPr>
        <w:pStyle w:val="2"/>
        <w:rPr>
          <w:rFonts w:hint="default" w:ascii="宋体" w:hAnsi="宋体" w:eastAsia="宋体" w:cs="Times New Roman"/>
          <w:sz w:val="24"/>
          <w:szCs w:val="24"/>
          <w:highlight w:val="none"/>
          <w:lang w:val="en-US" w:eastAsia="zh-CN"/>
        </w:rPr>
      </w:pPr>
    </w:p>
    <w:p w14:paraId="437ACB1B">
      <w:pPr>
        <w:pStyle w:val="26"/>
        <w:rPr>
          <w:rFonts w:hint="default"/>
          <w:lang w:val="en-US" w:eastAsia="zh-CN"/>
        </w:rPr>
      </w:pPr>
    </w:p>
    <w:p w14:paraId="7E30ED9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DE310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403F9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1、法人或者非法人组织的营业执照等证明文件复印件（须加盖本单位章）；</w:t>
      </w:r>
    </w:p>
    <w:p w14:paraId="152B548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EEF029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说明：1.提供有效的营业执照等证明文件复印件，复印件上应加盖本单位章。</w:t>
      </w:r>
    </w:p>
    <w:p w14:paraId="43F0D90E">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r>
        <w:rPr>
          <w:rFonts w:hint="eastAsia" w:ascii="宋体" w:hAnsi="宋体" w:eastAsia="宋体" w:cs="宋体"/>
          <w:color w:val="auto"/>
          <w:sz w:val="24"/>
          <w:highlight w:val="none"/>
        </w:rPr>
        <w:t xml:space="preserve"> 2. 投标人为自然人的，应提供身份证明的复印件。</w:t>
      </w:r>
    </w:p>
    <w:p w14:paraId="08EAD804">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FC394C5">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21AFD4BA">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14FF8F8">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E64FFC5">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4804A0B">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1DC2D22A">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917DAFB">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7700C8C2">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61100046">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720E179">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656435D0">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772F9BC4">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201DDEE6">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22CB352">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151507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08C3A2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664A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04E8D0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B49213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DF10B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A569D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D18F30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8CE4AB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D4E70A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9EE36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799A84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83151F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CEA9C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8D6A7E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5CB540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2、法定代表人资格证明书</w:t>
      </w:r>
    </w:p>
    <w:p w14:paraId="3142D202">
      <w:pPr>
        <w:spacing w:line="360" w:lineRule="auto"/>
        <w:jc w:val="left"/>
        <w:rPr>
          <w:rFonts w:hint="eastAsia" w:ascii="Times New Roman" w:hAnsi="宋体" w:eastAsia="宋体" w:cs="Times New Roman"/>
          <w:sz w:val="24"/>
          <w:szCs w:val="24"/>
          <w:highlight w:val="none"/>
        </w:rPr>
      </w:pPr>
    </w:p>
    <w:p w14:paraId="501ECE98">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投标单位名称：</w:t>
      </w:r>
      <w:r>
        <w:rPr>
          <w:rFonts w:hint="eastAsia" w:ascii="Times New Roman" w:hAnsi="宋体" w:eastAsia="宋体" w:cs="Times New Roman"/>
          <w:sz w:val="24"/>
          <w:szCs w:val="24"/>
          <w:highlight w:val="none"/>
          <w:u w:val="single"/>
        </w:rPr>
        <w:t xml:space="preserve">                       </w:t>
      </w:r>
    </w:p>
    <w:p w14:paraId="63D72B8D">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单位性质：</w:t>
      </w:r>
      <w:r>
        <w:rPr>
          <w:rFonts w:hint="eastAsia" w:ascii="Times New Roman" w:hAnsi="宋体" w:eastAsia="宋体" w:cs="Times New Roman"/>
          <w:sz w:val="24"/>
          <w:szCs w:val="24"/>
          <w:highlight w:val="none"/>
          <w:u w:val="single"/>
        </w:rPr>
        <w:t xml:space="preserve">                           </w:t>
      </w:r>
    </w:p>
    <w:p w14:paraId="19257CF0">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地址：</w:t>
      </w:r>
      <w:r>
        <w:rPr>
          <w:rFonts w:hint="eastAsia" w:ascii="Times New Roman" w:hAnsi="宋体" w:eastAsia="宋体" w:cs="Times New Roman"/>
          <w:sz w:val="24"/>
          <w:szCs w:val="24"/>
          <w:highlight w:val="none"/>
          <w:u w:val="single"/>
        </w:rPr>
        <w:t xml:space="preserve">                               </w:t>
      </w:r>
    </w:p>
    <w:p w14:paraId="7841ADD8">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成立时间：</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年</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月</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日</w:t>
      </w:r>
    </w:p>
    <w:p w14:paraId="5F94BB43">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 xml:space="preserve">经营期限：             </w:t>
      </w:r>
    </w:p>
    <w:p w14:paraId="63101D30">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姓名：</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性别</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年龄：</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职务：</w:t>
      </w:r>
      <w:r>
        <w:rPr>
          <w:rFonts w:hint="eastAsia" w:ascii="Times New Roman" w:hAnsi="宋体" w:eastAsia="宋体" w:cs="Times New Roman"/>
          <w:sz w:val="24"/>
          <w:szCs w:val="24"/>
          <w:highlight w:val="none"/>
          <w:u w:val="single"/>
        </w:rPr>
        <w:t xml:space="preserve">           </w:t>
      </w:r>
    </w:p>
    <w:p w14:paraId="341BB744">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身份证号码：</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u w:val="single"/>
          <w:lang w:val="en-US" w:eastAsia="zh-CN"/>
        </w:rPr>
        <w:t xml:space="preserve">                   </w:t>
      </w:r>
      <w:r>
        <w:rPr>
          <w:rFonts w:hint="eastAsia" w:ascii="Times New Roman" w:hAnsi="宋体" w:eastAsia="宋体" w:cs="Times New Roman"/>
          <w:sz w:val="24"/>
          <w:szCs w:val="24"/>
          <w:highlight w:val="none"/>
          <w:u w:val="single"/>
        </w:rPr>
        <w:t xml:space="preserve">     </w:t>
      </w:r>
    </w:p>
    <w:p w14:paraId="02EA0619">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 xml:space="preserve">系 </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（投标单位名称）的法定代表人。</w:t>
      </w:r>
    </w:p>
    <w:p w14:paraId="584F6A66">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特此证明。</w:t>
      </w:r>
    </w:p>
    <w:p w14:paraId="599737D1">
      <w:pPr>
        <w:widowControl w:val="0"/>
        <w:numPr>
          <w:ilvl w:val="0"/>
          <w:numId w:val="0"/>
        </w:numPr>
        <w:kinsoku w:val="0"/>
        <w:overflowPunct w:val="0"/>
        <w:spacing w:after="120"/>
        <w:ind w:leftChars="0" w:right="0" w:rightChars="0"/>
        <w:jc w:val="both"/>
        <w:rPr>
          <w:rFonts w:hint="eastAsia" w:ascii="仿宋" w:hAnsi="仿宋" w:eastAsia="仿宋" w:cs="仿宋"/>
          <w:color w:val="000000"/>
          <w:kern w:val="2"/>
          <w:sz w:val="20"/>
          <w:szCs w:val="20"/>
          <w:highlight w:val="none"/>
          <w:lang w:val="en-US" w:eastAsia="zh-CN" w:bidi="ar-SA"/>
        </w:rPr>
      </w:pPr>
    </w:p>
    <w:p w14:paraId="105E5E79">
      <w:pPr>
        <w:spacing w:line="500" w:lineRule="exact"/>
        <w:rPr>
          <w:rFonts w:hint="eastAsia" w:ascii="宋体" w:hAnsi="宋体" w:eastAsia="宋体" w:cs="宋体"/>
          <w:color w:val="auto"/>
          <w:sz w:val="24"/>
          <w:szCs w:val="24"/>
          <w:highlight w:val="none"/>
        </w:rPr>
      </w:pPr>
    </w:p>
    <w:p w14:paraId="6687B651">
      <w:pPr>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0" distR="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026"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36D8F78">
                            <w:pPr>
                              <w:jc w:val="center"/>
                              <w:rPr>
                                <w:rFonts w:hint="eastAsia" w:ascii="Times New Roman" w:hAnsi="宋体" w:eastAsia="宋体" w:cs="Times New Roman"/>
                                <w:szCs w:val="21"/>
                              </w:rPr>
                            </w:pPr>
                          </w:p>
                          <w:p w14:paraId="0B70C6C9">
                            <w:pPr>
                              <w:jc w:val="center"/>
                              <w:rPr>
                                <w:rFonts w:hint="eastAsia" w:ascii="Times New Roman" w:hAnsi="宋体" w:eastAsia="宋体" w:cs="Times New Roman"/>
                                <w:szCs w:val="21"/>
                              </w:rPr>
                            </w:pPr>
                          </w:p>
                          <w:p w14:paraId="5E583959">
                            <w:pPr>
                              <w:jc w:val="center"/>
                              <w:rPr>
                                <w:rFonts w:hint="eastAsia" w:ascii="Times New Roman" w:hAnsi="宋体" w:eastAsia="宋体" w:cs="Times New Roman"/>
                                <w:szCs w:val="21"/>
                              </w:rPr>
                            </w:pPr>
                          </w:p>
                          <w:p w14:paraId="2D4C316F">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正面</w:t>
                            </w:r>
                          </w:p>
                        </w:txbxContent>
                      </wps:txbx>
                      <wps:bodyPr upright="1"/>
                    </wps:wsp>
                  </a:graphicData>
                </a:graphic>
              </wp:anchor>
            </w:drawing>
          </mc:Choice>
          <mc:Fallback>
            <w:pict>
              <v:shape id="流程图: 可选过程 1"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cF8eNYAAAAIAQAADwAAAAAAAAABACAAAAAiAAAAZHJzL2Rvd25yZXYueG1sUEsBAhQAFAAA&#10;AAgAh07iQAZ/NQAqAgAAUwQAAA4AAAAAAAAAAQAgAAAAJQEAAGRycy9lMm9Eb2MueG1sUEsFBgAA&#10;AAAGAAYAWQEAAMEFAAAAAA==&#10;">
                <v:fill on="t" focussize="0,0"/>
                <v:stroke color="#000000" joinstyle="miter"/>
                <v:imagedata o:title=""/>
                <o:lock v:ext="edit" aspectratio="f"/>
                <v:textbox>
                  <w:txbxContent>
                    <w:p w14:paraId="436D8F78">
                      <w:pPr>
                        <w:jc w:val="center"/>
                        <w:rPr>
                          <w:rFonts w:hint="eastAsia" w:ascii="Times New Roman" w:hAnsi="宋体" w:eastAsia="宋体" w:cs="Times New Roman"/>
                          <w:szCs w:val="21"/>
                        </w:rPr>
                      </w:pPr>
                    </w:p>
                    <w:p w14:paraId="0B70C6C9">
                      <w:pPr>
                        <w:jc w:val="center"/>
                        <w:rPr>
                          <w:rFonts w:hint="eastAsia" w:ascii="Times New Roman" w:hAnsi="宋体" w:eastAsia="宋体" w:cs="Times New Roman"/>
                          <w:szCs w:val="21"/>
                        </w:rPr>
                      </w:pPr>
                    </w:p>
                    <w:p w14:paraId="5E583959">
                      <w:pPr>
                        <w:jc w:val="center"/>
                        <w:rPr>
                          <w:rFonts w:hint="eastAsia" w:ascii="Times New Roman" w:hAnsi="宋体" w:eastAsia="宋体" w:cs="Times New Roman"/>
                          <w:szCs w:val="21"/>
                        </w:rPr>
                      </w:pPr>
                    </w:p>
                    <w:p w14:paraId="2D4C316F">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正面</w:t>
                      </w:r>
                    </w:p>
                  </w:txbxContent>
                </v:textbox>
              </v:shape>
            </w:pict>
          </mc:Fallback>
        </mc:AlternateContent>
      </w:r>
      <w:r>
        <w:rPr>
          <w:rFonts w:hint="eastAsia" w:ascii="宋体" w:hAnsi="宋体" w:eastAsia="宋体" w:cs="宋体"/>
          <w:color w:val="auto"/>
          <w:sz w:val="24"/>
          <w:szCs w:val="24"/>
          <w:highlight w:val="none"/>
        </w:rPr>
        <mc:AlternateContent>
          <mc:Choice Requires="wps">
            <w:drawing>
              <wp:anchor distT="0" distB="0" distL="0" distR="0" simplePos="0" relativeHeight="251659264"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027" name="流程图: 可选过程 2"/>
                <wp:cNvGraphicFramePr/>
                <a:graphic xmlns:a="http://schemas.openxmlformats.org/drawingml/2006/main">
                  <a:graphicData uri="http://schemas.microsoft.com/office/word/2010/wordprocessingShape">
                    <wps:wsp>
                      <wps:cNvSpPr/>
                      <wps:spPr>
                        <a:xfrm>
                          <a:off x="0" y="0"/>
                          <a:ext cx="2333624"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30B41D4">
                            <w:pPr>
                              <w:jc w:val="center"/>
                              <w:rPr>
                                <w:rFonts w:hint="eastAsia" w:ascii="Times New Roman" w:hAnsi="宋体" w:eastAsia="宋体" w:cs="Times New Roman"/>
                                <w:szCs w:val="21"/>
                              </w:rPr>
                            </w:pPr>
                          </w:p>
                          <w:p w14:paraId="01564379">
                            <w:pPr>
                              <w:jc w:val="center"/>
                              <w:rPr>
                                <w:rFonts w:hint="eastAsia" w:ascii="Times New Roman" w:hAnsi="宋体" w:eastAsia="宋体" w:cs="Times New Roman"/>
                                <w:szCs w:val="21"/>
                              </w:rPr>
                            </w:pPr>
                          </w:p>
                          <w:p w14:paraId="6E319DEC">
                            <w:pPr>
                              <w:jc w:val="center"/>
                              <w:rPr>
                                <w:rFonts w:hint="eastAsia" w:ascii="Times New Roman" w:hAnsi="宋体" w:eastAsia="宋体" w:cs="Times New Roman"/>
                                <w:szCs w:val="21"/>
                              </w:rPr>
                            </w:pPr>
                          </w:p>
                          <w:p w14:paraId="07F257D0">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反面</w:t>
                            </w:r>
                          </w:p>
                        </w:txbxContent>
                      </wps:txbx>
                      <wps:bodyPr upright="1"/>
                    </wps:wsp>
                  </a:graphicData>
                </a:graphic>
              </wp:anchor>
            </w:drawing>
          </mc:Choice>
          <mc:Fallback>
            <w:pict>
              <v:shape id="流程图: 可选过程 2" o:spid="_x0000_s1026" o:spt="176" type="#_x0000_t176" style="position:absolute;left:0pt;margin-left:254.05pt;margin-top:2.7pt;height:124.75pt;width:183.75pt;z-index:251659264;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oTxGHYAAAACQEAAA8AAAAAAAAAAQAgAAAAIgAAAGRycy9kb3ducmV2LnhtbFBLAQIU&#10;ABQAAAAIAIdO4kBqGRzhLAIAAFMEAAAOAAAAAAAAAAEAIAAAACcBAABkcnMvZTJvRG9jLnhtbFBL&#10;BQYAAAAABgAGAFkBAADFBQAAAAA=&#10;">
                <v:fill on="t" focussize="0,0"/>
                <v:stroke color="#000000" joinstyle="miter"/>
                <v:imagedata o:title=""/>
                <o:lock v:ext="edit" aspectratio="f"/>
                <v:textbox>
                  <w:txbxContent>
                    <w:p w14:paraId="230B41D4">
                      <w:pPr>
                        <w:jc w:val="center"/>
                        <w:rPr>
                          <w:rFonts w:hint="eastAsia" w:ascii="Times New Roman" w:hAnsi="宋体" w:eastAsia="宋体" w:cs="Times New Roman"/>
                          <w:szCs w:val="21"/>
                        </w:rPr>
                      </w:pPr>
                    </w:p>
                    <w:p w14:paraId="01564379">
                      <w:pPr>
                        <w:jc w:val="center"/>
                        <w:rPr>
                          <w:rFonts w:hint="eastAsia" w:ascii="Times New Roman" w:hAnsi="宋体" w:eastAsia="宋体" w:cs="Times New Roman"/>
                          <w:szCs w:val="21"/>
                        </w:rPr>
                      </w:pPr>
                    </w:p>
                    <w:p w14:paraId="6E319DEC">
                      <w:pPr>
                        <w:jc w:val="center"/>
                        <w:rPr>
                          <w:rFonts w:hint="eastAsia" w:ascii="Times New Roman" w:hAnsi="宋体" w:eastAsia="宋体" w:cs="Times New Roman"/>
                          <w:szCs w:val="21"/>
                        </w:rPr>
                      </w:pPr>
                    </w:p>
                    <w:p w14:paraId="07F257D0">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反面</w:t>
                      </w:r>
                    </w:p>
                  </w:txbxContent>
                </v:textbox>
              </v:shape>
            </w:pict>
          </mc:Fallback>
        </mc:AlternateContent>
      </w:r>
    </w:p>
    <w:p w14:paraId="23B1293F">
      <w:pPr>
        <w:spacing w:line="500" w:lineRule="exact"/>
        <w:rPr>
          <w:rFonts w:hint="eastAsia" w:ascii="宋体" w:hAnsi="宋体" w:eastAsia="宋体" w:cs="宋体"/>
          <w:color w:val="auto"/>
          <w:sz w:val="24"/>
          <w:szCs w:val="24"/>
          <w:highlight w:val="none"/>
        </w:rPr>
      </w:pPr>
    </w:p>
    <w:p w14:paraId="46A43A50">
      <w:pPr>
        <w:spacing w:line="500" w:lineRule="exact"/>
        <w:rPr>
          <w:rFonts w:hint="eastAsia" w:ascii="宋体" w:hAnsi="宋体" w:eastAsia="宋体" w:cs="宋体"/>
          <w:color w:val="auto"/>
          <w:sz w:val="24"/>
          <w:szCs w:val="24"/>
          <w:highlight w:val="none"/>
        </w:rPr>
      </w:pPr>
    </w:p>
    <w:p w14:paraId="458FEB08">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宋体" w:hAnsi="宋体" w:eastAsia="宋体" w:cs="宋体"/>
          <w:color w:val="auto"/>
          <w:sz w:val="24"/>
          <w:szCs w:val="24"/>
          <w:highlight w:val="none"/>
        </w:rPr>
      </w:pPr>
    </w:p>
    <w:p w14:paraId="737A7614">
      <w:pPr>
        <w:spacing w:line="500" w:lineRule="exact"/>
        <w:jc w:val="center"/>
        <w:rPr>
          <w:rFonts w:hint="eastAsia" w:ascii="宋体" w:hAnsi="宋体" w:eastAsia="宋体" w:cs="宋体"/>
          <w:color w:val="auto"/>
          <w:sz w:val="24"/>
          <w:szCs w:val="24"/>
          <w:highlight w:val="none"/>
        </w:rPr>
      </w:pPr>
    </w:p>
    <w:p w14:paraId="0664B381">
      <w:pPr>
        <w:autoSpaceDE w:val="0"/>
        <w:autoSpaceDN w:val="0"/>
        <w:adjustRightInd w:val="0"/>
        <w:spacing w:line="500" w:lineRule="exact"/>
        <w:ind w:right="246" w:firstLine="784" w:firstLineChars="327"/>
        <w:rPr>
          <w:rFonts w:hint="eastAsia" w:ascii="宋体" w:hAnsi="宋体" w:eastAsia="宋体" w:cs="宋体"/>
          <w:color w:val="auto"/>
          <w:kern w:val="0"/>
          <w:sz w:val="24"/>
          <w:szCs w:val="24"/>
          <w:highlight w:val="none"/>
        </w:rPr>
      </w:pPr>
    </w:p>
    <w:p w14:paraId="487D6260">
      <w:pPr>
        <w:pStyle w:val="15"/>
        <w:shd w:val="clear" w:color="auto" w:fill="auto"/>
        <w:tabs>
          <w:tab w:val="left" w:pos="5580"/>
        </w:tabs>
        <w:spacing w:line="240" w:lineRule="atLeas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 xml:space="preserve">                           </w:t>
      </w:r>
    </w:p>
    <w:p w14:paraId="637D6BC6">
      <w:pPr>
        <w:shd w:val="clear" w:color="auto" w:fill="auto"/>
        <w:spacing w:line="360" w:lineRule="auto"/>
        <w:ind w:firstLine="1680" w:firstLineChars="700"/>
        <w:jc w:val="left"/>
        <w:rPr>
          <w:rFonts w:hint="eastAsia" w:ascii="宋体" w:hAnsi="宋体" w:eastAsia="宋体" w:cs="宋体"/>
          <w:color w:val="auto"/>
          <w:kern w:val="2"/>
          <w:sz w:val="24"/>
          <w:szCs w:val="20"/>
          <w:highlight w:val="none"/>
          <w:u w:val="none" w:color="000000"/>
          <w:lang w:val="en-US" w:eastAsia="zh-CN" w:bidi="ar-SA"/>
        </w:rPr>
      </w:pPr>
    </w:p>
    <w:p w14:paraId="7298A24B">
      <w:pPr>
        <w:shd w:val="clear" w:color="auto" w:fill="auto"/>
        <w:spacing w:line="360" w:lineRule="auto"/>
        <w:ind w:firstLine="3600" w:firstLineChars="1500"/>
        <w:jc w:val="left"/>
        <w:rPr>
          <w:rFonts w:hint="eastAsia" w:ascii="宋体" w:hAnsi="宋体" w:eastAsia="宋体" w:cs="宋体"/>
          <w:color w:val="auto"/>
          <w:kern w:val="2"/>
          <w:sz w:val="24"/>
          <w:szCs w:val="20"/>
          <w:highlight w:val="none"/>
          <w:u w:val="none" w:color="000000"/>
          <w:lang w:val="en-US" w:eastAsia="zh-CN" w:bidi="ar-SA"/>
        </w:rPr>
      </w:pPr>
      <w:r>
        <w:rPr>
          <w:rFonts w:hint="eastAsia" w:ascii="仿宋" w:hAnsi="仿宋" w:eastAsia="仿宋" w:cs="仿宋"/>
          <w:color w:val="000000"/>
          <w:kern w:val="0"/>
          <w:sz w:val="24"/>
          <w:highlight w:val="none"/>
        </w:rPr>
        <w:t xml:space="preserve"> </w:t>
      </w:r>
      <w:r>
        <w:rPr>
          <w:rFonts w:hint="eastAsia" w:ascii="仿宋" w:hAnsi="仿宋" w:eastAsia="仿宋" w:cs="仿宋"/>
          <w:color w:val="000000"/>
          <w:kern w:val="0"/>
          <w:sz w:val="24"/>
          <w:highlight w:val="none"/>
          <w:u w:val="single"/>
        </w:rPr>
        <w:t xml:space="preserve">   </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年</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月</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日</w:t>
      </w:r>
      <w:r>
        <w:rPr>
          <w:rFonts w:hint="eastAsia" w:ascii="宋体" w:hAnsi="宋体" w:eastAsia="宋体" w:cs="宋体"/>
          <w:color w:val="auto"/>
          <w:kern w:val="2"/>
          <w:sz w:val="24"/>
          <w:szCs w:val="20"/>
          <w:highlight w:val="none"/>
          <w:u w:val="none" w:color="000000"/>
          <w:lang w:val="en-US" w:eastAsia="zh-CN" w:bidi="ar-SA"/>
        </w:rPr>
        <w:t xml:space="preserve"> </w:t>
      </w:r>
    </w:p>
    <w:p w14:paraId="2AF7988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FB6E55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43BF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7D17F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4FEC5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74CA6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9ACCCD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12551A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B6254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F63C883">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3、法定代表人授权委托书</w:t>
      </w:r>
    </w:p>
    <w:p w14:paraId="3CE2AA5E">
      <w:pPr>
        <w:widowControl w:val="0"/>
        <w:shd w:val="clear" w:color="auto" w:fill="auto"/>
        <w:tabs>
          <w:tab w:val="left" w:pos="5580"/>
        </w:tabs>
        <w:spacing w:line="360" w:lineRule="auto"/>
        <w:jc w:val="both"/>
        <w:rPr>
          <w:rFonts w:hint="eastAsia" w:ascii="宋体" w:hAnsi="宋体" w:eastAsia="宋体" w:cs="宋体"/>
          <w:color w:val="auto"/>
          <w:kern w:val="2"/>
          <w:sz w:val="24"/>
          <w:szCs w:val="20"/>
          <w:highlight w:val="none"/>
          <w:u w:val="none" w:color="000000"/>
          <w:lang w:val="en-US" w:eastAsia="zh-CN" w:bidi="ar-SA"/>
        </w:rPr>
      </w:pPr>
    </w:p>
    <w:p w14:paraId="0B8D0401">
      <w:pPr>
        <w:widowControl w:val="0"/>
        <w:shd w:val="clear" w:color="auto" w:fill="auto"/>
        <w:tabs>
          <w:tab w:val="left" w:pos="5580"/>
        </w:tabs>
        <w:spacing w:line="360" w:lineRule="auto"/>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本授权书声明：注册于</w:t>
      </w:r>
      <w:r>
        <w:rPr>
          <w:rFonts w:hint="eastAsia" w:ascii="宋体" w:hAnsi="宋体" w:eastAsia="宋体" w:cs="宋体"/>
          <w:color w:val="auto"/>
          <w:kern w:val="2"/>
          <w:sz w:val="24"/>
          <w:szCs w:val="20"/>
          <w:highlight w:val="none"/>
          <w:u w:val="single" w:color="000000"/>
          <w:lang w:val="en-US" w:eastAsia="zh-CN" w:bidi="ar-SA"/>
        </w:rPr>
        <w:t>（国家或地区的名称）</w:t>
      </w:r>
      <w:r>
        <w:rPr>
          <w:rFonts w:hint="eastAsia" w:ascii="宋体" w:hAnsi="宋体" w:eastAsia="宋体" w:cs="宋体"/>
          <w:color w:val="auto"/>
          <w:kern w:val="2"/>
          <w:sz w:val="24"/>
          <w:szCs w:val="20"/>
          <w:highlight w:val="none"/>
          <w:u w:val="none" w:color="000000"/>
          <w:lang w:val="en-US" w:eastAsia="zh-CN" w:bidi="ar-SA"/>
        </w:rPr>
        <w:t>的（</w:t>
      </w:r>
      <w:r>
        <w:rPr>
          <w:rFonts w:hint="eastAsia" w:ascii="宋体" w:hAnsi="宋体" w:eastAsia="宋体" w:cs="宋体"/>
          <w:i/>
          <w:color w:val="auto"/>
          <w:kern w:val="2"/>
          <w:sz w:val="24"/>
          <w:szCs w:val="20"/>
          <w:highlight w:val="none"/>
          <w:u w:val="single" w:color="000000"/>
          <w:lang w:val="en-US" w:eastAsia="zh-CN" w:bidi="ar-SA"/>
        </w:rPr>
        <w:t>投标人</w:t>
      </w:r>
      <w:r>
        <w:rPr>
          <w:rFonts w:hint="eastAsia" w:ascii="宋体" w:hAnsi="宋体" w:eastAsia="宋体" w:cs="宋体"/>
          <w:color w:val="auto"/>
          <w:kern w:val="2"/>
          <w:sz w:val="24"/>
          <w:szCs w:val="20"/>
          <w:highlight w:val="none"/>
          <w:u w:val="none" w:color="000000"/>
          <w:lang w:val="en-US" w:eastAsia="zh-CN" w:bidi="ar-SA"/>
        </w:rPr>
        <w:t>）的在下面签字的（</w:t>
      </w:r>
      <w:r>
        <w:rPr>
          <w:rFonts w:hint="eastAsia" w:ascii="宋体" w:hAnsi="宋体" w:eastAsia="宋体" w:cs="宋体"/>
          <w:i/>
          <w:color w:val="auto"/>
          <w:kern w:val="2"/>
          <w:sz w:val="24"/>
          <w:szCs w:val="20"/>
          <w:highlight w:val="none"/>
          <w:u w:val="single" w:color="000000"/>
          <w:lang w:val="en-US" w:eastAsia="zh-CN" w:bidi="ar-SA"/>
        </w:rPr>
        <w:t>法人代表姓名、职务</w:t>
      </w:r>
      <w:r>
        <w:rPr>
          <w:rFonts w:hint="eastAsia" w:ascii="宋体" w:hAnsi="宋体" w:eastAsia="宋体" w:cs="宋体"/>
          <w:color w:val="auto"/>
          <w:kern w:val="2"/>
          <w:sz w:val="24"/>
          <w:szCs w:val="20"/>
          <w:highlight w:val="none"/>
          <w:u w:val="none" w:color="000000"/>
          <w:lang w:val="en-US" w:eastAsia="zh-CN" w:bidi="ar-SA"/>
        </w:rPr>
        <w:t>）代表我单位授权（</w:t>
      </w:r>
      <w:r>
        <w:rPr>
          <w:rFonts w:hint="eastAsia" w:ascii="宋体" w:hAnsi="宋体" w:eastAsia="宋体" w:cs="宋体"/>
          <w:i/>
          <w:color w:val="auto"/>
          <w:kern w:val="2"/>
          <w:sz w:val="24"/>
          <w:szCs w:val="20"/>
          <w:highlight w:val="none"/>
          <w:u w:val="single" w:color="000000"/>
          <w:lang w:val="en-US" w:eastAsia="zh-CN" w:bidi="ar-SA"/>
        </w:rPr>
        <w:t>单位名称</w:t>
      </w:r>
      <w:r>
        <w:rPr>
          <w:rFonts w:hint="eastAsia" w:ascii="宋体" w:hAnsi="宋体" w:eastAsia="宋体" w:cs="宋体"/>
          <w:color w:val="auto"/>
          <w:kern w:val="2"/>
          <w:sz w:val="24"/>
          <w:szCs w:val="20"/>
          <w:highlight w:val="none"/>
          <w:u w:val="none" w:color="000000"/>
          <w:lang w:val="en-US" w:eastAsia="zh-CN" w:bidi="ar-SA"/>
        </w:rPr>
        <w:t>）的在下面签字的（</w:t>
      </w:r>
      <w:r>
        <w:rPr>
          <w:rFonts w:hint="eastAsia" w:ascii="宋体" w:hAnsi="宋体" w:eastAsia="宋体" w:cs="宋体"/>
          <w:i/>
          <w:color w:val="auto"/>
          <w:kern w:val="2"/>
          <w:sz w:val="24"/>
          <w:szCs w:val="20"/>
          <w:highlight w:val="none"/>
          <w:u w:val="single" w:color="000000"/>
          <w:lang w:val="en-US" w:eastAsia="zh-CN" w:bidi="ar-SA"/>
        </w:rPr>
        <w:t>被授权人的姓名、职务</w:t>
      </w:r>
      <w:r>
        <w:rPr>
          <w:rFonts w:hint="eastAsia" w:ascii="宋体" w:hAnsi="宋体" w:eastAsia="宋体" w:cs="宋体"/>
          <w:color w:val="auto"/>
          <w:kern w:val="2"/>
          <w:sz w:val="24"/>
          <w:szCs w:val="20"/>
          <w:highlight w:val="none"/>
          <w:u w:val="none" w:color="000000"/>
          <w:lang w:val="en-US" w:eastAsia="zh-CN" w:bidi="ar-SA"/>
        </w:rPr>
        <w:t>）为我单位的合法代理人，就（</w:t>
      </w:r>
      <w:r>
        <w:rPr>
          <w:rFonts w:hint="eastAsia" w:ascii="宋体" w:hAnsi="宋体" w:eastAsia="宋体" w:cs="宋体"/>
          <w:i/>
          <w:color w:val="auto"/>
          <w:kern w:val="2"/>
          <w:sz w:val="24"/>
          <w:szCs w:val="20"/>
          <w:highlight w:val="none"/>
          <w:u w:val="single" w:color="000000"/>
          <w:lang w:val="en-US" w:eastAsia="zh-CN" w:bidi="ar-SA"/>
        </w:rPr>
        <w:t>项目名称</w:t>
      </w:r>
      <w:r>
        <w:rPr>
          <w:rFonts w:hint="eastAsia" w:ascii="宋体" w:hAnsi="宋体" w:eastAsia="宋体" w:cs="宋体"/>
          <w:color w:val="auto"/>
          <w:kern w:val="2"/>
          <w:sz w:val="24"/>
          <w:szCs w:val="20"/>
          <w:highlight w:val="none"/>
          <w:u w:val="none" w:color="000000"/>
          <w:lang w:val="en-US" w:eastAsia="zh-CN" w:bidi="ar-SA"/>
        </w:rPr>
        <w:t>）投标，以我单位名义处理一切与之有关的事务。</w:t>
      </w:r>
      <w:r>
        <w:rPr>
          <w:rFonts w:hint="eastAsia" w:ascii="宋体" w:hAnsi="宋体" w:eastAsia="宋体" w:cs="宋体"/>
          <w:color w:val="auto"/>
          <w:kern w:val="2"/>
          <w:sz w:val="24"/>
          <w:szCs w:val="20"/>
          <w:highlight w:val="none"/>
          <w:u w:val="none" w:color="000000"/>
          <w:lang w:val="en-US" w:eastAsia="zh-CN" w:bidi="ar-SA"/>
        </w:rPr>
        <w:cr/>
      </w:r>
      <w:r>
        <w:rPr>
          <w:rFonts w:hint="eastAsia" w:ascii="宋体" w:hAnsi="宋体" w:eastAsia="宋体" w:cs="宋体"/>
          <w:color w:val="auto"/>
          <w:kern w:val="2"/>
          <w:sz w:val="24"/>
          <w:szCs w:val="20"/>
          <w:highlight w:val="none"/>
          <w:u w:val="none" w:color="000000"/>
          <w:lang w:val="en-US" w:eastAsia="zh-CN" w:bidi="ar-SA"/>
        </w:rPr>
        <w:t>　　本授权书于</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年</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月</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日签字生效,特此声明。</w:t>
      </w:r>
      <w:r>
        <w:rPr>
          <w:rFonts w:hint="eastAsia" w:ascii="宋体" w:hAnsi="宋体" w:eastAsia="宋体" w:cs="宋体"/>
          <w:color w:val="auto"/>
          <w:kern w:val="2"/>
          <w:sz w:val="24"/>
          <w:szCs w:val="20"/>
          <w:highlight w:val="none"/>
          <w:u w:val="none" w:color="000000"/>
          <w:lang w:val="en-US" w:eastAsia="zh-CN" w:bidi="ar-SA"/>
        </w:rPr>
        <w:cr/>
      </w:r>
    </w:p>
    <w:p w14:paraId="70F0DF6C">
      <w:pPr>
        <w:widowControl w:val="0"/>
        <w:shd w:val="clear" w:color="auto" w:fill="auto"/>
        <w:tabs>
          <w:tab w:val="left" w:pos="5580"/>
        </w:tabs>
        <w:spacing w:line="240" w:lineRule="atLeast"/>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mc:AlternateContent>
          <mc:Choice Requires="wps">
            <w:drawing>
              <wp:anchor distT="0" distB="0" distL="0" distR="0" simplePos="0" relativeHeight="251659264" behindDoc="0" locked="0" layoutInCell="1" allowOverlap="1">
                <wp:simplePos x="0" y="0"/>
                <wp:positionH relativeFrom="column">
                  <wp:posOffset>3039110</wp:posOffset>
                </wp:positionH>
                <wp:positionV relativeFrom="paragraph">
                  <wp:posOffset>110490</wp:posOffset>
                </wp:positionV>
                <wp:extent cx="2478405" cy="1191895"/>
                <wp:effectExtent l="7620" t="7620" r="9525" b="19685"/>
                <wp:wrapNone/>
                <wp:docPr id="1028" name="圆角矩形 4"/>
                <wp:cNvGraphicFramePr/>
                <a:graphic xmlns:a="http://schemas.openxmlformats.org/drawingml/2006/main">
                  <a:graphicData uri="http://schemas.microsoft.com/office/word/2010/wordprocessingShape">
                    <wps:wsp>
                      <wps:cNvSpPr/>
                      <wps:spPr>
                        <a:xfrm>
                          <a:off x="0" y="0"/>
                          <a:ext cx="2478405" cy="119189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16B4FF8A">
                            <w:pPr>
                              <w:rPr>
                                <w:rFonts w:hint="eastAsia" w:ascii="Times New Roman" w:hAnsi="宋体" w:eastAsia="宋体" w:cs="Times New Roman"/>
                              </w:rPr>
                            </w:pPr>
                          </w:p>
                          <w:p w14:paraId="325EFA74">
                            <w:pPr>
                              <w:rPr>
                                <w:rFonts w:hint="eastAsia" w:ascii="Times New Roman" w:hAnsi="宋体" w:eastAsia="宋体" w:cs="Times New Roman"/>
                              </w:rPr>
                            </w:pPr>
                          </w:p>
                          <w:p w14:paraId="749670C0">
                            <w:pPr>
                              <w:rPr>
                                <w:rFonts w:hint="eastAsia" w:ascii="Times New Roman" w:hAnsi="宋体" w:eastAsia="宋体" w:cs="Times New Roman"/>
                              </w:rPr>
                            </w:pPr>
                          </w:p>
                          <w:p w14:paraId="2FF81D11">
                            <w:pPr>
                              <w:jc w:val="center"/>
                              <w:rPr>
                                <w:rFonts w:ascii="Times New Roman" w:hAnsi="Times New Roman" w:eastAsia="宋体" w:cs="Times New Roman"/>
                              </w:rPr>
                            </w:pPr>
                            <w:r>
                              <w:rPr>
                                <w:rFonts w:hint="eastAsia" w:ascii="Times New Roman" w:hAnsi="宋体" w:eastAsia="宋体" w:cs="Times New Roman"/>
                              </w:rPr>
                              <w:t>法人身份证复印件反面</w:t>
                            </w:r>
                          </w:p>
                          <w:p w14:paraId="40EC7F1E">
                            <w:pPr>
                              <w:rPr>
                                <w:rFonts w:ascii="Times New Roman" w:hAnsi="Times New Roman" w:eastAsia="宋体" w:cs="Times New Roman"/>
                              </w:rPr>
                            </w:pPr>
                          </w:p>
                        </w:txbxContent>
                      </wps:txbx>
                      <wps:bodyPr upright="1"/>
                    </wps:wsp>
                  </a:graphicData>
                </a:graphic>
              </wp:anchor>
            </w:drawing>
          </mc:Choice>
          <mc:Fallback>
            <w:pict>
              <v:roundrect id="圆角矩形 4" o:spid="_x0000_s1026" o:spt="2" style="position:absolute;left:0pt;margin-left:239.3pt;margin-top:8.7pt;height:93.85pt;width:195.15pt;z-index:251659264;mso-width-relative:page;mso-height-relative:page;" fillcolor="#FFFFFF" filled="t" stroked="t" coordsize="21600,21600" arcsize="0.166666666666667" o:gfxdata="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XLHstsAAAAKAQAADwAAAAAAAAABACAAAAAiAAAAZHJzL2Rvd25yZXYueG1sUEsB&#10;AhQAFAAAAAgAh07iQEeG7NMrAgAAZQQAAA4AAAAAAAAAAQAgAAAAKgEAAGRycy9lMm9Eb2MueG1s&#10;UEsFBgAAAAAGAAYAWQEAAMcFAAAAAA==&#10;">
                <v:fill on="t" focussize="0,0"/>
                <v:stroke weight="1.25pt" color="#808080" joinstyle="round"/>
                <v:imagedata o:title=""/>
                <o:lock v:ext="edit" aspectratio="f"/>
                <v:textbox>
                  <w:txbxContent>
                    <w:p w14:paraId="16B4FF8A">
                      <w:pPr>
                        <w:rPr>
                          <w:rFonts w:hint="eastAsia" w:ascii="Times New Roman" w:hAnsi="宋体" w:eastAsia="宋体" w:cs="Times New Roman"/>
                        </w:rPr>
                      </w:pPr>
                    </w:p>
                    <w:p w14:paraId="325EFA74">
                      <w:pPr>
                        <w:rPr>
                          <w:rFonts w:hint="eastAsia" w:ascii="Times New Roman" w:hAnsi="宋体" w:eastAsia="宋体" w:cs="Times New Roman"/>
                        </w:rPr>
                      </w:pPr>
                    </w:p>
                    <w:p w14:paraId="749670C0">
                      <w:pPr>
                        <w:rPr>
                          <w:rFonts w:hint="eastAsia" w:ascii="Times New Roman" w:hAnsi="宋体" w:eastAsia="宋体" w:cs="Times New Roman"/>
                        </w:rPr>
                      </w:pPr>
                    </w:p>
                    <w:p w14:paraId="2FF81D11">
                      <w:pPr>
                        <w:jc w:val="center"/>
                        <w:rPr>
                          <w:rFonts w:ascii="Times New Roman" w:hAnsi="Times New Roman" w:eastAsia="宋体" w:cs="Times New Roman"/>
                        </w:rPr>
                      </w:pPr>
                      <w:r>
                        <w:rPr>
                          <w:rFonts w:hint="eastAsia" w:ascii="Times New Roman" w:hAnsi="宋体" w:eastAsia="宋体" w:cs="Times New Roman"/>
                        </w:rPr>
                        <w:t>法人身份证复印件反面</w:t>
                      </w:r>
                    </w:p>
                    <w:p w14:paraId="40EC7F1E">
                      <w:pPr>
                        <w:rPr>
                          <w:rFonts w:ascii="Times New Roman" w:hAnsi="Times New Roman" w:eastAsia="宋体" w:cs="Times New Roman"/>
                        </w:rPr>
                      </w:pPr>
                    </w:p>
                  </w:txbxContent>
                </v:textbox>
              </v:roundrect>
            </w:pict>
          </mc:Fallback>
        </mc:AlternateContent>
      </w:r>
      <w:r>
        <w:rPr>
          <w:rFonts w:hint="eastAsia" w:ascii="宋体" w:hAnsi="宋体" w:eastAsia="宋体" w:cs="宋体"/>
          <w:color w:val="auto"/>
          <w:kern w:val="2"/>
          <w:sz w:val="24"/>
          <w:szCs w:val="20"/>
          <w:highlight w:val="none"/>
          <w:u w:val="none" w:color="000000"/>
          <w:lang w:val="en-US" w:eastAsia="zh-CN" w:bidi="ar-SA"/>
        </w:rPr>
        <mc:AlternateContent>
          <mc:Choice Requires="wps">
            <w:drawing>
              <wp:anchor distT="0" distB="0" distL="0" distR="0" simplePos="0" relativeHeight="251659264"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1029"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A83A64D">
                            <w:pPr>
                              <w:jc w:val="center"/>
                              <w:rPr>
                                <w:rFonts w:hint="eastAsia" w:ascii="Times New Roman" w:hAnsi="宋体" w:eastAsia="宋体" w:cs="Times New Roman"/>
                              </w:rPr>
                            </w:pPr>
                          </w:p>
                          <w:p w14:paraId="693D0FB6">
                            <w:pPr>
                              <w:jc w:val="center"/>
                              <w:rPr>
                                <w:rFonts w:hint="eastAsia" w:ascii="Times New Roman" w:hAnsi="宋体" w:eastAsia="宋体" w:cs="Times New Roman"/>
                              </w:rPr>
                            </w:pPr>
                          </w:p>
                          <w:p w14:paraId="7066CC6D">
                            <w:pPr>
                              <w:jc w:val="center"/>
                              <w:rPr>
                                <w:rFonts w:ascii="Times New Roman" w:hAnsi="Times New Roman" w:eastAsia="宋体" w:cs="Times New Roman"/>
                              </w:rPr>
                            </w:pPr>
                            <w:r>
                              <w:rPr>
                                <w:rFonts w:hint="eastAsia" w:ascii="Times New Roman" w:hAnsi="宋体" w:eastAsia="宋体" w:cs="Times New Roman"/>
                              </w:rPr>
                              <w:t>法人身份证复印件正面</w:t>
                            </w:r>
                          </w:p>
                          <w:p w14:paraId="54A84060">
                            <w:pPr>
                              <w:jc w:val="center"/>
                              <w:rPr>
                                <w:rFonts w:hint="eastAsia" w:ascii="Times New Roman" w:hAnsi="宋体" w:eastAsia="宋体" w:cs="Times New Roman"/>
                              </w:rPr>
                            </w:pPr>
                          </w:p>
                        </w:txbxContent>
                      </wps:txbx>
                      <wps:bodyPr upright="1"/>
                    </wps:wsp>
                  </a:graphicData>
                </a:graphic>
              </wp:anchor>
            </w:drawing>
          </mc:Choice>
          <mc:Fallback>
            <w:pict>
              <v:shape id="流程图: 可选过程 6" o:spid="_x0000_s1026" o:spt="176" type="#_x0000_t176" style="position:absolute;left:0pt;margin-left:1.65pt;margin-top:10.7pt;height:90pt;width:197.45pt;z-index:251659264;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YEjIw1gAAAAgBAAAPAAAAAAAAAAEAIAAAACIAAABkcnMvZG93bnJldi54bWxQSwEC&#10;FAAUAAAACACHTuJAN3XIOC8CAABTBAAADgAAAAAAAAABACAAAAAlAQAAZHJzL2Uyb0RvYy54bWxQ&#10;SwUGAAAAAAYABgBZAQAAxgUAAAAA&#10;">
                <v:fill on="t" focussize="0,0"/>
                <v:stroke color="#000000" joinstyle="miter"/>
                <v:imagedata o:title=""/>
                <o:lock v:ext="edit" aspectratio="f"/>
                <v:textbox>
                  <w:txbxContent>
                    <w:p w14:paraId="1A83A64D">
                      <w:pPr>
                        <w:jc w:val="center"/>
                        <w:rPr>
                          <w:rFonts w:hint="eastAsia" w:ascii="Times New Roman" w:hAnsi="宋体" w:eastAsia="宋体" w:cs="Times New Roman"/>
                        </w:rPr>
                      </w:pPr>
                    </w:p>
                    <w:p w14:paraId="693D0FB6">
                      <w:pPr>
                        <w:jc w:val="center"/>
                        <w:rPr>
                          <w:rFonts w:hint="eastAsia" w:ascii="Times New Roman" w:hAnsi="宋体" w:eastAsia="宋体" w:cs="Times New Roman"/>
                        </w:rPr>
                      </w:pPr>
                    </w:p>
                    <w:p w14:paraId="7066CC6D">
                      <w:pPr>
                        <w:jc w:val="center"/>
                        <w:rPr>
                          <w:rFonts w:ascii="Times New Roman" w:hAnsi="Times New Roman" w:eastAsia="宋体" w:cs="Times New Roman"/>
                        </w:rPr>
                      </w:pPr>
                      <w:r>
                        <w:rPr>
                          <w:rFonts w:hint="eastAsia" w:ascii="Times New Roman" w:hAnsi="宋体" w:eastAsia="宋体" w:cs="Times New Roman"/>
                        </w:rPr>
                        <w:t>法人身份证复印件正面</w:t>
                      </w:r>
                    </w:p>
                    <w:p w14:paraId="54A84060">
                      <w:pPr>
                        <w:jc w:val="center"/>
                        <w:rPr>
                          <w:rFonts w:hint="eastAsia" w:ascii="Times New Roman" w:hAnsi="宋体" w:eastAsia="宋体" w:cs="Times New Roman"/>
                        </w:rPr>
                      </w:pPr>
                    </w:p>
                  </w:txbxContent>
                </v:textbox>
              </v:shape>
            </w:pict>
          </mc:Fallback>
        </mc:AlternateContent>
      </w:r>
    </w:p>
    <w:p w14:paraId="7C773A37">
      <w:pPr>
        <w:shd w:val="clear" w:color="auto" w:fill="auto"/>
        <w:spacing w:line="360" w:lineRule="auto"/>
        <w:ind w:firstLine="240" w:firstLineChars="100"/>
        <w:rPr>
          <w:rFonts w:hint="eastAsia" w:ascii="宋体" w:hAnsi="宋体" w:eastAsia="宋体" w:cs="宋体"/>
          <w:color w:val="auto"/>
          <w:sz w:val="24"/>
          <w:highlight w:val="none"/>
        </w:rPr>
      </w:pPr>
    </w:p>
    <w:p w14:paraId="38375952">
      <w:pPr>
        <w:shd w:val="clear" w:color="auto" w:fill="auto"/>
        <w:spacing w:line="360" w:lineRule="auto"/>
        <w:ind w:firstLine="240" w:firstLineChars="100"/>
        <w:rPr>
          <w:rFonts w:hint="eastAsia" w:ascii="宋体" w:hAnsi="宋体" w:eastAsia="宋体" w:cs="宋体"/>
          <w:color w:val="auto"/>
          <w:sz w:val="24"/>
          <w:highlight w:val="none"/>
        </w:rPr>
      </w:pPr>
    </w:p>
    <w:p w14:paraId="54500951">
      <w:pPr>
        <w:shd w:val="clear" w:color="auto" w:fill="auto"/>
        <w:spacing w:line="360" w:lineRule="auto"/>
        <w:ind w:firstLine="240" w:firstLineChars="100"/>
        <w:rPr>
          <w:rFonts w:hint="eastAsia" w:ascii="宋体" w:hAnsi="宋体" w:eastAsia="宋体" w:cs="宋体"/>
          <w:color w:val="auto"/>
          <w:sz w:val="24"/>
          <w:highlight w:val="none"/>
        </w:rPr>
      </w:pPr>
    </w:p>
    <w:p w14:paraId="7397B13E">
      <w:pPr>
        <w:shd w:val="clear" w:color="auto" w:fill="auto"/>
        <w:spacing w:line="360" w:lineRule="auto"/>
        <w:ind w:firstLine="240" w:firstLineChars="100"/>
        <w:rPr>
          <w:rFonts w:hint="eastAsia" w:ascii="宋体" w:hAnsi="宋体" w:eastAsia="宋体" w:cs="宋体"/>
          <w:color w:val="auto"/>
          <w:sz w:val="24"/>
          <w:highlight w:val="none"/>
        </w:rPr>
      </w:pPr>
    </w:p>
    <w:p w14:paraId="13074937">
      <w:pPr>
        <w:shd w:val="clear" w:color="auto" w:fill="auto"/>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3018155</wp:posOffset>
                </wp:positionH>
                <wp:positionV relativeFrom="paragraph">
                  <wp:posOffset>53975</wp:posOffset>
                </wp:positionV>
                <wp:extent cx="2535555" cy="1124585"/>
                <wp:effectExtent l="7620" t="7620" r="9525" b="10795"/>
                <wp:wrapNone/>
                <wp:docPr id="1030" name="圆角矩形 5"/>
                <wp:cNvGraphicFramePr/>
                <a:graphic xmlns:a="http://schemas.openxmlformats.org/drawingml/2006/main">
                  <a:graphicData uri="http://schemas.microsoft.com/office/word/2010/wordprocessingShape">
                    <wps:wsp>
                      <wps:cNvSpPr/>
                      <wps:spPr>
                        <a:xfrm>
                          <a:off x="0" y="0"/>
                          <a:ext cx="2535555" cy="112458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4DE8616A">
                            <w:pPr>
                              <w:jc w:val="center"/>
                              <w:rPr>
                                <w:rFonts w:hint="eastAsia" w:ascii="Times New Roman" w:hAnsi="宋体" w:eastAsia="宋体" w:cs="Times New Roman"/>
                              </w:rPr>
                            </w:pPr>
                            <w:r>
                              <w:rPr>
                                <w:rFonts w:hint="eastAsia" w:ascii="Times New Roman" w:hAnsi="宋体" w:eastAsia="宋体" w:cs="Times New Roman"/>
                              </w:rPr>
                              <w:t xml:space="preserve">  </w:t>
                            </w:r>
                          </w:p>
                          <w:p w14:paraId="62F15FD7">
                            <w:pPr>
                              <w:ind w:firstLine="210" w:firstLineChars="100"/>
                              <w:rPr>
                                <w:rFonts w:hint="eastAsia" w:ascii="Times New Roman" w:hAnsi="宋体" w:eastAsia="宋体" w:cs="Times New Roman"/>
                              </w:rPr>
                            </w:pPr>
                          </w:p>
                          <w:p w14:paraId="75F2F0D5">
                            <w:pPr>
                              <w:ind w:firstLine="420" w:firstLineChars="200"/>
                              <w:rPr>
                                <w:rFonts w:ascii="Times New Roman" w:hAnsi="Times New Roman" w:eastAsia="宋体" w:cs="Times New Roman"/>
                              </w:rPr>
                            </w:pPr>
                            <w:r>
                              <w:rPr>
                                <w:rFonts w:hint="eastAsia" w:ascii="Times New Roman" w:hAnsi="宋体" w:eastAsia="宋体" w:cs="Times New Roman"/>
                              </w:rPr>
                              <w:t>授权委托人身份证复印件反面</w:t>
                            </w:r>
                          </w:p>
                          <w:p w14:paraId="755E72A4">
                            <w:pPr>
                              <w:jc w:val="center"/>
                              <w:rPr>
                                <w:rFonts w:hint="eastAsia" w:ascii="Times New Roman" w:hAnsi="宋体" w:eastAsia="宋体" w:cs="Times New Roman"/>
                              </w:rPr>
                            </w:pPr>
                          </w:p>
                          <w:p w14:paraId="64830761">
                            <w:pPr>
                              <w:jc w:val="center"/>
                              <w:rPr>
                                <w:rFonts w:hint="eastAsia" w:ascii="Times New Roman" w:hAnsi="宋体" w:eastAsia="宋体" w:cs="Times New Roman"/>
                              </w:rPr>
                            </w:pPr>
                          </w:p>
                          <w:p w14:paraId="4DEC6AA8">
                            <w:pPr>
                              <w:rPr>
                                <w:rFonts w:ascii="Times New Roman" w:hAnsi="Times New Roman" w:eastAsia="宋体" w:cs="Times New Roman"/>
                              </w:rPr>
                            </w:pPr>
                          </w:p>
                        </w:txbxContent>
                      </wps:txbx>
                      <wps:bodyPr upright="1"/>
                    </wps:wsp>
                  </a:graphicData>
                </a:graphic>
              </wp:anchor>
            </w:drawing>
          </mc:Choice>
          <mc:Fallback>
            <w:pict>
              <v:roundrect id="圆角矩形 5" o:spid="_x0000_s1026" o:spt="2" style="position:absolute;left:0pt;margin-left:237.65pt;margin-top:4.25pt;height:88.55pt;width:199.65pt;z-index:251659264;mso-width-relative:page;mso-height-relative:page;" fillcolor="#FFFFFF" filled="t" stroked="t" coordsize="21600,21600" arcsize="0.166666666666667" o:gfxdata="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VDTWzaAAAACQEAAA8AAAAAAAAAAQAgAAAAIgAAAGRycy9kb3ducmV2LnhtbFBLAQIU&#10;ABQAAAAIAIdO4kCiWq0dKgIAAGUEAAAOAAAAAAAAAAEAIAAAACkBAABkcnMvZTJvRG9jLnhtbFBL&#10;BQYAAAAABgAGAFkBAADFBQAAAAA=&#10;">
                <v:fill on="t" focussize="0,0"/>
                <v:stroke weight="1.25pt" color="#808080" joinstyle="round"/>
                <v:imagedata o:title=""/>
                <o:lock v:ext="edit" aspectratio="f"/>
                <v:textbox>
                  <w:txbxContent>
                    <w:p w14:paraId="4DE8616A">
                      <w:pPr>
                        <w:jc w:val="center"/>
                        <w:rPr>
                          <w:rFonts w:hint="eastAsia" w:ascii="Times New Roman" w:hAnsi="宋体" w:eastAsia="宋体" w:cs="Times New Roman"/>
                        </w:rPr>
                      </w:pPr>
                      <w:r>
                        <w:rPr>
                          <w:rFonts w:hint="eastAsia" w:ascii="Times New Roman" w:hAnsi="宋体" w:eastAsia="宋体" w:cs="Times New Roman"/>
                        </w:rPr>
                        <w:t xml:space="preserve">  </w:t>
                      </w:r>
                    </w:p>
                    <w:p w14:paraId="62F15FD7">
                      <w:pPr>
                        <w:ind w:firstLine="210" w:firstLineChars="100"/>
                        <w:rPr>
                          <w:rFonts w:hint="eastAsia" w:ascii="Times New Roman" w:hAnsi="宋体" w:eastAsia="宋体" w:cs="Times New Roman"/>
                        </w:rPr>
                      </w:pPr>
                    </w:p>
                    <w:p w14:paraId="75F2F0D5">
                      <w:pPr>
                        <w:ind w:firstLine="420" w:firstLineChars="200"/>
                        <w:rPr>
                          <w:rFonts w:ascii="Times New Roman" w:hAnsi="Times New Roman" w:eastAsia="宋体" w:cs="Times New Roman"/>
                        </w:rPr>
                      </w:pPr>
                      <w:r>
                        <w:rPr>
                          <w:rFonts w:hint="eastAsia" w:ascii="Times New Roman" w:hAnsi="宋体" w:eastAsia="宋体" w:cs="Times New Roman"/>
                        </w:rPr>
                        <w:t>授权委托人身份证复印件反面</w:t>
                      </w:r>
                    </w:p>
                    <w:p w14:paraId="755E72A4">
                      <w:pPr>
                        <w:jc w:val="center"/>
                        <w:rPr>
                          <w:rFonts w:hint="eastAsia" w:ascii="Times New Roman" w:hAnsi="宋体" w:eastAsia="宋体" w:cs="Times New Roman"/>
                        </w:rPr>
                      </w:pPr>
                    </w:p>
                    <w:p w14:paraId="64830761">
                      <w:pPr>
                        <w:jc w:val="center"/>
                        <w:rPr>
                          <w:rFonts w:hint="eastAsia" w:ascii="Times New Roman" w:hAnsi="宋体" w:eastAsia="宋体" w:cs="Times New Roman"/>
                        </w:rPr>
                      </w:pPr>
                    </w:p>
                    <w:p w14:paraId="4DEC6AA8">
                      <w:pPr>
                        <w:rPr>
                          <w:rFonts w:ascii="Times New Roman" w:hAnsi="Times New Roman" w:eastAsia="宋体" w:cs="Times New Roman"/>
                        </w:rPr>
                      </w:pPr>
                    </w:p>
                  </w:txbxContent>
                </v:textbox>
              </v:roundrect>
            </w:pict>
          </mc:Fallback>
        </mc:AlternateContent>
      </w:r>
      <w:r>
        <w:rPr>
          <w:rFonts w:hint="eastAsia" w:ascii="宋体" w:hAnsi="宋体" w:eastAsia="宋体" w:cs="宋体"/>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-10795</wp:posOffset>
                </wp:positionH>
                <wp:positionV relativeFrom="paragraph">
                  <wp:posOffset>29845</wp:posOffset>
                </wp:positionV>
                <wp:extent cx="2555240" cy="1186815"/>
                <wp:effectExtent l="7620" t="7620" r="8890" b="24765"/>
                <wp:wrapNone/>
                <wp:docPr id="1031" name="圆角矩形 3"/>
                <wp:cNvGraphicFramePr/>
                <a:graphic xmlns:a="http://schemas.openxmlformats.org/drawingml/2006/main">
                  <a:graphicData uri="http://schemas.microsoft.com/office/word/2010/wordprocessingShape">
                    <wps:wsp>
                      <wps:cNvSpPr/>
                      <wps:spPr>
                        <a:xfrm>
                          <a:off x="0" y="0"/>
                          <a:ext cx="2555240" cy="118681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1904A983">
                            <w:pPr>
                              <w:jc w:val="center"/>
                              <w:rPr>
                                <w:rFonts w:hint="eastAsia" w:ascii="Times New Roman" w:hAnsi="宋体" w:eastAsia="宋体" w:cs="Times New Roman"/>
                              </w:rPr>
                            </w:pPr>
                          </w:p>
                          <w:p w14:paraId="4CC8CCB7">
                            <w:pPr>
                              <w:jc w:val="center"/>
                              <w:rPr>
                                <w:rFonts w:hint="eastAsia" w:ascii="Times New Roman" w:hAnsi="宋体" w:eastAsia="宋体" w:cs="Times New Roman"/>
                              </w:rPr>
                            </w:pPr>
                          </w:p>
                          <w:p w14:paraId="229CD6AE">
                            <w:pPr>
                              <w:jc w:val="center"/>
                              <w:rPr>
                                <w:rFonts w:ascii="Times New Roman" w:hAnsi="Times New Roman" w:eastAsia="宋体" w:cs="Times New Roman"/>
                              </w:rPr>
                            </w:pPr>
                            <w:r>
                              <w:rPr>
                                <w:rFonts w:hint="eastAsia" w:ascii="Times New Roman" w:hAnsi="宋体" w:eastAsia="宋体" w:cs="Times New Roman"/>
                              </w:rPr>
                              <w:t>授权委托人身份证复印件正面</w:t>
                            </w:r>
                          </w:p>
                          <w:p w14:paraId="522AC91B">
                            <w:pPr>
                              <w:rPr>
                                <w:rFonts w:ascii="Times New Roman" w:hAnsi="Times New Roman" w:eastAsia="宋体" w:cs="Times New Roman"/>
                              </w:rPr>
                            </w:pPr>
                          </w:p>
                        </w:txbxContent>
                      </wps:txbx>
                      <wps:bodyPr upright="1"/>
                    </wps:wsp>
                  </a:graphicData>
                </a:graphic>
              </wp:anchor>
            </w:drawing>
          </mc:Choice>
          <mc:Fallback>
            <w:pict>
              <v:roundrect id="圆角矩形 3" o:spid="_x0000_s1026" o:spt="2" style="position:absolute;left:0pt;margin-left:-0.85pt;margin-top:2.35pt;height:93.45pt;width:201.2pt;z-index:251659264;mso-width-relative:page;mso-height-relative:page;" fillcolor="#FFFFFF" filled="t" stroked="t" coordsize="21600,21600" arcsize="0.166666666666667" o:gfxdata="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lHGSc2QAAAAgBAAAPAAAAAAAAAAEAIAAAACIAAABkcnMvZG93bnJldi54bWxQSwEC&#10;FAAUAAAACACHTuJAqIquKCwCAABlBAAADgAAAAAAAAABACAAAAAoAQAAZHJzL2Uyb0RvYy54bWxQ&#10;SwUGAAAAAAYABgBZAQAAxgUAAAAA&#10;">
                <v:fill on="t" focussize="0,0"/>
                <v:stroke weight="1.25pt" color="#808080" joinstyle="round"/>
                <v:imagedata o:title=""/>
                <o:lock v:ext="edit" aspectratio="f"/>
                <v:textbox>
                  <w:txbxContent>
                    <w:p w14:paraId="1904A983">
                      <w:pPr>
                        <w:jc w:val="center"/>
                        <w:rPr>
                          <w:rFonts w:hint="eastAsia" w:ascii="Times New Roman" w:hAnsi="宋体" w:eastAsia="宋体" w:cs="Times New Roman"/>
                        </w:rPr>
                      </w:pPr>
                    </w:p>
                    <w:p w14:paraId="4CC8CCB7">
                      <w:pPr>
                        <w:jc w:val="center"/>
                        <w:rPr>
                          <w:rFonts w:hint="eastAsia" w:ascii="Times New Roman" w:hAnsi="宋体" w:eastAsia="宋体" w:cs="Times New Roman"/>
                        </w:rPr>
                      </w:pPr>
                    </w:p>
                    <w:p w14:paraId="229CD6AE">
                      <w:pPr>
                        <w:jc w:val="center"/>
                        <w:rPr>
                          <w:rFonts w:ascii="Times New Roman" w:hAnsi="Times New Roman" w:eastAsia="宋体" w:cs="Times New Roman"/>
                        </w:rPr>
                      </w:pPr>
                      <w:r>
                        <w:rPr>
                          <w:rFonts w:hint="eastAsia" w:ascii="Times New Roman" w:hAnsi="宋体" w:eastAsia="宋体" w:cs="Times New Roman"/>
                        </w:rPr>
                        <w:t>授权委托人身份证复印件正面</w:t>
                      </w:r>
                    </w:p>
                    <w:p w14:paraId="522AC91B">
                      <w:pPr>
                        <w:rPr>
                          <w:rFonts w:ascii="Times New Roman" w:hAnsi="Times New Roman" w:eastAsia="宋体" w:cs="Times New Roman"/>
                        </w:rPr>
                      </w:pPr>
                    </w:p>
                  </w:txbxContent>
                </v:textbox>
              </v:roundrect>
            </w:pict>
          </mc:Fallback>
        </mc:AlternateContent>
      </w:r>
    </w:p>
    <w:p w14:paraId="7D92B89A">
      <w:pPr>
        <w:shd w:val="clear" w:color="auto" w:fill="auto"/>
        <w:spacing w:line="360" w:lineRule="auto"/>
        <w:ind w:firstLine="240" w:firstLineChars="100"/>
        <w:rPr>
          <w:rFonts w:hint="eastAsia" w:ascii="宋体" w:hAnsi="宋体" w:eastAsia="宋体" w:cs="宋体"/>
          <w:color w:val="auto"/>
          <w:sz w:val="24"/>
          <w:highlight w:val="none"/>
        </w:rPr>
      </w:pPr>
    </w:p>
    <w:p w14:paraId="1E579CD3">
      <w:pPr>
        <w:shd w:val="clear" w:color="auto" w:fill="auto"/>
        <w:spacing w:line="360" w:lineRule="auto"/>
        <w:ind w:firstLine="240" w:firstLineChars="100"/>
        <w:rPr>
          <w:rFonts w:hint="eastAsia" w:ascii="宋体" w:hAnsi="宋体" w:eastAsia="宋体" w:cs="宋体"/>
          <w:color w:val="auto"/>
          <w:sz w:val="24"/>
          <w:highlight w:val="none"/>
        </w:rPr>
      </w:pPr>
    </w:p>
    <w:p w14:paraId="1E2D2399">
      <w:pPr>
        <w:shd w:val="clear" w:color="auto" w:fill="auto"/>
        <w:spacing w:line="360" w:lineRule="auto"/>
        <w:ind w:firstLine="240" w:firstLineChars="100"/>
        <w:rPr>
          <w:rFonts w:hint="eastAsia" w:ascii="宋体" w:hAnsi="宋体" w:eastAsia="宋体" w:cs="宋体"/>
          <w:color w:val="auto"/>
          <w:sz w:val="24"/>
          <w:highlight w:val="none"/>
        </w:rPr>
      </w:pPr>
    </w:p>
    <w:p w14:paraId="489EF59D">
      <w:pPr>
        <w:shd w:val="clear" w:color="auto" w:fill="auto"/>
        <w:spacing w:line="360" w:lineRule="auto"/>
        <w:ind w:firstLine="240" w:firstLineChars="100"/>
        <w:rPr>
          <w:rFonts w:hint="eastAsia" w:ascii="宋体" w:hAnsi="宋体" w:eastAsia="宋体" w:cs="宋体"/>
          <w:color w:val="auto"/>
          <w:sz w:val="24"/>
          <w:highlight w:val="none"/>
        </w:rPr>
      </w:pPr>
    </w:p>
    <w:p w14:paraId="66A45AA4">
      <w:pPr>
        <w:widowControl w:val="0"/>
        <w:shd w:val="clear" w:color="auto" w:fill="auto"/>
        <w:tabs>
          <w:tab w:val="left" w:pos="5580"/>
        </w:tabs>
        <w:spacing w:line="240" w:lineRule="atLeast"/>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p>
    <w:p w14:paraId="7CF09015">
      <w:pPr>
        <w:widowControl w:val="0"/>
        <w:shd w:val="clear" w:color="auto" w:fill="auto"/>
        <w:tabs>
          <w:tab w:val="left" w:pos="5580"/>
        </w:tabs>
        <w:spacing w:line="480" w:lineRule="auto"/>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p>
    <w:p w14:paraId="62EBAA2F">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singl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投标人（盖单位章）;</w:t>
      </w:r>
      <w:r>
        <w:rPr>
          <w:rFonts w:hint="eastAsia" w:ascii="宋体" w:hAnsi="宋体" w:eastAsia="宋体" w:cs="宋体"/>
          <w:color w:val="auto"/>
          <w:kern w:val="2"/>
          <w:sz w:val="24"/>
          <w:szCs w:val="20"/>
          <w:highlight w:val="none"/>
          <w:u w:val="single" w:color="000000"/>
          <w:lang w:val="en-US" w:eastAsia="zh-CN" w:bidi="ar-SA"/>
        </w:rPr>
        <w:t xml:space="preserve">                           </w:t>
      </w:r>
    </w:p>
    <w:p w14:paraId="29113959">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法定代表人（签字或签章）：</w:t>
      </w:r>
      <w:r>
        <w:rPr>
          <w:rFonts w:hint="eastAsia" w:ascii="宋体" w:hAnsi="宋体" w:eastAsia="宋体" w:cs="宋体"/>
          <w:color w:val="auto"/>
          <w:kern w:val="2"/>
          <w:sz w:val="24"/>
          <w:szCs w:val="20"/>
          <w:highlight w:val="none"/>
          <w:u w:val="single" w:color="000000"/>
          <w:lang w:val="en-US" w:eastAsia="zh-CN" w:bidi="ar-SA"/>
        </w:rPr>
        <w:t xml:space="preserve">                     </w:t>
      </w:r>
    </w:p>
    <w:p w14:paraId="10228A94">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singl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委托代理人：</w:t>
      </w:r>
      <w:r>
        <w:rPr>
          <w:rFonts w:hint="eastAsia" w:ascii="宋体" w:hAnsi="宋体" w:eastAsia="宋体" w:cs="宋体"/>
          <w:color w:val="auto"/>
          <w:kern w:val="2"/>
          <w:sz w:val="24"/>
          <w:szCs w:val="20"/>
          <w:highlight w:val="none"/>
          <w:u w:val="single" w:color="000000"/>
          <w:lang w:val="en-US" w:eastAsia="zh-CN" w:bidi="ar-SA"/>
        </w:rPr>
        <w:t xml:space="preserve">                                   </w:t>
      </w:r>
    </w:p>
    <w:p w14:paraId="0C1BA099">
      <w:pPr>
        <w:shd w:val="clear" w:color="auto" w:fill="auto"/>
        <w:spacing w:line="480" w:lineRule="auto"/>
        <w:ind w:firstLine="480" w:firstLineChars="200"/>
        <w:jc w:val="left"/>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 xml:space="preserve">年   月   日 </w:t>
      </w:r>
    </w:p>
    <w:p w14:paraId="21FAE5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7E3782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3E7125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1EB92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B8CBC5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33CB93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cs="Times New Roman"/>
          <w:b/>
          <w:bCs/>
          <w:sz w:val="22"/>
          <w:szCs w:val="22"/>
          <w:highlight w:val="none"/>
          <w:lang w:val="en-US" w:eastAsia="zh-CN"/>
        </w:rPr>
      </w:pPr>
    </w:p>
    <w:p w14:paraId="2690C82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r>
        <w:rPr>
          <w:rFonts w:hint="eastAsia" w:ascii="宋体" w:hAnsi="宋体" w:cs="Times New Roman"/>
          <w:b/>
          <w:bCs/>
          <w:sz w:val="22"/>
          <w:szCs w:val="22"/>
          <w:highlight w:val="none"/>
          <w:lang w:val="en-US" w:eastAsia="zh-CN"/>
        </w:rPr>
        <w:t>4、</w:t>
      </w:r>
      <w:r>
        <w:rPr>
          <w:rFonts w:hint="default" w:ascii="宋体" w:hAnsi="宋体" w:eastAsia="宋体" w:cs="Times New Roman"/>
          <w:b/>
          <w:bCs/>
          <w:sz w:val="24"/>
          <w:szCs w:val="24"/>
          <w:highlight w:val="none"/>
          <w:lang w:val="en-US" w:eastAsia="zh-CN"/>
        </w:rPr>
        <w:t>投标企业须提供投标人（被授权本单位在职人员）近6 个月内任意一个月有效的社保证明；</w:t>
      </w:r>
    </w:p>
    <w:p w14:paraId="18394E0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3CC44A8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64C60F1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00078E0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0C0297C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5AFB77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764338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495146B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06407FC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5F912E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B3CAF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AFF763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07AD1E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140DAB5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7DF051B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58A9991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479F2D1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1D9138D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5E83DE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678918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C47B45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9E2BB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cs="Times New Roman"/>
          <w:b/>
          <w:bCs/>
          <w:sz w:val="24"/>
          <w:szCs w:val="24"/>
          <w:highlight w:val="none"/>
          <w:lang w:val="en-US" w:eastAsia="zh-CN"/>
        </w:rPr>
      </w:pPr>
    </w:p>
    <w:p w14:paraId="214240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r>
        <w:rPr>
          <w:rFonts w:hint="eastAsia" w:ascii="宋体" w:hAnsi="宋体" w:cs="Times New Roman"/>
          <w:b/>
          <w:bCs/>
          <w:sz w:val="24"/>
          <w:szCs w:val="24"/>
          <w:highlight w:val="none"/>
          <w:lang w:val="en-US" w:eastAsia="zh-CN"/>
        </w:rPr>
        <w:t>5、</w:t>
      </w:r>
      <w:r>
        <w:rPr>
          <w:rFonts w:hint="default" w:ascii="宋体" w:hAnsi="宋体" w:eastAsia="宋体" w:cs="Times New Roman"/>
          <w:b/>
          <w:bCs/>
          <w:sz w:val="24"/>
          <w:szCs w:val="24"/>
          <w:highlight w:val="none"/>
          <w:lang w:val="en-US" w:eastAsia="zh-CN"/>
        </w:rPr>
        <w:t>投标保证金缴纳依据（汇款凭证）或保函等票据</w:t>
      </w:r>
    </w:p>
    <w:tbl>
      <w:tblPr>
        <w:tblStyle w:val="28"/>
        <w:tblpPr w:leftFromText="180" w:rightFromText="180" w:vertAnchor="text" w:horzAnchor="page" w:tblpX="2090" w:tblpY="7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02BB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1F9E383C">
            <w:pPr>
              <w:shd w:val="clear" w:color="auto" w:fill="auto"/>
              <w:rPr>
                <w:rFonts w:hint="eastAsia" w:ascii="宋体" w:hAnsi="宋体" w:eastAsia="宋体" w:cs="宋体"/>
                <w:b/>
                <w:bCs/>
                <w:color w:val="auto"/>
                <w:sz w:val="30"/>
                <w:szCs w:val="30"/>
                <w:highlight w:val="none"/>
              </w:rPr>
            </w:pPr>
          </w:p>
          <w:p w14:paraId="73B33AE4">
            <w:pPr>
              <w:shd w:val="clear" w:color="auto" w:fill="auto"/>
              <w:jc w:val="center"/>
              <w:rPr>
                <w:rFonts w:hint="eastAsia" w:ascii="宋体" w:hAnsi="宋体" w:eastAsia="宋体" w:cs="宋体"/>
                <w:b/>
                <w:bCs/>
                <w:color w:val="auto"/>
                <w:sz w:val="30"/>
                <w:szCs w:val="30"/>
                <w:highlight w:val="none"/>
              </w:rPr>
            </w:pPr>
          </w:p>
          <w:p w14:paraId="7CE0757D">
            <w:pPr>
              <w:shd w:val="clear" w:color="auto" w:fill="auto"/>
              <w:jc w:val="center"/>
              <w:rPr>
                <w:rFonts w:hint="eastAsia" w:ascii="宋体" w:hAnsi="宋体" w:eastAsia="宋体" w:cs="宋体"/>
                <w:b/>
                <w:bCs/>
                <w:color w:val="auto"/>
                <w:sz w:val="30"/>
                <w:szCs w:val="30"/>
                <w:highlight w:val="none"/>
              </w:rPr>
            </w:pPr>
          </w:p>
          <w:p w14:paraId="7515C746">
            <w:pPr>
              <w:shd w:val="clear" w:color="auto" w:fill="auto"/>
              <w:jc w:val="center"/>
              <w:rPr>
                <w:rFonts w:hint="eastAsia" w:ascii="宋体" w:hAnsi="宋体" w:eastAsia="宋体" w:cs="宋体"/>
                <w:b/>
                <w:bCs/>
                <w:color w:val="auto"/>
                <w:sz w:val="30"/>
                <w:szCs w:val="30"/>
                <w:highlight w:val="none"/>
              </w:rPr>
            </w:pPr>
          </w:p>
          <w:p w14:paraId="4BB1DC1E">
            <w:pPr>
              <w:shd w:val="clear" w:color="auto" w:fill="auto"/>
              <w:jc w:val="center"/>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投标保证金</w:t>
            </w:r>
            <w:r>
              <w:rPr>
                <w:rFonts w:hint="eastAsia" w:ascii="宋体" w:hAnsi="宋体" w:cs="宋体"/>
                <w:b/>
                <w:bCs/>
                <w:color w:val="auto"/>
                <w:sz w:val="30"/>
                <w:szCs w:val="30"/>
                <w:highlight w:val="none"/>
                <w:lang w:val="en-US" w:eastAsia="zh-CN"/>
              </w:rPr>
              <w:t>汇款凭证</w:t>
            </w:r>
          </w:p>
        </w:tc>
      </w:tr>
    </w:tbl>
    <w:p w14:paraId="380AFA2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C630F32">
      <w:pPr>
        <w:bidi w:val="0"/>
        <w:rPr>
          <w:rFonts w:hint="default" w:ascii="Calibri" w:hAnsi="Calibri" w:eastAsia="宋体" w:cs="宋体"/>
          <w:kern w:val="2"/>
          <w:sz w:val="21"/>
          <w:szCs w:val="24"/>
          <w:highlight w:val="none"/>
          <w:lang w:val="en-US" w:eastAsia="zh-CN" w:bidi="ar-SA"/>
        </w:rPr>
      </w:pPr>
    </w:p>
    <w:p w14:paraId="0CC4B548">
      <w:pPr>
        <w:bidi w:val="0"/>
        <w:rPr>
          <w:rFonts w:hint="default"/>
          <w:highlight w:val="none"/>
          <w:lang w:val="en-US" w:eastAsia="zh-CN"/>
        </w:rPr>
      </w:pPr>
    </w:p>
    <w:p w14:paraId="7483CA24">
      <w:pPr>
        <w:bidi w:val="0"/>
        <w:rPr>
          <w:rFonts w:hint="default"/>
          <w:highlight w:val="none"/>
          <w:lang w:val="en-US" w:eastAsia="zh-CN"/>
        </w:rPr>
      </w:pPr>
    </w:p>
    <w:p w14:paraId="035BED2A">
      <w:pPr>
        <w:bidi w:val="0"/>
        <w:rPr>
          <w:rFonts w:hint="default"/>
          <w:highlight w:val="none"/>
          <w:lang w:val="en-US" w:eastAsia="zh-CN"/>
        </w:rPr>
      </w:pPr>
    </w:p>
    <w:p w14:paraId="4F1D536F">
      <w:pPr>
        <w:bidi w:val="0"/>
        <w:rPr>
          <w:rFonts w:hint="default"/>
          <w:highlight w:val="none"/>
          <w:lang w:val="en-US" w:eastAsia="zh-CN"/>
        </w:rPr>
      </w:pPr>
    </w:p>
    <w:p w14:paraId="5124A81B">
      <w:pPr>
        <w:bidi w:val="0"/>
        <w:rPr>
          <w:rFonts w:hint="default"/>
          <w:highlight w:val="none"/>
          <w:lang w:val="en-US" w:eastAsia="zh-CN"/>
        </w:rPr>
      </w:pPr>
    </w:p>
    <w:p w14:paraId="0D351147">
      <w:pPr>
        <w:bidi w:val="0"/>
        <w:rPr>
          <w:rFonts w:hint="default"/>
          <w:highlight w:val="none"/>
          <w:lang w:val="en-US" w:eastAsia="zh-CN"/>
        </w:rPr>
      </w:pPr>
    </w:p>
    <w:p w14:paraId="2D327D2C">
      <w:pPr>
        <w:bidi w:val="0"/>
        <w:rPr>
          <w:rFonts w:hint="default"/>
          <w:highlight w:val="none"/>
          <w:lang w:val="en-US" w:eastAsia="zh-CN"/>
        </w:rPr>
      </w:pPr>
    </w:p>
    <w:p w14:paraId="0C4FEB20">
      <w:pPr>
        <w:bidi w:val="0"/>
        <w:rPr>
          <w:rFonts w:hint="default"/>
          <w:highlight w:val="none"/>
          <w:lang w:val="en-US" w:eastAsia="zh-CN"/>
        </w:rPr>
      </w:pPr>
    </w:p>
    <w:p w14:paraId="1F4B4B37">
      <w:pPr>
        <w:bidi w:val="0"/>
        <w:rPr>
          <w:rFonts w:hint="default"/>
          <w:highlight w:val="none"/>
          <w:lang w:val="en-US" w:eastAsia="zh-CN"/>
        </w:rPr>
      </w:pPr>
    </w:p>
    <w:p w14:paraId="20F1A77A">
      <w:pPr>
        <w:bidi w:val="0"/>
        <w:rPr>
          <w:rFonts w:hint="default"/>
          <w:highlight w:val="none"/>
          <w:lang w:val="en-US" w:eastAsia="zh-CN"/>
        </w:rPr>
      </w:pPr>
    </w:p>
    <w:p w14:paraId="4BFC43B0">
      <w:pPr>
        <w:bidi w:val="0"/>
        <w:rPr>
          <w:rFonts w:hint="default"/>
          <w:highlight w:val="none"/>
          <w:lang w:val="en-US" w:eastAsia="zh-CN"/>
        </w:rPr>
      </w:pPr>
    </w:p>
    <w:p w14:paraId="14ABC9C0">
      <w:pPr>
        <w:bidi w:val="0"/>
        <w:rPr>
          <w:rFonts w:hint="default"/>
          <w:highlight w:val="none"/>
          <w:lang w:val="en-US" w:eastAsia="zh-CN"/>
        </w:rPr>
      </w:pPr>
    </w:p>
    <w:p w14:paraId="3D257A8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59FEBA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9C3D1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DE3463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C8E69C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79559F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A4443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B7499D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06E40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072040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3D6E25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AE0E46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73A6BA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6901B9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BE9F55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CAF949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83502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94A8A7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218BC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65175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D1171B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0199EC1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336" w:lineRule="auto"/>
        <w:ind w:firstLine="241" w:firstLineChars="100"/>
        <w:textAlignment w:val="auto"/>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BBA0A3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336" w:lineRule="auto"/>
        <w:ind w:firstLine="241" w:firstLineChars="100"/>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t>6</w:t>
      </w:r>
      <w:r>
        <w:rPr>
          <w:rFonts w:hint="default" w:ascii="宋体" w:hAnsi="宋体" w:eastAsia="宋体" w:cs="Times New Roman"/>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bCs/>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14AAF3E5">
      <w:pPr>
        <w:pStyle w:val="36"/>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A260F77">
      <w:pPr>
        <w:rPr>
          <w:rFonts w:hint="eastAsia"/>
          <w:lang w:val="en-US" w:eastAsia="zh-CN"/>
        </w:rPr>
      </w:pPr>
    </w:p>
    <w:p w14:paraId="336A2E0D">
      <w:pPr>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C59F0F7">
      <w:pPr>
        <w:pStyle w:val="36"/>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781AD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4A09DEE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2CACDE51">
      <w:pPr>
        <w:pStyle w:val="36"/>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299E7D4">
      <w:pPr>
        <w:pStyle w:val="36"/>
        <w:rPr>
          <w:rFonts w:hint="eastAsia"/>
          <w:lang w:val="en-US" w:eastAsia="zh-CN"/>
        </w:rPr>
      </w:pPr>
    </w:p>
    <w:p w14:paraId="34C4A9AE">
      <w:pPr>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504BEFCB">
      <w:pPr>
        <w:pStyle w:val="36"/>
        <w:rPr>
          <w:rFonts w:hint="eastAsia"/>
          <w:lang w:val="en-US" w:eastAsia="zh-CN"/>
        </w:rPr>
      </w:pPr>
    </w:p>
    <w:p w14:paraId="2E419602">
      <w:pPr>
        <w:keepNext w:val="0"/>
        <w:keepLines w:val="0"/>
        <w:pageBreakBefore w:val="0"/>
        <w:widowControl w:val="0"/>
        <w:kinsoku/>
        <w:wordWrap/>
        <w:overflowPunct/>
        <w:topLinePunct w:val="0"/>
        <w:autoSpaceDE/>
        <w:autoSpaceDN/>
        <w:bidi w:val="0"/>
        <w:adjustRightInd/>
        <w:snapToGrid/>
        <w:spacing w:line="400" w:lineRule="atLeast"/>
        <w:ind w:firstLine="241" w:firstLineChars="100"/>
        <w:jc w:val="left"/>
        <w:textAlignment w:val="auto"/>
        <w:rPr>
          <w:rFonts w:hint="default" w:ascii="宋体" w:hAnsi="宋体" w:eastAsia="宋体" w:cs="Times New Roman"/>
          <w:b/>
          <w:bCs/>
          <w:sz w:val="24"/>
          <w:szCs w:val="24"/>
          <w:highlight w:val="none"/>
          <w:lang w:val="en-US" w:eastAsia="zh-CN"/>
        </w:rPr>
      </w:pPr>
      <w:r>
        <w:rPr>
          <w:rFonts w:hint="eastAsia" w:ascii="宋体" w:hAnsi="宋体" w:cs="Times New Roman"/>
          <w:b/>
          <w:bCs/>
          <w:sz w:val="24"/>
          <w:szCs w:val="24"/>
          <w:highlight w:val="none"/>
          <w:lang w:val="en-US" w:eastAsia="zh-CN"/>
        </w:rPr>
        <w:t>7</w:t>
      </w:r>
      <w:r>
        <w:rPr>
          <w:rFonts w:hint="default" w:ascii="宋体" w:hAnsi="宋体" w:eastAsia="宋体" w:cs="Times New Roman"/>
          <w:b/>
          <w:bCs/>
          <w:sz w:val="24"/>
          <w:szCs w:val="24"/>
          <w:highlight w:val="none"/>
          <w:lang w:val="en-US" w:eastAsia="zh-CN"/>
        </w:rPr>
        <w:t>、投标人须知资料表要求的其他资格证明文件</w:t>
      </w:r>
    </w:p>
    <w:p w14:paraId="64DBCC3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59933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D551F03">
      <w:pPr>
        <w:pStyle w:val="37"/>
        <w:rPr>
          <w:rFonts w:hint="default" w:ascii="宋体" w:hAnsi="宋体" w:eastAsia="宋体" w:cs="Times New Roman"/>
          <w:sz w:val="24"/>
          <w:szCs w:val="24"/>
          <w:highlight w:val="none"/>
          <w:lang w:val="en-US" w:eastAsia="zh-CN"/>
        </w:rPr>
      </w:pPr>
    </w:p>
    <w:p w14:paraId="696CD4C2">
      <w:pPr>
        <w:pStyle w:val="37"/>
        <w:rPr>
          <w:rFonts w:hint="default" w:ascii="宋体" w:hAnsi="宋体" w:eastAsia="宋体" w:cs="Times New Roman"/>
          <w:sz w:val="24"/>
          <w:szCs w:val="24"/>
          <w:highlight w:val="none"/>
          <w:lang w:val="en-US" w:eastAsia="zh-CN"/>
        </w:rPr>
      </w:pPr>
    </w:p>
    <w:p w14:paraId="37118E0B">
      <w:pPr>
        <w:pStyle w:val="37"/>
        <w:rPr>
          <w:rFonts w:hint="default" w:ascii="宋体" w:hAnsi="宋体" w:eastAsia="宋体" w:cs="Times New Roman"/>
          <w:sz w:val="24"/>
          <w:szCs w:val="24"/>
          <w:highlight w:val="none"/>
          <w:lang w:val="en-US" w:eastAsia="zh-CN"/>
        </w:rPr>
      </w:pPr>
    </w:p>
    <w:p w14:paraId="7CD0C5F4">
      <w:pPr>
        <w:pStyle w:val="37"/>
        <w:rPr>
          <w:rFonts w:hint="default" w:ascii="宋体" w:hAnsi="宋体" w:eastAsia="宋体" w:cs="Times New Roman"/>
          <w:sz w:val="24"/>
          <w:szCs w:val="24"/>
          <w:highlight w:val="none"/>
          <w:lang w:val="en-US" w:eastAsia="zh-CN"/>
        </w:rPr>
      </w:pPr>
    </w:p>
    <w:p w14:paraId="0E8AA3C5">
      <w:pPr>
        <w:pStyle w:val="37"/>
        <w:rPr>
          <w:rFonts w:hint="default" w:ascii="宋体" w:hAnsi="宋体" w:eastAsia="宋体" w:cs="Times New Roman"/>
          <w:sz w:val="24"/>
          <w:szCs w:val="24"/>
          <w:highlight w:val="none"/>
          <w:lang w:val="en-US" w:eastAsia="zh-CN"/>
        </w:rPr>
      </w:pPr>
    </w:p>
    <w:p w14:paraId="3521A1AA">
      <w:pPr>
        <w:pStyle w:val="37"/>
        <w:rPr>
          <w:rFonts w:hint="default" w:ascii="宋体" w:hAnsi="宋体" w:eastAsia="宋体" w:cs="Times New Roman"/>
          <w:sz w:val="24"/>
          <w:szCs w:val="24"/>
          <w:highlight w:val="none"/>
          <w:lang w:val="en-US" w:eastAsia="zh-CN"/>
        </w:rPr>
      </w:pPr>
    </w:p>
    <w:p w14:paraId="231A0B9B">
      <w:pPr>
        <w:pStyle w:val="37"/>
        <w:rPr>
          <w:rFonts w:hint="default" w:ascii="宋体" w:hAnsi="宋体" w:eastAsia="宋体" w:cs="Times New Roman"/>
          <w:sz w:val="24"/>
          <w:szCs w:val="24"/>
          <w:highlight w:val="none"/>
          <w:lang w:val="en-US" w:eastAsia="zh-CN"/>
        </w:rPr>
      </w:pPr>
    </w:p>
    <w:p w14:paraId="1BDFAEF3">
      <w:pPr>
        <w:pStyle w:val="37"/>
        <w:rPr>
          <w:rFonts w:hint="default" w:ascii="宋体" w:hAnsi="宋体" w:eastAsia="宋体" w:cs="Times New Roman"/>
          <w:sz w:val="24"/>
          <w:szCs w:val="24"/>
          <w:highlight w:val="none"/>
          <w:lang w:val="en-US" w:eastAsia="zh-CN"/>
        </w:rPr>
      </w:pPr>
    </w:p>
    <w:p w14:paraId="1DAD3FA5">
      <w:pPr>
        <w:pStyle w:val="37"/>
        <w:rPr>
          <w:rFonts w:hint="default" w:ascii="宋体" w:hAnsi="宋体" w:eastAsia="宋体" w:cs="Times New Roman"/>
          <w:sz w:val="24"/>
          <w:szCs w:val="24"/>
          <w:highlight w:val="none"/>
          <w:lang w:val="en-US" w:eastAsia="zh-CN"/>
        </w:rPr>
      </w:pPr>
    </w:p>
    <w:p w14:paraId="1C2D9637">
      <w:pPr>
        <w:pStyle w:val="37"/>
        <w:rPr>
          <w:rFonts w:hint="default" w:ascii="宋体" w:hAnsi="宋体" w:eastAsia="宋体" w:cs="Times New Roman"/>
          <w:sz w:val="24"/>
          <w:szCs w:val="24"/>
          <w:highlight w:val="none"/>
          <w:lang w:val="en-US" w:eastAsia="zh-CN"/>
        </w:rPr>
      </w:pPr>
    </w:p>
    <w:p w14:paraId="233EB121">
      <w:pPr>
        <w:pStyle w:val="37"/>
        <w:rPr>
          <w:rFonts w:hint="default" w:ascii="宋体" w:hAnsi="宋体" w:eastAsia="宋体" w:cs="Times New Roman"/>
          <w:sz w:val="24"/>
          <w:szCs w:val="24"/>
          <w:highlight w:val="none"/>
          <w:lang w:val="en-US" w:eastAsia="zh-CN"/>
        </w:rPr>
      </w:pPr>
    </w:p>
    <w:p w14:paraId="0CC976FB">
      <w:pPr>
        <w:pStyle w:val="37"/>
        <w:rPr>
          <w:rFonts w:hint="default" w:ascii="宋体" w:hAnsi="宋体" w:eastAsia="宋体" w:cs="Times New Roman"/>
          <w:sz w:val="24"/>
          <w:szCs w:val="24"/>
          <w:highlight w:val="none"/>
          <w:lang w:val="en-US" w:eastAsia="zh-CN"/>
        </w:rPr>
      </w:pPr>
    </w:p>
    <w:p w14:paraId="4F14587E">
      <w:pPr>
        <w:pStyle w:val="37"/>
        <w:rPr>
          <w:rFonts w:hint="default" w:ascii="宋体" w:hAnsi="宋体" w:eastAsia="宋体" w:cs="Times New Roman"/>
          <w:sz w:val="24"/>
          <w:szCs w:val="24"/>
          <w:highlight w:val="none"/>
          <w:lang w:val="en-US" w:eastAsia="zh-CN"/>
        </w:rPr>
      </w:pPr>
    </w:p>
    <w:p w14:paraId="5400AF88">
      <w:pPr>
        <w:pStyle w:val="37"/>
        <w:rPr>
          <w:rFonts w:hint="default" w:ascii="宋体" w:hAnsi="宋体" w:eastAsia="宋体" w:cs="Times New Roman"/>
          <w:sz w:val="24"/>
          <w:szCs w:val="24"/>
          <w:highlight w:val="none"/>
          <w:lang w:val="en-US" w:eastAsia="zh-CN"/>
        </w:rPr>
      </w:pPr>
    </w:p>
    <w:p w14:paraId="2C059AB9">
      <w:pPr>
        <w:pStyle w:val="37"/>
        <w:rPr>
          <w:rFonts w:hint="default" w:ascii="宋体" w:hAnsi="宋体" w:eastAsia="宋体" w:cs="Times New Roman"/>
          <w:sz w:val="24"/>
          <w:szCs w:val="24"/>
          <w:highlight w:val="none"/>
          <w:lang w:val="en-US" w:eastAsia="zh-CN"/>
        </w:rPr>
      </w:pPr>
    </w:p>
    <w:p w14:paraId="0EB566A5">
      <w:pPr>
        <w:pStyle w:val="37"/>
        <w:rPr>
          <w:rFonts w:hint="default" w:ascii="宋体" w:hAnsi="宋体" w:eastAsia="宋体" w:cs="Times New Roman"/>
          <w:sz w:val="24"/>
          <w:szCs w:val="24"/>
          <w:highlight w:val="none"/>
          <w:lang w:val="en-US" w:eastAsia="zh-CN"/>
        </w:rPr>
      </w:pPr>
    </w:p>
    <w:p w14:paraId="3B0B371C">
      <w:pPr>
        <w:pStyle w:val="37"/>
        <w:rPr>
          <w:rFonts w:hint="default" w:ascii="宋体" w:hAnsi="宋体" w:eastAsia="宋体" w:cs="Times New Roman"/>
          <w:sz w:val="24"/>
          <w:szCs w:val="24"/>
          <w:highlight w:val="none"/>
          <w:lang w:val="en-US" w:eastAsia="zh-CN"/>
        </w:rPr>
      </w:pPr>
    </w:p>
    <w:p w14:paraId="735E735D">
      <w:pPr>
        <w:pStyle w:val="37"/>
        <w:rPr>
          <w:rFonts w:hint="default" w:ascii="宋体" w:hAnsi="宋体" w:eastAsia="宋体" w:cs="Times New Roman"/>
          <w:sz w:val="24"/>
          <w:szCs w:val="24"/>
          <w:highlight w:val="none"/>
          <w:lang w:val="en-US" w:eastAsia="zh-CN"/>
        </w:rPr>
      </w:pPr>
    </w:p>
    <w:p w14:paraId="0B2A3C74">
      <w:pPr>
        <w:pStyle w:val="37"/>
        <w:rPr>
          <w:rFonts w:hint="default" w:ascii="宋体" w:hAnsi="宋体" w:eastAsia="宋体" w:cs="Times New Roman"/>
          <w:sz w:val="24"/>
          <w:szCs w:val="24"/>
          <w:highlight w:val="none"/>
          <w:lang w:val="en-US" w:eastAsia="zh-CN"/>
        </w:rPr>
      </w:pPr>
    </w:p>
    <w:p w14:paraId="6170433B">
      <w:pPr>
        <w:pStyle w:val="37"/>
        <w:rPr>
          <w:rFonts w:hint="default" w:ascii="宋体" w:hAnsi="宋体" w:eastAsia="宋体" w:cs="Times New Roman"/>
          <w:sz w:val="24"/>
          <w:szCs w:val="24"/>
          <w:highlight w:val="none"/>
          <w:lang w:val="en-US" w:eastAsia="zh-CN"/>
        </w:rPr>
      </w:pPr>
    </w:p>
    <w:p w14:paraId="0D106C0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48A007A">
      <w:pPr>
        <w:pStyle w:val="2"/>
        <w:rPr>
          <w:rFonts w:hint="default"/>
          <w:lang w:val="en-US" w:eastAsia="zh-CN"/>
        </w:rPr>
      </w:pPr>
    </w:p>
    <w:p w14:paraId="4321948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bCs/>
          <w:sz w:val="28"/>
          <w:szCs w:val="28"/>
          <w:highlight w:val="none"/>
          <w:lang w:val="en-US" w:eastAsia="zh-CN"/>
        </w:rPr>
      </w:pPr>
      <w:r>
        <w:rPr>
          <w:rFonts w:hint="default" w:ascii="宋体" w:hAnsi="宋体" w:eastAsia="宋体" w:cs="Times New Roman"/>
          <w:b/>
          <w:bCs/>
          <w:sz w:val="28"/>
          <w:szCs w:val="28"/>
          <w:highlight w:val="none"/>
          <w:lang w:val="en-US" w:eastAsia="zh-CN"/>
        </w:rPr>
        <w:t>第二部分 商务及技术文件</w:t>
      </w:r>
    </w:p>
    <w:p w14:paraId="00526185">
      <w:pPr>
        <w:pStyle w:val="37"/>
        <w:spacing w:line="360" w:lineRule="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1、投标函</w:t>
      </w:r>
    </w:p>
    <w:p w14:paraId="0A5AE49C">
      <w:pPr>
        <w:pStyle w:val="37"/>
        <w:spacing w:line="360" w:lineRule="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2、开标一览表</w:t>
      </w:r>
    </w:p>
    <w:p w14:paraId="45A144C1">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3</w:t>
      </w:r>
      <w:r>
        <w:rPr>
          <w:rFonts w:hint="default" w:ascii="宋体" w:hAnsi="宋体" w:eastAsia="宋体" w:cs="Times New Roman"/>
          <w:sz w:val="24"/>
          <w:szCs w:val="24"/>
          <w:highlight w:val="none"/>
          <w:lang w:val="en-US" w:eastAsia="zh-CN"/>
        </w:rPr>
        <w:t>、</w:t>
      </w:r>
      <w:r>
        <w:rPr>
          <w:rFonts w:hint="eastAsia" w:ascii="宋体" w:hAnsi="宋体" w:eastAsia="宋体" w:cs="Times New Roman"/>
          <w:sz w:val="24"/>
          <w:szCs w:val="24"/>
          <w:highlight w:val="none"/>
          <w:lang w:val="en-US" w:eastAsia="zh-CN"/>
        </w:rPr>
        <w:t>投标分项报价表</w:t>
      </w:r>
    </w:p>
    <w:p w14:paraId="589CB8BE">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4、服务说明一览表</w:t>
      </w:r>
    </w:p>
    <w:p w14:paraId="00D55E43">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Times New Roman"/>
          <w:sz w:val="24"/>
          <w:szCs w:val="24"/>
          <w:highlight w:val="none"/>
          <w:lang w:val="en-US" w:eastAsia="zh-CN"/>
        </w:rPr>
        <w:t>、技术规格偏离表</w:t>
      </w:r>
    </w:p>
    <w:p w14:paraId="54891091">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w:t>
      </w:r>
      <w:r>
        <w:rPr>
          <w:rFonts w:hint="default" w:ascii="宋体" w:hAnsi="宋体" w:eastAsia="宋体" w:cs="Times New Roman"/>
          <w:sz w:val="24"/>
          <w:szCs w:val="24"/>
          <w:highlight w:val="none"/>
          <w:lang w:val="en-US" w:eastAsia="zh-CN"/>
        </w:rPr>
        <w:t>、商务条款偏离表</w:t>
      </w:r>
    </w:p>
    <w:p w14:paraId="70505DDB">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7</w:t>
      </w:r>
      <w:r>
        <w:rPr>
          <w:rFonts w:hint="default" w:ascii="宋体" w:hAnsi="宋体" w:eastAsia="宋体" w:cs="Times New Roman"/>
          <w:sz w:val="24"/>
          <w:szCs w:val="24"/>
          <w:highlight w:val="none"/>
          <w:lang w:val="en-US" w:eastAsia="zh-CN"/>
        </w:rPr>
        <w:t>、</w:t>
      </w:r>
      <w:r>
        <w:rPr>
          <w:rFonts w:hint="eastAsia" w:ascii="宋体" w:hAnsi="宋体"/>
          <w:color w:val="auto"/>
          <w:sz w:val="24"/>
          <w:szCs w:val="24"/>
          <w:highlight w:val="none"/>
        </w:rPr>
        <w:t>本项目拟投入人员</w:t>
      </w:r>
    </w:p>
    <w:p w14:paraId="0DA9B3FD">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8、近三年类似项目业绩</w:t>
      </w:r>
    </w:p>
    <w:p w14:paraId="7CB3BF2E">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9、中小企业声明函（服务）</w:t>
      </w:r>
    </w:p>
    <w:p w14:paraId="2689CA19">
      <w:pPr>
        <w:pStyle w:val="37"/>
        <w:spacing w:line="360" w:lineRule="auto"/>
        <w:rPr>
          <w:rFonts w:hint="eastAsia" w:ascii="宋体" w:hAnsi="宋体"/>
          <w:color w:val="auto"/>
          <w:sz w:val="24"/>
          <w:szCs w:val="24"/>
          <w:highlight w:val="none"/>
        </w:rPr>
      </w:pPr>
      <w:r>
        <w:rPr>
          <w:rFonts w:hint="eastAsia" w:ascii="宋体" w:hAnsi="宋体" w:eastAsia="宋体" w:cs="Times New Roman"/>
          <w:sz w:val="24"/>
          <w:szCs w:val="24"/>
          <w:highlight w:val="none"/>
          <w:lang w:val="en-US" w:eastAsia="zh-CN"/>
        </w:rPr>
        <w:t>10、</w:t>
      </w:r>
      <w:r>
        <w:rPr>
          <w:rFonts w:hint="eastAsia" w:ascii="宋体" w:hAnsi="宋体"/>
          <w:color w:val="auto"/>
          <w:sz w:val="24"/>
          <w:szCs w:val="24"/>
          <w:highlight w:val="none"/>
        </w:rPr>
        <w:t>投标人关联单位的说明（格式自拟）</w:t>
      </w:r>
    </w:p>
    <w:p w14:paraId="0B709942">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11</w:t>
      </w:r>
      <w:r>
        <w:rPr>
          <w:rFonts w:hint="default" w:ascii="宋体" w:hAnsi="宋体" w:eastAsia="宋体" w:cs="Times New Roman"/>
          <w:sz w:val="24"/>
          <w:szCs w:val="24"/>
          <w:highlight w:val="none"/>
          <w:lang w:val="en-US" w:eastAsia="zh-CN"/>
        </w:rPr>
        <w:t>、评分标准和细则中技术部分证明材料（格式自拟）</w:t>
      </w:r>
    </w:p>
    <w:p w14:paraId="27693C7A">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12</w:t>
      </w:r>
      <w:r>
        <w:rPr>
          <w:rFonts w:hint="default" w:ascii="宋体" w:hAnsi="宋体" w:eastAsia="宋体" w:cs="Times New Roman"/>
          <w:sz w:val="24"/>
          <w:szCs w:val="24"/>
          <w:highlight w:val="none"/>
          <w:lang w:val="en-US" w:eastAsia="zh-CN"/>
        </w:rPr>
        <w:t>、评分标准和细则中商务部分证明材料（格式自拟）</w:t>
      </w:r>
    </w:p>
    <w:p w14:paraId="2ED2002E">
      <w:pPr>
        <w:pStyle w:val="37"/>
        <w:spacing w:line="360" w:lineRule="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val="en-US" w:eastAsia="zh-CN"/>
        </w:rPr>
        <w:t>3</w:t>
      </w:r>
      <w:r>
        <w:rPr>
          <w:rFonts w:hint="default" w:ascii="宋体" w:hAnsi="宋体" w:eastAsia="宋体" w:cs="Times New Roman"/>
          <w:sz w:val="24"/>
          <w:szCs w:val="24"/>
          <w:highlight w:val="none"/>
          <w:lang w:val="en-US" w:eastAsia="zh-CN"/>
        </w:rPr>
        <w:t>、投标人认为有必要提供的其他证明材料（格式自拟）</w:t>
      </w:r>
    </w:p>
    <w:p w14:paraId="5781E129">
      <w:pPr>
        <w:pStyle w:val="37"/>
        <w:spacing w:line="360" w:lineRule="auto"/>
        <w:rPr>
          <w:rFonts w:hint="default" w:ascii="宋体" w:hAnsi="宋体" w:eastAsia="宋体" w:cs="Times New Roman"/>
          <w:sz w:val="24"/>
          <w:szCs w:val="24"/>
          <w:highlight w:val="none"/>
          <w:lang w:val="en-US" w:eastAsia="zh-CN"/>
        </w:rPr>
      </w:pPr>
    </w:p>
    <w:p w14:paraId="29950958">
      <w:pPr>
        <w:pStyle w:val="2"/>
        <w:spacing w:before="75" w:line="227" w:lineRule="auto"/>
        <w:ind w:left="23"/>
        <w:rPr>
          <w:rFonts w:hint="eastAsia"/>
          <w:b/>
          <w:bCs/>
          <w:spacing w:val="7"/>
          <w:sz w:val="23"/>
          <w:szCs w:val="23"/>
          <w:lang w:val="en-US" w:eastAsia="zh-CN"/>
        </w:rPr>
      </w:pPr>
      <w:r>
        <w:rPr>
          <w:rFonts w:hint="eastAsia"/>
          <w:b/>
          <w:bCs/>
          <w:spacing w:val="7"/>
          <w:sz w:val="23"/>
          <w:szCs w:val="23"/>
          <w:lang w:val="en-US" w:eastAsia="zh-CN"/>
        </w:rPr>
        <w:t>注：</w:t>
      </w:r>
    </w:p>
    <w:p w14:paraId="779B404B">
      <w:pPr>
        <w:pStyle w:val="2"/>
        <w:spacing w:before="75" w:line="227" w:lineRule="auto"/>
        <w:ind w:left="23"/>
        <w:rPr>
          <w:sz w:val="23"/>
          <w:szCs w:val="23"/>
        </w:rPr>
      </w:pPr>
      <w:r>
        <w:rPr>
          <w:b/>
          <w:bCs/>
          <w:spacing w:val="7"/>
          <w:sz w:val="23"/>
          <w:szCs w:val="23"/>
        </w:rPr>
        <w:t>1、招标文件提供格式的请严格按照格式要求填写，未提供格式的请供应商自行</w:t>
      </w:r>
      <w:r>
        <w:rPr>
          <w:b/>
          <w:bCs/>
          <w:spacing w:val="5"/>
          <w:sz w:val="23"/>
          <w:szCs w:val="23"/>
        </w:rPr>
        <w:t>编辑提供。</w:t>
      </w:r>
    </w:p>
    <w:p w14:paraId="1D1D173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b/>
          <w:bCs/>
          <w:spacing w:val="9"/>
          <w:sz w:val="23"/>
          <w:szCs w:val="23"/>
        </w:rPr>
        <w:t>2、投标文件须逐页加盖投标单位公章。</w:t>
      </w:r>
    </w:p>
    <w:p w14:paraId="2213D7AD">
      <w:pPr>
        <w:pStyle w:val="37"/>
        <w:rPr>
          <w:rFonts w:hint="default" w:ascii="宋体" w:hAnsi="宋体" w:eastAsia="宋体" w:cs="Times New Roman"/>
          <w:sz w:val="24"/>
          <w:szCs w:val="24"/>
          <w:highlight w:val="none"/>
          <w:lang w:val="en-US" w:eastAsia="zh-CN"/>
        </w:rPr>
      </w:pPr>
    </w:p>
    <w:p w14:paraId="48F05337">
      <w:pPr>
        <w:pStyle w:val="37"/>
        <w:rPr>
          <w:rFonts w:hint="default" w:ascii="宋体" w:hAnsi="宋体" w:eastAsia="宋体" w:cs="Times New Roman"/>
          <w:sz w:val="24"/>
          <w:szCs w:val="24"/>
          <w:highlight w:val="none"/>
          <w:lang w:val="en-US" w:eastAsia="zh-CN"/>
        </w:rPr>
      </w:pPr>
    </w:p>
    <w:p w14:paraId="72269A8D">
      <w:pPr>
        <w:pStyle w:val="37"/>
        <w:rPr>
          <w:rFonts w:hint="default" w:ascii="宋体" w:hAnsi="宋体" w:eastAsia="宋体" w:cs="Times New Roman"/>
          <w:sz w:val="24"/>
          <w:szCs w:val="24"/>
          <w:highlight w:val="none"/>
          <w:lang w:val="en-US" w:eastAsia="zh-CN"/>
        </w:rPr>
      </w:pPr>
    </w:p>
    <w:p w14:paraId="0A10D9E5">
      <w:pPr>
        <w:pStyle w:val="37"/>
        <w:rPr>
          <w:rFonts w:hint="default" w:ascii="宋体" w:hAnsi="宋体" w:eastAsia="宋体" w:cs="Times New Roman"/>
          <w:sz w:val="24"/>
          <w:szCs w:val="24"/>
          <w:highlight w:val="none"/>
          <w:lang w:val="en-US" w:eastAsia="zh-CN"/>
        </w:rPr>
      </w:pPr>
    </w:p>
    <w:p w14:paraId="2AB90C5C">
      <w:pPr>
        <w:pStyle w:val="37"/>
        <w:rPr>
          <w:rFonts w:hint="default" w:ascii="宋体" w:hAnsi="宋体" w:eastAsia="宋体" w:cs="Times New Roman"/>
          <w:sz w:val="24"/>
          <w:szCs w:val="24"/>
          <w:highlight w:val="none"/>
          <w:lang w:val="en-US" w:eastAsia="zh-CN"/>
        </w:rPr>
      </w:pPr>
    </w:p>
    <w:p w14:paraId="794C6BA3">
      <w:pPr>
        <w:pStyle w:val="37"/>
        <w:rPr>
          <w:rFonts w:hint="default" w:ascii="宋体" w:hAnsi="宋体" w:eastAsia="宋体" w:cs="Times New Roman"/>
          <w:sz w:val="24"/>
          <w:szCs w:val="24"/>
          <w:highlight w:val="none"/>
          <w:lang w:val="en-US" w:eastAsia="zh-CN"/>
        </w:rPr>
      </w:pPr>
    </w:p>
    <w:p w14:paraId="47644C2D">
      <w:pPr>
        <w:pStyle w:val="37"/>
        <w:rPr>
          <w:rFonts w:hint="default" w:ascii="宋体" w:hAnsi="宋体" w:eastAsia="宋体" w:cs="Times New Roman"/>
          <w:sz w:val="24"/>
          <w:szCs w:val="24"/>
          <w:highlight w:val="none"/>
          <w:lang w:val="en-US" w:eastAsia="zh-CN"/>
        </w:rPr>
      </w:pPr>
    </w:p>
    <w:p w14:paraId="22DD3774">
      <w:pPr>
        <w:pStyle w:val="37"/>
        <w:rPr>
          <w:rFonts w:hint="default" w:ascii="宋体" w:hAnsi="宋体" w:eastAsia="宋体" w:cs="Times New Roman"/>
          <w:sz w:val="24"/>
          <w:szCs w:val="24"/>
          <w:highlight w:val="none"/>
          <w:lang w:val="en-US" w:eastAsia="zh-CN"/>
        </w:rPr>
      </w:pPr>
    </w:p>
    <w:p w14:paraId="3A8E4D6F">
      <w:pPr>
        <w:pStyle w:val="37"/>
        <w:rPr>
          <w:rFonts w:hint="default" w:ascii="宋体" w:hAnsi="宋体" w:eastAsia="宋体" w:cs="Times New Roman"/>
          <w:sz w:val="24"/>
          <w:szCs w:val="24"/>
          <w:highlight w:val="none"/>
          <w:lang w:val="en-US" w:eastAsia="zh-CN"/>
        </w:rPr>
      </w:pPr>
    </w:p>
    <w:p w14:paraId="7A07669E">
      <w:pPr>
        <w:pStyle w:val="37"/>
        <w:rPr>
          <w:rFonts w:hint="default" w:ascii="宋体" w:hAnsi="宋体" w:eastAsia="宋体" w:cs="Times New Roman"/>
          <w:sz w:val="24"/>
          <w:szCs w:val="24"/>
          <w:highlight w:val="none"/>
          <w:lang w:val="en-US" w:eastAsia="zh-CN"/>
        </w:rPr>
      </w:pPr>
    </w:p>
    <w:p w14:paraId="7DFC1082">
      <w:pPr>
        <w:pStyle w:val="37"/>
        <w:rPr>
          <w:rFonts w:hint="default" w:ascii="宋体" w:hAnsi="宋体" w:eastAsia="宋体" w:cs="Times New Roman"/>
          <w:sz w:val="24"/>
          <w:szCs w:val="24"/>
          <w:highlight w:val="none"/>
          <w:lang w:val="en-US" w:eastAsia="zh-CN"/>
        </w:rPr>
      </w:pPr>
    </w:p>
    <w:p w14:paraId="613F559C">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8"/>
          <w:szCs w:val="28"/>
          <w:highlight w:val="none"/>
          <w:lang w:val="en-US" w:eastAsia="zh-CN"/>
        </w:rPr>
      </w:pPr>
    </w:p>
    <w:p w14:paraId="37949E3B">
      <w:pPr>
        <w:spacing w:line="267" w:lineRule="auto"/>
        <w:jc w:val="center"/>
        <w:outlineLvl w:val="1"/>
        <w:rPr>
          <w:rFonts w:hint="eastAsia" w:asciiTheme="minorEastAsia" w:hAnsiTheme="minorEastAsia" w:eastAsiaTheme="minorEastAsia" w:cstheme="minorEastAsia"/>
          <w:b/>
          <w:bCs/>
          <w:color w:val="auto"/>
          <w:spacing w:val="5"/>
          <w:sz w:val="36"/>
          <w:szCs w:val="36"/>
          <w:lang w:eastAsia="zh-CN"/>
        </w:rPr>
      </w:pPr>
      <w:bookmarkStart w:id="49" w:name="_Toc23597"/>
    </w:p>
    <w:p w14:paraId="1ED820C9">
      <w:pPr>
        <w:pStyle w:val="35"/>
        <w:rPr>
          <w:rFonts w:hint="eastAsia"/>
          <w:lang w:eastAsia="zh-CN"/>
        </w:rPr>
      </w:pPr>
    </w:p>
    <w:p w14:paraId="3206EBB4">
      <w:pPr>
        <w:spacing w:line="267" w:lineRule="auto"/>
        <w:jc w:val="center"/>
        <w:outlineLvl w:val="1"/>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b/>
          <w:bCs/>
          <w:color w:val="auto"/>
          <w:spacing w:val="5"/>
          <w:sz w:val="36"/>
          <w:szCs w:val="36"/>
          <w:lang w:eastAsia="zh-CN"/>
        </w:rPr>
        <w:t>一、投标函</w:t>
      </w:r>
      <w:bookmarkEnd w:id="49"/>
    </w:p>
    <w:p w14:paraId="405B23AB">
      <w:pPr>
        <w:spacing w:line="440" w:lineRule="exact"/>
        <w:rPr>
          <w:rFonts w:hint="eastAsia" w:ascii="宋体" w:hAnsi="宋体" w:eastAsia="宋体" w:cs="宋体"/>
          <w:color w:val="000000"/>
          <w:sz w:val="24"/>
          <w:szCs w:val="24"/>
          <w:u w:val="single"/>
          <w:lang w:eastAsia="zh-CN"/>
        </w:rPr>
      </w:pPr>
      <w:r>
        <w:rPr>
          <w:rFonts w:hint="eastAsia" w:ascii="宋体" w:hAnsi="宋体" w:eastAsia="宋体" w:cs="宋体"/>
          <w:color w:val="000000"/>
          <w:sz w:val="24"/>
          <w:szCs w:val="24"/>
          <w:lang w:eastAsia="zh-CN"/>
        </w:rPr>
        <w:t>致：</w:t>
      </w:r>
      <w:r>
        <w:rPr>
          <w:rFonts w:hint="eastAsia" w:ascii="宋体" w:hAnsi="宋体" w:eastAsia="宋体" w:cs="宋体"/>
          <w:color w:val="000000"/>
          <w:sz w:val="24"/>
          <w:szCs w:val="24"/>
          <w:u w:val="single"/>
          <w:lang w:eastAsia="zh-CN"/>
        </w:rPr>
        <w:t xml:space="preserve">                     </w:t>
      </w:r>
    </w:p>
    <w:p w14:paraId="56905405">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为响应你方组织的</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项目的招标[项目编号为：</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]，我方愿参与投标。</w:t>
      </w:r>
    </w:p>
    <w:p w14:paraId="5DE6E2F1">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我方确认收到贵方提供的</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招标文件的全部内容。</w:t>
      </w:r>
    </w:p>
    <w:p w14:paraId="5CCE8B4D">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0BBF4722">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u w:val="single"/>
          <w:lang w:eastAsia="zh-CN"/>
        </w:rPr>
        <w:t xml:space="preserve">      (供应商名称)      </w:t>
      </w:r>
      <w:r>
        <w:rPr>
          <w:rFonts w:hint="eastAsia" w:ascii="宋体" w:hAnsi="宋体" w:eastAsia="宋体" w:cs="宋体"/>
          <w:color w:val="000000"/>
          <w:sz w:val="24"/>
          <w:szCs w:val="24"/>
          <w:lang w:eastAsia="zh-CN"/>
        </w:rPr>
        <w:t>作为供应商正式授权</w:t>
      </w:r>
      <w:r>
        <w:rPr>
          <w:rFonts w:hint="eastAsia" w:ascii="宋体" w:hAnsi="宋体" w:eastAsia="宋体" w:cs="宋体"/>
          <w:color w:val="000000"/>
          <w:sz w:val="24"/>
          <w:szCs w:val="24"/>
          <w:u w:val="single"/>
          <w:lang w:eastAsia="zh-CN"/>
        </w:rPr>
        <w:t xml:space="preserve">  (授权代表全名, 职务)  </w:t>
      </w:r>
      <w:r>
        <w:rPr>
          <w:rFonts w:hint="eastAsia" w:ascii="宋体" w:hAnsi="宋体" w:eastAsia="宋体" w:cs="宋体"/>
          <w:color w:val="000000"/>
          <w:sz w:val="24"/>
          <w:szCs w:val="24"/>
          <w:lang w:eastAsia="zh-CN"/>
        </w:rPr>
        <w:t>代表我方全权处理有关本报价的一切事宜。</w:t>
      </w:r>
    </w:p>
    <w:p w14:paraId="2EA5B7E7">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我方已完全明白招标文件的所有条款要求，并申明如下：</w:t>
      </w:r>
    </w:p>
    <w:p w14:paraId="284B115A">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（一）按招标文件提供的全部货物与相关服务的投标总价详见《报价一览表》。</w:t>
      </w:r>
    </w:p>
    <w:p w14:paraId="2154D6C6">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（二）本投标文件的有效期为投标截止时间起</w:t>
      </w:r>
      <w:r>
        <w:rPr>
          <w:rFonts w:hint="eastAsia" w:ascii="宋体" w:hAnsi="宋体" w:eastAsia="宋体" w:cs="宋体"/>
          <w:color w:val="000000"/>
          <w:sz w:val="24"/>
          <w:szCs w:val="24"/>
          <w:u w:val="single"/>
          <w:lang w:eastAsia="zh-CN"/>
        </w:rPr>
        <w:t>60</w:t>
      </w:r>
      <w:r>
        <w:rPr>
          <w:rFonts w:hint="eastAsia" w:ascii="宋体" w:hAnsi="宋体" w:eastAsia="宋体" w:cs="宋体"/>
          <w:color w:val="000000"/>
          <w:sz w:val="24"/>
          <w:szCs w:val="24"/>
          <w:lang w:eastAsia="zh-CN"/>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4BFCB6B0">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（三）我方同意按照贵方可能提出的要求而提供与投标有关的任何其它数据、信息或资料。</w:t>
      </w:r>
    </w:p>
    <w:p w14:paraId="5ABDFDE7">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（四）我方理解贵方不一定接受最低投标价或任何贵方可能收到的投标。</w:t>
      </w:r>
    </w:p>
    <w:p w14:paraId="79C0EF87">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（五）我方如果中标，将保证履行招标文件及其澄清、修改文件（如果有）中的全部责任和义务，按质、按量、按期完成《招标内容》及《合同书》中的全部任务。</w:t>
      </w:r>
    </w:p>
    <w:p w14:paraId="4982829D">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（六）如我方被授予合同，我方承诺支付就本次招标应支付或将支付的中标服务费（详见按招标文件要求格式填写的《中标服务费支付承诺书》）。</w:t>
      </w:r>
    </w:p>
    <w:p w14:paraId="762816AC">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（七）我方作为在法律、财务和运作上独立于采购人、招标代理机构的供应商，在此保证所提交的所有文件和全部说明是真实的和正确的。</w:t>
      </w:r>
    </w:p>
    <w:p w14:paraId="025915BD">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（八）我方投标报价已包含应向知识产权所有权人支付的所有相关税费，并保证采购人在中国使用我方提供的货物时，如有第三方提出侵犯其知识产权主张的，责任由我方承担。</w:t>
      </w:r>
    </w:p>
    <w:p w14:paraId="44440AFE">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（九）我方与其他供应商不存在单位负责人为同一人或者存在直接控股、管理关系。</w:t>
      </w:r>
    </w:p>
    <w:p w14:paraId="53F7AC3C">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（十）我方承诺未为本项目提供整体设计、规范编制或者项目管理、监理、检测等服务。</w:t>
      </w:r>
    </w:p>
    <w:p w14:paraId="381D2AFC">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（十一）我方具备《政府采购法》第二十二条规定的条件，承诺如下：</w:t>
      </w:r>
    </w:p>
    <w:p w14:paraId="0FA2BDB8">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（1）我方已依法缴纳了各项税费及社会保险费用，如有需要，可随时向采购人提供近三个月内的相关缴费证明，以便核查。</w:t>
      </w:r>
    </w:p>
    <w:p w14:paraId="1CFF2E74">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（2）我方已依法建立健全的财务会计制度，如有需要，可随时向采购人提供相关的证明材料，以便核查。</w:t>
      </w:r>
    </w:p>
    <w:p w14:paraId="4D74BD01">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（3）我方参加本项目政府采购活动前3年内在经营活动中没有重大违法记录。</w:t>
      </w:r>
    </w:p>
    <w:p w14:paraId="3E64845B">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（4）我方具备履行合同所必需的设备和专业技术能力。</w:t>
      </w:r>
    </w:p>
    <w:p w14:paraId="4051C506">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（5）我方符合法律、行政法规规定的其他条件。</w:t>
      </w:r>
    </w:p>
    <w:p w14:paraId="689F77F1">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以上内容如有虚假或与事实不符的，评审委员会可将我方做无效投标处理，我方愿意承担相应的法律责任。</w:t>
      </w:r>
    </w:p>
    <w:p w14:paraId="5FCF86D3">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（十三）我方对在本函及投标文件中所作的所有承诺承担法律责任。</w:t>
      </w:r>
    </w:p>
    <w:p w14:paraId="19E5F023">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（十四）所有与本招标有关的函件请发往下列地址：</w:t>
      </w:r>
    </w:p>
    <w:p w14:paraId="6C1269E8">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地    址：</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.邮政编码：</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77395AE3">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电    话：</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2FF837BE">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传    真：</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4AC0487A">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代表姓名：</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.职    务：</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1187A38C">
      <w:pPr>
        <w:spacing w:line="440" w:lineRule="exact"/>
        <w:ind w:right="480"/>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 xml:space="preserve">（公章） </w:t>
      </w:r>
    </w:p>
    <w:p w14:paraId="0E6006AB">
      <w:pPr>
        <w:wordWrap w:val="0"/>
        <w:spacing w:line="440" w:lineRule="exact"/>
        <w:ind w:firstLine="480" w:firstLineChars="200"/>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法定代表人或委托人：</w:t>
      </w:r>
      <w:r>
        <w:rPr>
          <w:rFonts w:hint="eastAsia" w:ascii="宋体" w:hAnsi="宋体" w:eastAsia="宋体" w:cs="宋体"/>
          <w:color w:val="000000"/>
          <w:sz w:val="24"/>
          <w:szCs w:val="24"/>
          <w:lang w:eastAsia="zh-CN"/>
        </w:rPr>
        <w:tab/>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 xml:space="preserve">（签章）  </w:t>
      </w:r>
    </w:p>
    <w:p w14:paraId="5A04BFA5">
      <w:pPr>
        <w:wordWrap w:val="0"/>
        <w:spacing w:line="440" w:lineRule="exact"/>
        <w:ind w:firstLine="480" w:firstLineChars="200"/>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 xml:space="preserve">  </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年</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月</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日</w:t>
      </w:r>
    </w:p>
    <w:p w14:paraId="0862FF27">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756C3660">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39ACB818">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4349B5C8">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57222820">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74F89C1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8"/>
          <w:szCs w:val="28"/>
          <w:highlight w:val="none"/>
          <w:lang w:val="en-US" w:eastAsia="zh-CN"/>
        </w:rPr>
      </w:pPr>
    </w:p>
    <w:p w14:paraId="413A35A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8"/>
          <w:szCs w:val="28"/>
          <w:highlight w:val="none"/>
          <w:lang w:val="en-US" w:eastAsia="zh-CN"/>
        </w:rPr>
      </w:pPr>
      <w:r>
        <w:rPr>
          <w:rFonts w:hint="default" w:ascii="宋体" w:hAnsi="宋体" w:eastAsia="宋体" w:cs="Times New Roman"/>
          <w:sz w:val="28"/>
          <w:szCs w:val="28"/>
          <w:highlight w:val="none"/>
          <w:lang w:val="en-US" w:eastAsia="zh-CN"/>
        </w:rPr>
        <w:t>2、开标一览表</w:t>
      </w:r>
    </w:p>
    <w:p w14:paraId="11928A00">
      <w:pPr>
        <w:pStyle w:val="9"/>
        <w:shd w:val="clear" w:color="auto" w:fill="auto"/>
        <w:tabs>
          <w:tab w:val="left" w:pos="5580"/>
        </w:tabs>
        <w:spacing w:line="240" w:lineRule="atLeast"/>
        <w:ind w:left="0" w:leftChars="0" w:firstLine="480" w:firstLineChars="200"/>
        <w:jc w:val="both"/>
        <w:rPr>
          <w:rFonts w:hint="eastAsia" w:ascii="宋体" w:hAnsi="宋体" w:cs="宋体"/>
          <w:color w:val="auto"/>
          <w:sz w:val="24"/>
          <w:szCs w:val="24"/>
          <w:highlight w:val="none"/>
          <w:u w:val="none"/>
          <w:lang w:val="en-US" w:eastAsia="zh-CN"/>
        </w:rPr>
      </w:pPr>
      <w:r>
        <w:rPr>
          <w:rFonts w:hint="eastAsia" w:ascii="宋体" w:hAnsi="宋体" w:eastAsia="宋体" w:cs="宋体"/>
          <w:color w:val="auto"/>
          <w:sz w:val="24"/>
          <w:szCs w:val="24"/>
          <w:highlight w:val="none"/>
        </w:rPr>
        <w:t xml:space="preserve">项目名称：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w:t>
      </w:r>
    </w:p>
    <w:p w14:paraId="7883E04A">
      <w:pPr>
        <w:pStyle w:val="9"/>
        <w:shd w:val="clear" w:color="auto" w:fill="auto"/>
        <w:tabs>
          <w:tab w:val="left" w:pos="5580"/>
        </w:tabs>
        <w:spacing w:line="240" w:lineRule="atLeast"/>
        <w:ind w:left="0" w:leftChars="0" w:firstLine="480" w:firstLineChars="200"/>
        <w:jc w:val="both"/>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 xml:space="preserve">        </w:t>
      </w:r>
    </w:p>
    <w:p w14:paraId="282E11A1">
      <w:pPr>
        <w:pStyle w:val="9"/>
        <w:shd w:val="clear" w:color="auto" w:fill="auto"/>
        <w:tabs>
          <w:tab w:val="left" w:pos="5580"/>
        </w:tabs>
        <w:spacing w:line="240" w:lineRule="atLeast"/>
        <w:ind w:left="0" w:leftChars="0" w:firstLine="480" w:firstLineChars="200"/>
        <w:jc w:val="both"/>
        <w:rPr>
          <w:rFonts w:hint="eastAsia" w:ascii="宋体" w:hAnsi="宋体" w:eastAsia="宋体" w:cs="宋体"/>
          <w:i/>
          <w:iCs/>
          <w:color w:val="auto"/>
          <w:sz w:val="24"/>
          <w:szCs w:val="24"/>
          <w:highlight w:val="none"/>
          <w:u w:val="none"/>
        </w:rPr>
      </w:pPr>
      <w:r>
        <w:rPr>
          <w:rFonts w:hint="eastAsia" w:ascii="宋体" w:hAnsi="宋体" w:eastAsia="宋体" w:cs="宋体"/>
          <w:color w:val="auto"/>
          <w:sz w:val="24"/>
          <w:szCs w:val="24"/>
          <w:highlight w:val="none"/>
        </w:rPr>
        <w:t>项目编号：</w:t>
      </w:r>
      <w:r>
        <w:rPr>
          <w:rFonts w:hint="eastAsia" w:ascii="宋体" w:hAnsi="宋体" w:eastAsia="宋体" w:cs="宋体"/>
          <w:i/>
          <w:iCs/>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w:t>
      </w:r>
    </w:p>
    <w:p w14:paraId="05A1F5B8">
      <w:pPr>
        <w:shd w:val="clear" w:color="auto" w:fill="auto"/>
        <w:spacing w:line="500" w:lineRule="exact"/>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单位：元（人民币）</w:t>
      </w:r>
    </w:p>
    <w:tbl>
      <w:tblPr>
        <w:tblStyle w:val="42"/>
        <w:tblW w:w="8784"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3"/>
        <w:gridCol w:w="1335"/>
        <w:gridCol w:w="5466"/>
      </w:tblGrid>
      <w:tr w14:paraId="77318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318" w:type="dxa"/>
            <w:gridSpan w:val="2"/>
            <w:vAlign w:val="top"/>
          </w:tcPr>
          <w:p w14:paraId="0A026E96">
            <w:pPr>
              <w:pStyle w:val="41"/>
              <w:spacing w:before="209" w:line="228" w:lineRule="auto"/>
              <w:ind w:left="883"/>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项目名称</w:t>
            </w:r>
          </w:p>
        </w:tc>
        <w:tc>
          <w:tcPr>
            <w:tcW w:w="5466" w:type="dxa"/>
            <w:vAlign w:val="top"/>
          </w:tcPr>
          <w:p w14:paraId="6DB6F0B8">
            <w:pPr>
              <w:rPr>
                <w:rFonts w:ascii="Arial"/>
                <w:sz w:val="24"/>
                <w:szCs w:val="24"/>
              </w:rPr>
            </w:pPr>
          </w:p>
        </w:tc>
      </w:tr>
      <w:tr w14:paraId="4F753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3318" w:type="dxa"/>
            <w:gridSpan w:val="2"/>
            <w:vAlign w:val="top"/>
          </w:tcPr>
          <w:p w14:paraId="78E26EC2">
            <w:pPr>
              <w:pStyle w:val="41"/>
              <w:spacing w:before="164" w:line="228" w:lineRule="auto"/>
              <w:ind w:firstLine="720" w:firstLineChars="300"/>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服务期限</w:t>
            </w:r>
          </w:p>
        </w:tc>
        <w:tc>
          <w:tcPr>
            <w:tcW w:w="5466" w:type="dxa"/>
            <w:vAlign w:val="top"/>
          </w:tcPr>
          <w:p w14:paraId="7D129FD8">
            <w:pPr>
              <w:rPr>
                <w:rFonts w:ascii="Arial"/>
                <w:sz w:val="24"/>
                <w:szCs w:val="24"/>
              </w:rPr>
            </w:pPr>
          </w:p>
        </w:tc>
      </w:tr>
      <w:tr w14:paraId="36D1A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983" w:type="dxa"/>
            <w:vMerge w:val="restart"/>
            <w:tcBorders>
              <w:bottom w:val="nil"/>
            </w:tcBorders>
            <w:vAlign w:val="top"/>
          </w:tcPr>
          <w:p w14:paraId="3A6B8CDF">
            <w:pPr>
              <w:spacing w:line="274" w:lineRule="auto"/>
              <w:rPr>
                <w:rFonts w:hint="eastAsia" w:ascii="宋体" w:hAnsi="宋体" w:eastAsia="宋体" w:cs="宋体"/>
                <w:color w:val="auto"/>
                <w:kern w:val="0"/>
                <w:sz w:val="24"/>
                <w:szCs w:val="24"/>
                <w:highlight w:val="none"/>
                <w:lang w:val="en-US" w:eastAsia="zh-CN" w:bidi="ar-SA"/>
              </w:rPr>
            </w:pPr>
          </w:p>
          <w:p w14:paraId="50BEF556">
            <w:pPr>
              <w:pStyle w:val="41"/>
              <w:spacing w:before="65" w:line="226" w:lineRule="auto"/>
              <w:ind w:left="181" w:firstLine="240" w:firstLineChars="1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投标报价</w:t>
            </w:r>
          </w:p>
          <w:p w14:paraId="1993DBEB">
            <w:pPr>
              <w:pStyle w:val="41"/>
              <w:spacing w:before="81" w:line="227" w:lineRule="auto"/>
              <w:ind w:left="294"/>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（人民币）</w:t>
            </w:r>
          </w:p>
        </w:tc>
        <w:tc>
          <w:tcPr>
            <w:tcW w:w="1335" w:type="dxa"/>
            <w:vAlign w:val="top"/>
          </w:tcPr>
          <w:p w14:paraId="030A4BF9">
            <w:pPr>
              <w:pStyle w:val="41"/>
              <w:spacing w:before="198" w:line="230" w:lineRule="auto"/>
              <w:ind w:left="282"/>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小写</w:t>
            </w:r>
          </w:p>
        </w:tc>
        <w:tc>
          <w:tcPr>
            <w:tcW w:w="5466" w:type="dxa"/>
            <w:vAlign w:val="top"/>
          </w:tcPr>
          <w:p w14:paraId="02F42523">
            <w:pPr>
              <w:rPr>
                <w:rFonts w:ascii="Arial"/>
                <w:sz w:val="24"/>
                <w:szCs w:val="24"/>
              </w:rPr>
            </w:pPr>
          </w:p>
        </w:tc>
      </w:tr>
      <w:tr w14:paraId="076E9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983" w:type="dxa"/>
            <w:vMerge w:val="continue"/>
            <w:tcBorders>
              <w:top w:val="nil"/>
            </w:tcBorders>
            <w:vAlign w:val="top"/>
          </w:tcPr>
          <w:p w14:paraId="7C6DD1AE">
            <w:pPr>
              <w:rPr>
                <w:rFonts w:hint="eastAsia" w:ascii="宋体" w:hAnsi="宋体" w:eastAsia="宋体" w:cs="宋体"/>
                <w:color w:val="auto"/>
                <w:kern w:val="0"/>
                <w:sz w:val="24"/>
                <w:szCs w:val="24"/>
                <w:highlight w:val="none"/>
                <w:lang w:val="en-US" w:eastAsia="zh-CN" w:bidi="ar-SA"/>
              </w:rPr>
            </w:pPr>
          </w:p>
        </w:tc>
        <w:tc>
          <w:tcPr>
            <w:tcW w:w="1335" w:type="dxa"/>
            <w:vAlign w:val="top"/>
          </w:tcPr>
          <w:p w14:paraId="6BA70E4B">
            <w:pPr>
              <w:pStyle w:val="41"/>
              <w:spacing w:before="199" w:line="228" w:lineRule="auto"/>
              <w:ind w:left="27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大写</w:t>
            </w:r>
          </w:p>
        </w:tc>
        <w:tc>
          <w:tcPr>
            <w:tcW w:w="5466" w:type="dxa"/>
            <w:vAlign w:val="top"/>
          </w:tcPr>
          <w:p w14:paraId="6FD8F042">
            <w:pPr>
              <w:rPr>
                <w:rFonts w:ascii="Arial"/>
                <w:sz w:val="24"/>
                <w:szCs w:val="24"/>
              </w:rPr>
            </w:pPr>
          </w:p>
        </w:tc>
      </w:tr>
    </w:tbl>
    <w:p w14:paraId="19A17ADA">
      <w:pPr>
        <w:shd w:val="clear" w:color="auto" w:fill="auto"/>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404F505E">
      <w:pPr>
        <w:pStyle w:val="37"/>
        <w:rPr>
          <w:rFonts w:hint="eastAsia"/>
        </w:rPr>
      </w:pPr>
    </w:p>
    <w:p w14:paraId="52C1B587">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.开标时，本表中的内容与</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中的投标函、</w:t>
      </w:r>
      <w:r>
        <w:rPr>
          <w:rFonts w:hint="eastAsia" w:ascii="宋体" w:hAnsi="宋体" w:cs="宋体"/>
          <w:color w:val="auto"/>
          <w:sz w:val="24"/>
          <w:szCs w:val="24"/>
          <w:highlight w:val="none"/>
          <w:lang w:val="en-US" w:eastAsia="zh-CN"/>
        </w:rPr>
        <w:t>服务</w:t>
      </w:r>
      <w:r>
        <w:rPr>
          <w:rFonts w:hint="eastAsia" w:ascii="宋体" w:hAnsi="宋体" w:eastAsia="宋体" w:cs="宋体"/>
          <w:color w:val="auto"/>
          <w:sz w:val="24"/>
          <w:szCs w:val="24"/>
          <w:highlight w:val="none"/>
        </w:rPr>
        <w:t>价格明细表及分项价格表的内容不一致的，以本表为准；大写金额与小写金额不一致的，以大写金额为准；</w:t>
      </w:r>
      <w:r>
        <w:rPr>
          <w:rFonts w:ascii="宋体" w:hAnsi="宋体" w:eastAsia="宋体" w:cs="宋体"/>
          <w:sz w:val="24"/>
          <w:szCs w:val="24"/>
        </w:rPr>
        <w:t>总价金额与按单价汇总金 额不一致的，以单价金额计算结果为准；单价金额小数点有明显错位的，应以总价为准，并修改单价。</w:t>
      </w:r>
    </w:p>
    <w:p w14:paraId="26CE1EFC">
      <w:pPr>
        <w:shd w:val="clear" w:color="auto" w:fill="auto"/>
        <w:spacing w:line="50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投标总价为招标范围所列全部招标项目的报价总和，并应与投标报价明细表及分项价格表保持一致。</w:t>
      </w:r>
    </w:p>
    <w:p w14:paraId="3A8974EE">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.投标报价不得填报选择性报价。</w:t>
      </w:r>
    </w:p>
    <w:p w14:paraId="68EE82D7">
      <w:pPr>
        <w:shd w:val="clear" w:color="auto" w:fill="auto"/>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（加盖公章）     </w:t>
      </w:r>
      <w:r>
        <w:rPr>
          <w:rFonts w:hint="eastAsia" w:ascii="宋体" w:hAnsi="宋体" w:eastAsia="宋体" w:cs="宋体"/>
          <w:color w:val="auto"/>
          <w:sz w:val="24"/>
          <w:szCs w:val="24"/>
          <w:highlight w:val="none"/>
        </w:rPr>
        <w:t xml:space="preserve">       </w:t>
      </w:r>
    </w:p>
    <w:p w14:paraId="5A553782">
      <w:pPr>
        <w:shd w:val="clear" w:color="auto" w:fill="auto"/>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98782F0">
      <w:pPr>
        <w:shd w:val="clear" w:color="auto" w:fill="auto"/>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22BAB3">
      <w:pPr>
        <w:shd w:val="clear" w:color="auto" w:fill="auto"/>
        <w:spacing w:line="480" w:lineRule="auto"/>
        <w:ind w:firstLine="480" w:firstLineChars="200"/>
        <w:rPr>
          <w:rFonts w:hint="default"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p>
    <w:p w14:paraId="35FBE9C6">
      <w:pPr>
        <w:pStyle w:val="37"/>
        <w:rPr>
          <w:rFonts w:hint="eastAsia" w:hAnsi="宋体" w:eastAsia="宋体" w:cs="宋体"/>
          <w:b/>
          <w:bCs/>
          <w:color w:val="auto"/>
          <w:sz w:val="24"/>
          <w:szCs w:val="24"/>
          <w:highlight w:val="none"/>
          <w:lang w:val="en-US" w:eastAsia="zh-CN"/>
        </w:rPr>
      </w:pPr>
    </w:p>
    <w:p w14:paraId="33BA77BD">
      <w:pPr>
        <w:pStyle w:val="37"/>
        <w:rPr>
          <w:rFonts w:hint="eastAsia" w:hAnsi="宋体" w:eastAsia="宋体" w:cs="宋体"/>
          <w:b/>
          <w:bCs/>
          <w:color w:val="auto"/>
          <w:sz w:val="24"/>
          <w:szCs w:val="24"/>
          <w:highlight w:val="none"/>
          <w:lang w:val="en-US" w:eastAsia="zh-CN"/>
        </w:rPr>
      </w:pPr>
    </w:p>
    <w:p w14:paraId="0596C9E1">
      <w:pPr>
        <w:pStyle w:val="37"/>
        <w:rPr>
          <w:rFonts w:hint="eastAsia" w:hAnsi="宋体" w:eastAsia="宋体" w:cs="宋体"/>
          <w:b/>
          <w:bCs/>
          <w:color w:val="auto"/>
          <w:sz w:val="24"/>
          <w:szCs w:val="24"/>
          <w:highlight w:val="none"/>
          <w:lang w:val="en-US" w:eastAsia="zh-CN"/>
        </w:rPr>
      </w:pPr>
    </w:p>
    <w:p w14:paraId="0C2B478D">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center"/>
        <w:textAlignment w:val="auto"/>
        <w:rPr>
          <w:rFonts w:hint="eastAsia" w:hAnsi="宋体" w:eastAsia="宋体" w:cs="宋体"/>
          <w:b/>
          <w:bCs/>
          <w:color w:val="auto"/>
          <w:sz w:val="24"/>
          <w:szCs w:val="24"/>
          <w:highlight w:val="none"/>
          <w:lang w:val="en-US" w:eastAsia="zh-CN"/>
        </w:rPr>
      </w:pPr>
    </w:p>
    <w:p w14:paraId="18E9BD3C">
      <w:pPr>
        <w:pStyle w:val="37"/>
        <w:rPr>
          <w:rFonts w:ascii="宋体" w:hAnsi="宋体" w:eastAsia="宋体" w:cs="宋体"/>
          <w:sz w:val="24"/>
          <w:szCs w:val="24"/>
        </w:rPr>
      </w:pPr>
    </w:p>
    <w:p w14:paraId="1626A3F4">
      <w:pPr>
        <w:pStyle w:val="37"/>
        <w:rPr>
          <w:rFonts w:ascii="宋体" w:hAnsi="宋体" w:eastAsia="宋体" w:cs="宋体"/>
          <w:sz w:val="24"/>
          <w:szCs w:val="24"/>
        </w:rPr>
      </w:pPr>
    </w:p>
    <w:p w14:paraId="21CB2021">
      <w:pPr>
        <w:pStyle w:val="5"/>
        <w:numPr>
          <w:ilvl w:val="0"/>
          <w:numId w:val="0"/>
        </w:numPr>
        <w:shd w:val="clear" w:color="auto" w:fill="auto"/>
        <w:spacing w:before="0" w:line="240" w:lineRule="atLeast"/>
        <w:jc w:val="center"/>
        <w:rPr>
          <w:rFonts w:hint="eastAsia" w:ascii="宋体" w:hAnsi="宋体" w:eastAsia="宋体" w:cs="Times New Roman"/>
          <w:b w:val="0"/>
          <w:bCs w:val="0"/>
          <w:kern w:val="2"/>
          <w:sz w:val="28"/>
          <w:szCs w:val="28"/>
          <w:highlight w:val="none"/>
          <w:lang w:val="en-US" w:eastAsia="zh-CN" w:bidi="ar-SA"/>
        </w:rPr>
      </w:pPr>
    </w:p>
    <w:p w14:paraId="572E4349">
      <w:pPr>
        <w:pStyle w:val="6"/>
        <w:numPr>
          <w:ilvl w:val="0"/>
          <w:numId w:val="0"/>
        </w:numPr>
        <w:shd w:val="clear" w:color="auto" w:fill="auto"/>
        <w:spacing w:before="0" w:line="240" w:lineRule="atLeast"/>
        <w:jc w:val="center"/>
        <w:rPr>
          <w:rFonts w:hint="eastAsia" w:ascii="宋体" w:hAnsi="宋体" w:eastAsia="宋体" w:cs="Times New Roman"/>
          <w:b w:val="0"/>
          <w:kern w:val="2"/>
          <w:sz w:val="28"/>
          <w:szCs w:val="28"/>
          <w:highlight w:val="none"/>
          <w:lang w:val="en-US" w:eastAsia="zh-CN" w:bidi="ar-SA"/>
        </w:rPr>
      </w:pPr>
      <w:r>
        <w:rPr>
          <w:rFonts w:hint="eastAsia" w:ascii="宋体" w:hAnsi="宋体" w:eastAsia="宋体" w:cs="Times New Roman"/>
          <w:b w:val="0"/>
          <w:kern w:val="2"/>
          <w:sz w:val="28"/>
          <w:szCs w:val="28"/>
          <w:highlight w:val="none"/>
          <w:lang w:val="en-US" w:eastAsia="zh-CN" w:bidi="ar-SA"/>
        </w:rPr>
        <w:t>3 、</w:t>
      </w:r>
      <w:bookmarkStart w:id="50" w:name="_Toc1881"/>
      <w:bookmarkStart w:id="51" w:name="_Toc216582815"/>
      <w:bookmarkStart w:id="52" w:name="_Toc20897"/>
      <w:bookmarkStart w:id="53" w:name="_Toc10313"/>
      <w:bookmarkStart w:id="54" w:name="_Toc515647818"/>
      <w:r>
        <w:rPr>
          <w:rFonts w:hint="eastAsia" w:ascii="宋体" w:hAnsi="宋体" w:eastAsia="宋体" w:cs="Times New Roman"/>
          <w:b w:val="0"/>
          <w:kern w:val="2"/>
          <w:sz w:val="28"/>
          <w:szCs w:val="28"/>
          <w:highlight w:val="none"/>
          <w:lang w:val="en-US" w:eastAsia="zh-CN" w:bidi="ar-SA"/>
        </w:rPr>
        <w:t>投标分项报价表</w:t>
      </w:r>
      <w:bookmarkEnd w:id="50"/>
      <w:bookmarkEnd w:id="51"/>
      <w:bookmarkEnd w:id="52"/>
      <w:bookmarkEnd w:id="53"/>
      <w:bookmarkEnd w:id="54"/>
    </w:p>
    <w:p w14:paraId="111CB74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193C98DF">
      <w:pPr>
        <w:pStyle w:val="15"/>
        <w:shd w:val="clear" w:color="auto" w:fill="auto"/>
        <w:spacing w:line="240" w:lineRule="atLeast"/>
        <w:ind w:left="1080" w:leftChars="257"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项目名称:                </w:t>
      </w:r>
    </w:p>
    <w:p w14:paraId="71552A24">
      <w:pPr>
        <w:pStyle w:val="15"/>
        <w:shd w:val="clear" w:color="auto" w:fill="auto"/>
        <w:spacing w:line="240" w:lineRule="atLeast"/>
        <w:ind w:left="1080" w:leftChars="257"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招标编号</w:t>
      </w:r>
      <w:r>
        <w:rPr>
          <w:rFonts w:hint="eastAsia" w:hAnsi="宋体" w:cs="宋体"/>
          <w:color w:val="auto"/>
          <w:sz w:val="24"/>
          <w:szCs w:val="24"/>
          <w:highlight w:val="none"/>
          <w:lang w:eastAsia="zh-CN"/>
        </w:rPr>
        <w:t>：</w:t>
      </w:r>
      <w:r>
        <w:rPr>
          <w:rFonts w:hint="eastAsia"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w:t>
      </w:r>
    </w:p>
    <w:p w14:paraId="016745D0">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宋体" w:hAnsi="宋体" w:eastAsia="宋体" w:cs="宋体"/>
          <w:color w:val="auto"/>
          <w:sz w:val="24"/>
          <w:szCs w:val="24"/>
          <w:highlight w:val="none"/>
        </w:rPr>
        <w:t>单位：元（人民币）</w:t>
      </w:r>
    </w:p>
    <w:tbl>
      <w:tblPr>
        <w:tblStyle w:val="28"/>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315"/>
        <w:gridCol w:w="2148"/>
        <w:gridCol w:w="818"/>
        <w:gridCol w:w="990"/>
        <w:gridCol w:w="901"/>
        <w:gridCol w:w="1118"/>
        <w:gridCol w:w="1230"/>
      </w:tblGrid>
      <w:tr w14:paraId="00D1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78" w:type="dxa"/>
            <w:vAlign w:val="center"/>
          </w:tcPr>
          <w:p w14:paraId="5C863928">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315" w:type="dxa"/>
            <w:vAlign w:val="center"/>
          </w:tcPr>
          <w:p w14:paraId="013F9D94">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服务名称</w:t>
            </w:r>
          </w:p>
        </w:tc>
        <w:tc>
          <w:tcPr>
            <w:tcW w:w="2148" w:type="dxa"/>
            <w:vAlign w:val="center"/>
          </w:tcPr>
          <w:p w14:paraId="409E0B29">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服务内容说明</w:t>
            </w:r>
          </w:p>
        </w:tc>
        <w:tc>
          <w:tcPr>
            <w:tcW w:w="818" w:type="dxa"/>
            <w:vAlign w:val="center"/>
          </w:tcPr>
          <w:p w14:paraId="783F3531">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w:t>
            </w:r>
          </w:p>
        </w:tc>
        <w:tc>
          <w:tcPr>
            <w:tcW w:w="990" w:type="dxa"/>
            <w:vAlign w:val="center"/>
          </w:tcPr>
          <w:p w14:paraId="7B00989B">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数量</w:t>
            </w:r>
          </w:p>
        </w:tc>
        <w:tc>
          <w:tcPr>
            <w:tcW w:w="901" w:type="dxa"/>
            <w:vAlign w:val="center"/>
          </w:tcPr>
          <w:p w14:paraId="72B76DB6">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单价（元）</w:t>
            </w:r>
          </w:p>
        </w:tc>
        <w:tc>
          <w:tcPr>
            <w:tcW w:w="1118" w:type="dxa"/>
            <w:vAlign w:val="center"/>
          </w:tcPr>
          <w:p w14:paraId="37DBFA90">
            <w:pPr>
              <w:pStyle w:val="15"/>
              <w:shd w:val="clear" w:color="auto" w:fill="auto"/>
              <w:spacing w:line="240" w:lineRule="atLeast"/>
              <w:jc w:val="both"/>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合计（元）</w:t>
            </w:r>
          </w:p>
        </w:tc>
        <w:tc>
          <w:tcPr>
            <w:tcW w:w="1230" w:type="dxa"/>
            <w:vAlign w:val="center"/>
          </w:tcPr>
          <w:p w14:paraId="39B42089">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7542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8" w:type="dxa"/>
            <w:vAlign w:val="center"/>
          </w:tcPr>
          <w:p w14:paraId="145E803B">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1</w:t>
            </w:r>
          </w:p>
        </w:tc>
        <w:tc>
          <w:tcPr>
            <w:tcW w:w="1315" w:type="dxa"/>
            <w:vAlign w:val="center"/>
          </w:tcPr>
          <w:p w14:paraId="54920DE1">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2148" w:type="dxa"/>
            <w:vAlign w:val="center"/>
          </w:tcPr>
          <w:p w14:paraId="5D79AF52">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50D6B128">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990" w:type="dxa"/>
            <w:vAlign w:val="center"/>
          </w:tcPr>
          <w:p w14:paraId="0E33122E">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572BFB13">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118" w:type="dxa"/>
            <w:vAlign w:val="center"/>
          </w:tcPr>
          <w:p w14:paraId="3B0EA9E8">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230" w:type="dxa"/>
            <w:vAlign w:val="center"/>
          </w:tcPr>
          <w:p w14:paraId="74D74E0B">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r>
      <w:tr w14:paraId="54F4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778" w:type="dxa"/>
            <w:vAlign w:val="center"/>
          </w:tcPr>
          <w:p w14:paraId="0EBCA1D6">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w:t>
            </w:r>
          </w:p>
        </w:tc>
        <w:tc>
          <w:tcPr>
            <w:tcW w:w="1315" w:type="dxa"/>
            <w:vAlign w:val="center"/>
          </w:tcPr>
          <w:p w14:paraId="031322AD">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15562666">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818" w:type="dxa"/>
            <w:vAlign w:val="center"/>
          </w:tcPr>
          <w:p w14:paraId="40F705CF">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990" w:type="dxa"/>
            <w:vAlign w:val="center"/>
          </w:tcPr>
          <w:p w14:paraId="5EA275CC">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57492C26">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118" w:type="dxa"/>
            <w:vAlign w:val="center"/>
          </w:tcPr>
          <w:p w14:paraId="015170A4">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230" w:type="dxa"/>
            <w:vAlign w:val="center"/>
          </w:tcPr>
          <w:p w14:paraId="652F8665">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r>
      <w:tr w14:paraId="1B3B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8" w:type="dxa"/>
            <w:vAlign w:val="center"/>
          </w:tcPr>
          <w:p w14:paraId="19824B92">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3</w:t>
            </w:r>
          </w:p>
        </w:tc>
        <w:tc>
          <w:tcPr>
            <w:tcW w:w="1315" w:type="dxa"/>
            <w:vAlign w:val="center"/>
          </w:tcPr>
          <w:p w14:paraId="5943A4D6">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44CC5227">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2E3FE204">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72C951DA">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4B50E12C">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118" w:type="dxa"/>
            <w:vAlign w:val="center"/>
          </w:tcPr>
          <w:p w14:paraId="1C96A782">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230" w:type="dxa"/>
            <w:vAlign w:val="center"/>
          </w:tcPr>
          <w:p w14:paraId="5C2D000A">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r>
      <w:tr w14:paraId="44FC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47DF0AF2">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4</w:t>
            </w:r>
          </w:p>
        </w:tc>
        <w:tc>
          <w:tcPr>
            <w:tcW w:w="1315" w:type="dxa"/>
            <w:vAlign w:val="center"/>
          </w:tcPr>
          <w:p w14:paraId="38CFBEC9">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303006B8">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39002D0A">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6804B1EC">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351588DB">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44ED9CA5">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3A47202B">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6E2D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91F2648">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5</w:t>
            </w:r>
          </w:p>
        </w:tc>
        <w:tc>
          <w:tcPr>
            <w:tcW w:w="1315" w:type="dxa"/>
            <w:vAlign w:val="center"/>
          </w:tcPr>
          <w:p w14:paraId="0D35C8FE">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409B6868">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818" w:type="dxa"/>
            <w:vAlign w:val="center"/>
          </w:tcPr>
          <w:p w14:paraId="0CEC9F67">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09ED78AB">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62B4DDEE">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62D43F21">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15DFAF74">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4D6A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62C85155">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6</w:t>
            </w:r>
          </w:p>
        </w:tc>
        <w:tc>
          <w:tcPr>
            <w:tcW w:w="1315" w:type="dxa"/>
            <w:vAlign w:val="center"/>
          </w:tcPr>
          <w:p w14:paraId="7B988154">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723086EF">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753F2608">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61588ECC">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6A873EAA">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5FF2EE2F">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116ABC1F">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43CE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78" w:type="dxa"/>
            <w:vAlign w:val="center"/>
          </w:tcPr>
          <w:p w14:paraId="2E32AA0A">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7</w:t>
            </w:r>
          </w:p>
        </w:tc>
        <w:tc>
          <w:tcPr>
            <w:tcW w:w="1315" w:type="dxa"/>
            <w:vAlign w:val="center"/>
          </w:tcPr>
          <w:p w14:paraId="6815734D">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2148" w:type="dxa"/>
            <w:vAlign w:val="center"/>
          </w:tcPr>
          <w:p w14:paraId="30FE6A77">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818" w:type="dxa"/>
            <w:vAlign w:val="center"/>
          </w:tcPr>
          <w:p w14:paraId="78F075D2">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4C777357">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4CA8E4A7">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4BE92C5A">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171C6401">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4ACE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298" w:type="dxa"/>
            <w:gridSpan w:val="8"/>
            <w:vAlign w:val="center"/>
          </w:tcPr>
          <w:p w14:paraId="0CD8A9CA">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合计</w:t>
            </w:r>
            <w:r>
              <w:rPr>
                <w:rFonts w:hint="eastAsia" w:hAnsi="宋体" w:eastAsia="宋体" w:cs="宋体"/>
                <w:color w:val="auto"/>
                <w:sz w:val="24"/>
                <w:szCs w:val="24"/>
                <w:highlight w:val="none"/>
                <w:lang w:val="en-US" w:eastAsia="zh-CN"/>
              </w:rPr>
              <w:t>总</w:t>
            </w:r>
            <w:r>
              <w:rPr>
                <w:rFonts w:hint="eastAsia" w:hAnsi="宋体" w:cs="宋体"/>
                <w:color w:val="auto"/>
                <w:sz w:val="24"/>
                <w:szCs w:val="24"/>
                <w:highlight w:val="none"/>
                <w:lang w:val="en-US" w:eastAsia="zh-CN"/>
              </w:rPr>
              <w:t>报价</w:t>
            </w:r>
            <w:r>
              <w:rPr>
                <w:rFonts w:hint="eastAsia" w:hAnsi="宋体" w:eastAsia="宋体" w:cs="宋体"/>
                <w:color w:val="auto"/>
                <w:sz w:val="24"/>
                <w:szCs w:val="24"/>
                <w:highlight w:val="none"/>
                <w:lang w:val="en-US" w:eastAsia="zh-CN"/>
              </w:rPr>
              <w:t>（元）：</w:t>
            </w:r>
          </w:p>
        </w:tc>
      </w:tr>
    </w:tbl>
    <w:p w14:paraId="3B199E33">
      <w:pPr>
        <w:pStyle w:val="15"/>
        <w:shd w:val="clear" w:color="auto" w:fill="auto"/>
        <w:spacing w:line="240" w:lineRule="atLeast"/>
        <w:ind w:left="1080" w:leftChars="257" w:hanging="540"/>
        <w:rPr>
          <w:rFonts w:hint="eastAsia" w:ascii="宋体" w:hAnsi="宋体" w:eastAsia="宋体" w:cs="宋体"/>
          <w:color w:val="auto"/>
          <w:sz w:val="21"/>
          <w:szCs w:val="21"/>
          <w:highlight w:val="none"/>
        </w:rPr>
      </w:pPr>
    </w:p>
    <w:p w14:paraId="7D97E84F">
      <w:pPr>
        <w:pStyle w:val="15"/>
        <w:shd w:val="clear" w:color="auto" w:fill="auto"/>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1886D0FF">
      <w:pPr>
        <w:pStyle w:val="15"/>
        <w:shd w:val="clear" w:color="auto" w:fill="auto"/>
        <w:spacing w:line="240" w:lineRule="atLeast"/>
        <w:ind w:left="1080" w:leftChars="257" w:hanging="540"/>
        <w:rPr>
          <w:rFonts w:hint="eastAsia" w:ascii="宋体" w:hAnsi="宋体" w:eastAsia="宋体" w:cs="宋体"/>
          <w:color w:val="auto"/>
          <w:sz w:val="24"/>
          <w:highlight w:val="none"/>
          <w:u w:val="single"/>
        </w:rPr>
      </w:pPr>
    </w:p>
    <w:p w14:paraId="3B38936B">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35C8A102">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285D9A4">
      <w:pPr>
        <w:pStyle w:val="15"/>
        <w:shd w:val="clear" w:color="auto" w:fill="auto"/>
        <w:spacing w:line="360" w:lineRule="auto"/>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.如果按单价计算的结果与总价不一致,以单价为准修正总价。</w:t>
      </w:r>
    </w:p>
    <w:p w14:paraId="687CE955">
      <w:pPr>
        <w:pStyle w:val="15"/>
        <w:shd w:val="clear" w:color="auto" w:fill="auto"/>
        <w:spacing w:line="360" w:lineRule="auto"/>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.如果不提供详细分项报价将视为没有实质性响应</w:t>
      </w:r>
      <w:r>
        <w:rPr>
          <w:rFonts w:hint="eastAsia" w:ascii="宋体" w:hAnsi="宋体" w:eastAsia="宋体" w:cs="宋体"/>
          <w:color w:val="auto"/>
          <w:sz w:val="24"/>
          <w:highlight w:val="none"/>
          <w:lang w:val="en-US" w:eastAsia="zh-CN"/>
        </w:rPr>
        <w:t>竞争性磋商</w:t>
      </w:r>
      <w:r>
        <w:rPr>
          <w:rFonts w:hint="eastAsia" w:ascii="宋体" w:hAnsi="宋体" w:eastAsia="宋体" w:cs="宋体"/>
          <w:color w:val="auto"/>
          <w:sz w:val="24"/>
          <w:highlight w:val="none"/>
        </w:rPr>
        <w:t>文件。</w:t>
      </w:r>
    </w:p>
    <w:p w14:paraId="41A49D78">
      <w:pPr>
        <w:pStyle w:val="15"/>
        <w:shd w:val="clear" w:color="auto" w:fill="auto"/>
        <w:spacing w:line="360" w:lineRule="auto"/>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.如果开标一览表（报价表）内容与投标文件中明细表内容不一致的，以开标一览表（报价表）内容为准。</w:t>
      </w:r>
    </w:p>
    <w:p w14:paraId="4A73A0FD">
      <w:pPr>
        <w:pStyle w:val="15"/>
        <w:shd w:val="clear" w:color="auto" w:fill="auto"/>
        <w:spacing w:line="360" w:lineRule="auto"/>
        <w:ind w:firstLine="960" w:firstLineChars="4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4.第二轮或多轮报价需上传分项报价表，否则视为不响应磋商文件。</w:t>
      </w:r>
    </w:p>
    <w:p w14:paraId="48914607">
      <w:pPr>
        <w:pStyle w:val="15"/>
        <w:shd w:val="clear" w:color="auto" w:fill="auto"/>
        <w:spacing w:line="360" w:lineRule="auto"/>
        <w:ind w:firstLine="960" w:firstLineChars="400"/>
        <w:rPr>
          <w:rFonts w:hint="eastAsia" w:ascii="宋体" w:hAnsi="宋体" w:eastAsia="宋体" w:cs="宋体"/>
          <w:color w:val="auto"/>
          <w:sz w:val="24"/>
          <w:highlight w:val="none"/>
          <w:lang w:val="en-US" w:eastAsia="zh-CN"/>
        </w:rPr>
      </w:pPr>
    </w:p>
    <w:p w14:paraId="14569DD8">
      <w:pPr>
        <w:pStyle w:val="37"/>
        <w:spacing w:line="480" w:lineRule="auto"/>
        <w:rPr>
          <w:rFonts w:ascii="宋体" w:hAnsi="宋体" w:eastAsia="宋体" w:cs="宋体"/>
          <w:sz w:val="24"/>
          <w:szCs w:val="24"/>
        </w:rPr>
      </w:pPr>
    </w:p>
    <w:p w14:paraId="562968B2">
      <w:pPr>
        <w:pStyle w:val="37"/>
        <w:rPr>
          <w:rFonts w:hint="default" w:ascii="宋体" w:hAnsi="宋体" w:eastAsia="宋体" w:cs="宋体"/>
          <w:sz w:val="24"/>
          <w:szCs w:val="24"/>
          <w:lang w:val="en-US" w:eastAsia="zh-CN"/>
        </w:rPr>
      </w:pPr>
    </w:p>
    <w:p w14:paraId="783EDDA0">
      <w:pPr>
        <w:pStyle w:val="5"/>
        <w:numPr>
          <w:ilvl w:val="0"/>
          <w:numId w:val="0"/>
        </w:numPr>
        <w:shd w:val="clear" w:color="auto" w:fill="auto"/>
        <w:spacing w:before="0" w:line="240" w:lineRule="atLeast"/>
        <w:jc w:val="center"/>
        <w:rPr>
          <w:rFonts w:hint="eastAsia" w:ascii="宋体" w:hAnsi="宋体" w:eastAsia="宋体" w:cs="Times New Roman"/>
          <w:b w:val="0"/>
          <w:bCs w:val="0"/>
          <w:kern w:val="2"/>
          <w:sz w:val="28"/>
          <w:szCs w:val="28"/>
          <w:highlight w:val="none"/>
          <w:lang w:val="en-US" w:eastAsia="zh-CN" w:bidi="ar-SA"/>
        </w:rPr>
      </w:pPr>
      <w:bookmarkStart w:id="55" w:name="_Toc216582816"/>
      <w:bookmarkStart w:id="56" w:name="_Toc14037"/>
      <w:bookmarkStart w:id="57" w:name="_Toc18267"/>
      <w:bookmarkStart w:id="58" w:name="_Toc12257"/>
      <w:bookmarkStart w:id="59" w:name="_Toc515647819"/>
      <w:bookmarkStart w:id="60" w:name="_Toc4012"/>
      <w:r>
        <w:rPr>
          <w:rFonts w:hint="eastAsia" w:ascii="宋体" w:hAnsi="宋体" w:eastAsia="宋体" w:cs="Times New Roman"/>
          <w:b w:val="0"/>
          <w:bCs w:val="0"/>
          <w:kern w:val="2"/>
          <w:sz w:val="28"/>
          <w:szCs w:val="28"/>
          <w:highlight w:val="none"/>
          <w:lang w:val="en-US" w:eastAsia="zh-CN" w:bidi="ar-SA"/>
        </w:rPr>
        <w:t>4、服务说明一览表</w:t>
      </w:r>
      <w:bookmarkEnd w:id="55"/>
      <w:bookmarkEnd w:id="56"/>
      <w:bookmarkEnd w:id="57"/>
      <w:bookmarkEnd w:id="58"/>
      <w:bookmarkEnd w:id="59"/>
      <w:bookmarkEnd w:id="60"/>
    </w:p>
    <w:p w14:paraId="4836B6A6">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7CC0580">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项目名称:                           </w:t>
      </w:r>
    </w:p>
    <w:p w14:paraId="65CE93F4">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招标编号:                       包号:                      </w:t>
      </w:r>
    </w:p>
    <w:p w14:paraId="1C546737">
      <w:pPr>
        <w:pStyle w:val="15"/>
        <w:shd w:val="clear" w:color="auto" w:fill="auto"/>
        <w:spacing w:line="240" w:lineRule="atLeast"/>
        <w:ind w:left="1080" w:leftChars="257" w:hanging="540"/>
        <w:rPr>
          <w:rFonts w:hint="eastAsia" w:ascii="宋体" w:hAnsi="宋体" w:eastAsia="宋体" w:cs="宋体"/>
          <w:color w:val="auto"/>
          <w:sz w:val="24"/>
          <w:highlight w:val="none"/>
        </w:rPr>
      </w:pPr>
    </w:p>
    <w:tbl>
      <w:tblPr>
        <w:tblStyle w:val="28"/>
        <w:tblpPr w:leftFromText="180" w:rightFromText="180" w:vertAnchor="text" w:horzAnchor="page" w:tblpX="2225" w:tblpY="5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935"/>
        <w:gridCol w:w="1830"/>
        <w:gridCol w:w="2040"/>
        <w:gridCol w:w="1545"/>
      </w:tblGrid>
      <w:tr w14:paraId="56DD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97" w:type="dxa"/>
            <w:noWrap w:val="0"/>
            <w:vAlign w:val="top"/>
          </w:tcPr>
          <w:p w14:paraId="2A02CA23">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p w14:paraId="202B577C">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序号</w:t>
            </w:r>
          </w:p>
        </w:tc>
        <w:tc>
          <w:tcPr>
            <w:tcW w:w="1935" w:type="dxa"/>
            <w:noWrap w:val="0"/>
            <w:vAlign w:val="center"/>
          </w:tcPr>
          <w:p w14:paraId="3A9CEDE9">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服务内容</w:t>
            </w:r>
          </w:p>
        </w:tc>
        <w:tc>
          <w:tcPr>
            <w:tcW w:w="1830" w:type="dxa"/>
            <w:noWrap w:val="0"/>
            <w:vAlign w:val="center"/>
          </w:tcPr>
          <w:p w14:paraId="1946B6D0">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服务期限</w:t>
            </w:r>
          </w:p>
        </w:tc>
        <w:tc>
          <w:tcPr>
            <w:tcW w:w="2040" w:type="dxa"/>
            <w:noWrap w:val="0"/>
            <w:vAlign w:val="center"/>
          </w:tcPr>
          <w:p w14:paraId="055753AE">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服务地点</w:t>
            </w:r>
          </w:p>
        </w:tc>
        <w:tc>
          <w:tcPr>
            <w:tcW w:w="1545" w:type="dxa"/>
            <w:noWrap w:val="0"/>
            <w:vAlign w:val="center"/>
          </w:tcPr>
          <w:p w14:paraId="73A109B8">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其它</w:t>
            </w:r>
          </w:p>
        </w:tc>
      </w:tr>
      <w:tr w14:paraId="26AD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97" w:type="dxa"/>
            <w:noWrap w:val="0"/>
            <w:vAlign w:val="top"/>
          </w:tcPr>
          <w:p w14:paraId="5CD9E7FE">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1935" w:type="dxa"/>
            <w:noWrap w:val="0"/>
            <w:vAlign w:val="center"/>
          </w:tcPr>
          <w:p w14:paraId="6BE77E07">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1830" w:type="dxa"/>
            <w:noWrap w:val="0"/>
            <w:vAlign w:val="center"/>
          </w:tcPr>
          <w:p w14:paraId="25D20751">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2040" w:type="dxa"/>
            <w:noWrap w:val="0"/>
            <w:vAlign w:val="center"/>
          </w:tcPr>
          <w:p w14:paraId="69DEA604">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1545" w:type="dxa"/>
            <w:noWrap w:val="0"/>
            <w:vAlign w:val="center"/>
          </w:tcPr>
          <w:p w14:paraId="7987A3B7">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r>
      <w:tr w14:paraId="7BD5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97" w:type="dxa"/>
            <w:noWrap w:val="0"/>
            <w:vAlign w:val="top"/>
          </w:tcPr>
          <w:p w14:paraId="424A40C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6F774712">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346A180A">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4740234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7A0EFB1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684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97" w:type="dxa"/>
            <w:noWrap w:val="0"/>
            <w:vAlign w:val="top"/>
          </w:tcPr>
          <w:p w14:paraId="58F346D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165148F9">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54C9C911">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5342D55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71CBCE11">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2E65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97" w:type="dxa"/>
            <w:noWrap w:val="0"/>
            <w:vAlign w:val="top"/>
          </w:tcPr>
          <w:p w14:paraId="22832C6C">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54EC6FE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20A8713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5A835C49">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1102719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2DF7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97" w:type="dxa"/>
            <w:noWrap w:val="0"/>
            <w:vAlign w:val="top"/>
          </w:tcPr>
          <w:p w14:paraId="192B0AF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78B7ABEC">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57268562">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1DA7246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525B4FE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3900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97" w:type="dxa"/>
            <w:noWrap w:val="0"/>
            <w:vAlign w:val="top"/>
          </w:tcPr>
          <w:p w14:paraId="722DB4B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4875460B">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65777A9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71799C0B">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22ABA44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76E5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97" w:type="dxa"/>
            <w:noWrap w:val="0"/>
            <w:vAlign w:val="top"/>
          </w:tcPr>
          <w:p w14:paraId="444CA34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206924F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6194AF7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0A4ECFAA">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0C8476B2">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46E2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97" w:type="dxa"/>
            <w:noWrap w:val="0"/>
            <w:vAlign w:val="top"/>
          </w:tcPr>
          <w:p w14:paraId="48AA72E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11B248A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56DE3BA1">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5921BDE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31D8D6A7">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3C28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097" w:type="dxa"/>
            <w:noWrap w:val="0"/>
            <w:vAlign w:val="top"/>
          </w:tcPr>
          <w:p w14:paraId="3DF5170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6C15D11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163E97BC">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02D97F4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4B3DB7C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bl>
    <w:p w14:paraId="268044C6">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175D5C1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6C1F8D00">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2D6A1281">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7722E951">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786E5F3">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49508F4E">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8C946F8">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518069B8">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1544E7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2B9CBE62">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234EBC5C">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787C7045">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601038C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6CBDD9EA">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F592189">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0E78A91">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44BEBA67">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075DEF7">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65A08600">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69289709">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D6B33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3DE7AF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CC84AA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6527EB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7CE99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0A59C1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4991A9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5A1C8A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03887A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08154A7">
      <w:pPr>
        <w:pStyle w:val="2"/>
        <w:rPr>
          <w:rFonts w:hint="eastAsia" w:ascii="宋体" w:hAnsi="宋体" w:cs="Times New Roman"/>
          <w:b w:val="0"/>
          <w:bCs w:val="0"/>
          <w:sz w:val="28"/>
          <w:szCs w:val="28"/>
          <w:highlight w:val="none"/>
          <w:lang w:val="en-US" w:eastAsia="zh-CN"/>
        </w:rPr>
      </w:pPr>
    </w:p>
    <w:p w14:paraId="7D9F4D2F">
      <w:pPr>
        <w:pStyle w:val="3"/>
        <w:rPr>
          <w:rFonts w:hint="eastAsia"/>
          <w:lang w:val="en-US" w:eastAsia="zh-CN"/>
        </w:rPr>
      </w:pPr>
    </w:p>
    <w:p w14:paraId="45A6272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5</w:t>
      </w:r>
      <w:r>
        <w:rPr>
          <w:rFonts w:hint="default" w:ascii="宋体" w:hAnsi="宋体" w:eastAsia="宋体" w:cs="Times New Roman"/>
          <w:b w:val="0"/>
          <w:bCs w:val="0"/>
          <w:sz w:val="28"/>
          <w:szCs w:val="28"/>
          <w:highlight w:val="none"/>
          <w:lang w:val="en-US" w:eastAsia="zh-CN"/>
        </w:rPr>
        <w:t>、技术规格偏离表</w:t>
      </w:r>
    </w:p>
    <w:p w14:paraId="4D69681B">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2"/>
          <w:szCs w:val="22"/>
          <w:highlight w:val="none"/>
          <w:lang w:val="en-US" w:eastAsia="zh-CN"/>
        </w:rPr>
      </w:pPr>
      <w:r>
        <w:rPr>
          <w:rFonts w:hint="eastAsia" w:ascii="宋体" w:hAnsi="宋体" w:cs="Times New Roman"/>
          <w:b w:val="0"/>
          <w:bCs w:val="0"/>
          <w:sz w:val="22"/>
          <w:szCs w:val="22"/>
          <w:highlight w:val="none"/>
          <w:lang w:val="en-US" w:eastAsia="zh-CN"/>
        </w:rPr>
        <w:t>项目名称：                     招标编号：</w:t>
      </w:r>
    </w:p>
    <w:tbl>
      <w:tblPr>
        <w:tblStyle w:val="29"/>
        <w:tblW w:w="9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327"/>
        <w:gridCol w:w="1467"/>
        <w:gridCol w:w="1440"/>
        <w:gridCol w:w="1440"/>
        <w:gridCol w:w="1500"/>
        <w:gridCol w:w="1020"/>
      </w:tblGrid>
      <w:tr w14:paraId="3754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3083AC0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序号</w:t>
            </w:r>
          </w:p>
        </w:tc>
        <w:tc>
          <w:tcPr>
            <w:tcW w:w="1327" w:type="dxa"/>
          </w:tcPr>
          <w:p w14:paraId="310879E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cs="Times New Roman"/>
                <w:b w:val="0"/>
                <w:bCs w:val="0"/>
                <w:sz w:val="24"/>
                <w:szCs w:val="24"/>
                <w:highlight w:val="none"/>
                <w:vertAlign w:val="baseline"/>
                <w:lang w:val="en-US" w:eastAsia="zh-CN"/>
              </w:rPr>
              <w:t>服务</w:t>
            </w:r>
            <w:r>
              <w:rPr>
                <w:rFonts w:hint="eastAsia" w:ascii="宋体" w:hAnsi="宋体" w:eastAsia="宋体" w:cs="Times New Roman"/>
                <w:b w:val="0"/>
                <w:bCs w:val="0"/>
                <w:sz w:val="24"/>
                <w:szCs w:val="24"/>
                <w:highlight w:val="none"/>
                <w:vertAlign w:val="baseline"/>
                <w:lang w:val="en-US" w:eastAsia="zh-CN"/>
              </w:rPr>
              <w:t>名称</w:t>
            </w:r>
          </w:p>
        </w:tc>
        <w:tc>
          <w:tcPr>
            <w:tcW w:w="1467" w:type="dxa"/>
          </w:tcPr>
          <w:p w14:paraId="0BA0CB5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w:t>
            </w:r>
            <w:r>
              <w:rPr>
                <w:rFonts w:hint="eastAsia" w:ascii="宋体" w:hAnsi="宋体" w:eastAsia="宋体" w:cs="宋体"/>
                <w:color w:val="auto"/>
                <w:sz w:val="24"/>
                <w:highlight w:val="none"/>
                <w:lang w:val="en-US" w:eastAsia="zh-CN"/>
              </w:rPr>
              <w:t>条款号</w:t>
            </w:r>
          </w:p>
        </w:tc>
        <w:tc>
          <w:tcPr>
            <w:tcW w:w="1440" w:type="dxa"/>
          </w:tcPr>
          <w:p w14:paraId="4AA1567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r>
              <w:rPr>
                <w:rFonts w:hint="eastAsia" w:ascii="宋体" w:hAnsi="宋体" w:eastAsia="宋体" w:cs="宋体"/>
                <w:color w:val="auto"/>
                <w:sz w:val="24"/>
                <w:highlight w:val="none"/>
                <w:lang w:val="en-US" w:eastAsia="zh-CN"/>
              </w:rPr>
              <w:t>招标规格</w:t>
            </w:r>
          </w:p>
        </w:tc>
        <w:tc>
          <w:tcPr>
            <w:tcW w:w="1440" w:type="dxa"/>
          </w:tcPr>
          <w:p w14:paraId="21DC17DB">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投标规格</w:t>
            </w:r>
          </w:p>
        </w:tc>
        <w:tc>
          <w:tcPr>
            <w:tcW w:w="1500" w:type="dxa"/>
          </w:tcPr>
          <w:p w14:paraId="5A96860D">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偏离</w:t>
            </w:r>
          </w:p>
        </w:tc>
        <w:tc>
          <w:tcPr>
            <w:tcW w:w="1020" w:type="dxa"/>
          </w:tcPr>
          <w:p w14:paraId="69990E1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说明</w:t>
            </w:r>
          </w:p>
        </w:tc>
      </w:tr>
      <w:tr w14:paraId="5BA9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220A62E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5D7DD2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5D7A4A2D">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708B9AC2">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DB325C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605496D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如有正偏</w:t>
            </w:r>
          </w:p>
          <w:p w14:paraId="7C5DA2F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离需提供</w:t>
            </w:r>
          </w:p>
          <w:p w14:paraId="7C81291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证明材料，</w:t>
            </w:r>
          </w:p>
          <w:p w14:paraId="1F9D1C5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证明材料</w:t>
            </w:r>
          </w:p>
          <w:p w14:paraId="7FE2C2C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附后(并注</w:t>
            </w:r>
          </w:p>
          <w:p w14:paraId="1B0D7F9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明页码)</w:t>
            </w:r>
          </w:p>
        </w:tc>
        <w:tc>
          <w:tcPr>
            <w:tcW w:w="1020" w:type="dxa"/>
          </w:tcPr>
          <w:p w14:paraId="1E270FB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7B3E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6267071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95FAFE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2332076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5AF0D5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43B4D2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2B1BD81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020" w:type="dxa"/>
          </w:tcPr>
          <w:p w14:paraId="242F840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414D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21F791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7A4EFB0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6459350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46AF1A4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60CD07C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22F9FC8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020" w:type="dxa"/>
          </w:tcPr>
          <w:p w14:paraId="2CAA1D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2020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7F5124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B991A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632273D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E4F52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3F0FB3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7DB15F4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020" w:type="dxa"/>
          </w:tcPr>
          <w:p w14:paraId="4AB76E2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bl>
    <w:p w14:paraId="3F34613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ABF3FD7">
      <w:pPr>
        <w:spacing w:line="360" w:lineRule="auto"/>
        <w:ind w:firstLine="475" w:firstLineChars="198"/>
        <w:jc w:val="left"/>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注：</w:t>
      </w:r>
      <w:r>
        <w:rPr>
          <w:rFonts w:hint="eastAsia" w:ascii="宋体" w:hAnsi="宋体" w:eastAsia="宋体" w:cs="宋体"/>
          <w:color w:val="auto"/>
          <w:kern w:val="2"/>
          <w:sz w:val="24"/>
          <w:szCs w:val="20"/>
          <w:highlight w:val="none"/>
          <w:u w:val="none" w:color="000000"/>
          <w:lang w:val="en-US" w:eastAsia="zh-CN" w:bidi="ar-SA"/>
        </w:rPr>
        <w:t>备注：投标人应根据其提供的服务，对照招标文件第四章“</w:t>
      </w:r>
      <w:r>
        <w:rPr>
          <w:rFonts w:hint="eastAsia" w:ascii="宋体" w:hAnsi="宋体" w:cs="宋体"/>
          <w:color w:val="auto"/>
          <w:kern w:val="2"/>
          <w:sz w:val="24"/>
          <w:szCs w:val="20"/>
          <w:highlight w:val="none"/>
          <w:u w:val="none" w:color="000000"/>
          <w:lang w:val="en-US" w:eastAsia="zh-CN" w:bidi="ar-SA"/>
        </w:rPr>
        <w:t>采购内容及服务要求</w:t>
      </w:r>
      <w:r>
        <w:rPr>
          <w:rFonts w:hint="eastAsia" w:ascii="宋体" w:hAnsi="宋体" w:eastAsia="宋体" w:cs="宋体"/>
          <w:color w:val="auto"/>
          <w:kern w:val="2"/>
          <w:sz w:val="24"/>
          <w:szCs w:val="20"/>
          <w:highlight w:val="none"/>
          <w:u w:val="none" w:color="000000"/>
          <w:lang w:val="en-US" w:eastAsia="zh-CN" w:bidi="ar-SA"/>
        </w:rPr>
        <w:t>”中的要求，有差异的，则在此表中列明实际响应的内容提要并加以说明，以便查对。本表包括所有的技术响应及差异。无差异说明表示完全响应。</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技术要求不允许负偏离，偏离按废标处理</w:t>
      </w:r>
      <w:r>
        <w:rPr>
          <w:rFonts w:hint="eastAsia" w:ascii="宋体" w:hAnsi="宋体" w:eastAsia="宋体" w:cs="宋体"/>
          <w:color w:val="auto"/>
          <w:kern w:val="0"/>
          <w:sz w:val="24"/>
          <w:szCs w:val="24"/>
          <w:highlight w:val="none"/>
          <w:lang w:eastAsia="zh-CN" w:bidi="ar"/>
        </w:rPr>
        <w:t>）</w:t>
      </w:r>
    </w:p>
    <w:p w14:paraId="1F0C9C1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DB6209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投标人（盖章）：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1B1BAD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1EB686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法定代表人或委托代理人（签章）：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6FA2CA5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D86FD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日期：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年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月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日</w:t>
      </w:r>
    </w:p>
    <w:p w14:paraId="70E936A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51E0B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8434B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CABF9B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8D098B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9D5DC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FABFF8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186F07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6E4EDB2">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8"/>
          <w:szCs w:val="28"/>
          <w:highlight w:val="none"/>
          <w:lang w:val="en-US" w:eastAsia="zh-CN"/>
        </w:rPr>
      </w:pPr>
    </w:p>
    <w:p w14:paraId="3A42DDB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6</w:t>
      </w:r>
      <w:r>
        <w:rPr>
          <w:rFonts w:hint="default" w:ascii="宋体" w:hAnsi="宋体" w:eastAsia="宋体" w:cs="Times New Roman"/>
          <w:b w:val="0"/>
          <w:bCs w:val="0"/>
          <w:sz w:val="28"/>
          <w:szCs w:val="28"/>
          <w:highlight w:val="none"/>
          <w:lang w:val="en-US" w:eastAsia="zh-CN"/>
        </w:rPr>
        <w:t>、商务条款偏离表</w:t>
      </w:r>
    </w:p>
    <w:p w14:paraId="099D524E">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4"/>
          <w:szCs w:val="24"/>
          <w:highlight w:val="none"/>
          <w:lang w:val="en-US" w:eastAsia="zh-CN"/>
        </w:rPr>
      </w:pPr>
      <w:r>
        <w:rPr>
          <w:rFonts w:hint="eastAsia" w:ascii="宋体" w:hAnsi="宋体" w:cs="Times New Roman"/>
          <w:b w:val="0"/>
          <w:bCs w:val="0"/>
          <w:sz w:val="24"/>
          <w:szCs w:val="24"/>
          <w:highlight w:val="none"/>
          <w:lang w:val="en-US" w:eastAsia="zh-CN"/>
        </w:rPr>
        <w:t>项目名称：               招标编号：</w:t>
      </w:r>
    </w:p>
    <w:tbl>
      <w:tblPr>
        <w:tblStyle w:val="29"/>
        <w:tblW w:w="0" w:type="auto"/>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1"/>
        <w:gridCol w:w="2184"/>
        <w:gridCol w:w="2184"/>
        <w:gridCol w:w="1854"/>
        <w:gridCol w:w="1910"/>
      </w:tblGrid>
      <w:tr w14:paraId="44D6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439F6CA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序号</w:t>
            </w:r>
          </w:p>
        </w:tc>
        <w:tc>
          <w:tcPr>
            <w:tcW w:w="2184" w:type="dxa"/>
          </w:tcPr>
          <w:p w14:paraId="39A142A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r>
              <w:rPr>
                <w:rFonts w:hint="eastAsia" w:ascii="宋体" w:hAnsi="宋体" w:eastAsia="宋体" w:cs="宋体"/>
                <w:color w:val="auto"/>
                <w:sz w:val="24"/>
                <w:highlight w:val="none"/>
                <w:lang w:val="en-US" w:eastAsia="zh-CN"/>
              </w:rPr>
              <w:t>竞争性磋商文件条款号</w:t>
            </w:r>
          </w:p>
        </w:tc>
        <w:tc>
          <w:tcPr>
            <w:tcW w:w="2184" w:type="dxa"/>
          </w:tcPr>
          <w:p w14:paraId="17D6FB9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磋商文件商务条款</w:t>
            </w:r>
          </w:p>
        </w:tc>
        <w:tc>
          <w:tcPr>
            <w:tcW w:w="1854" w:type="dxa"/>
          </w:tcPr>
          <w:p w14:paraId="34F8C30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响应文件商务条款</w:t>
            </w:r>
          </w:p>
        </w:tc>
        <w:tc>
          <w:tcPr>
            <w:tcW w:w="1910" w:type="dxa"/>
          </w:tcPr>
          <w:p w14:paraId="529C3BE6">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说明</w:t>
            </w:r>
          </w:p>
        </w:tc>
      </w:tr>
      <w:tr w14:paraId="0052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768E213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15C115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A4F1D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FDCC5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1CF49E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3C4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6786B8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3A63280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64EDC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62C098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2C9D293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FD9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014CDD9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0288E1F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3B94DD8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08DC5E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729713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4641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2CF018C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13DB425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4F9DB42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6042DC2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2EF4031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ACF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4870797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668282F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C7C213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30757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2E9F12F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713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2C28AC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A9F6F8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74249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5BB7E8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3E7EF12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604C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333385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265EDE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0CC6B27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CB7844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7983FEA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1C0E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53B7D41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3EF4C2C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CDBC71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6E1D8E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73EEEF2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326F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51BC67D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6CECC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419DC78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485C19A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48E290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377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59D94AF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02F2F5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224248E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EAD01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6BB6B69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bl>
    <w:p w14:paraId="35090D0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A89B1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注：请在“偏离说明”栏内扼要说明偏离情况，如无偏离则不需列明。</w:t>
      </w:r>
    </w:p>
    <w:p w14:paraId="6AF325F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FFFC8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6EE931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投标人（盖章）：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140862E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A5108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法定代表人或委托代理人（签章）：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5534EBF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p>
    <w:p w14:paraId="1BC2C72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日期：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年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月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日</w:t>
      </w:r>
    </w:p>
    <w:p w14:paraId="589EBF4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DDD585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58EC690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976D44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4086AD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7B6785C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38AF6C0">
      <w:pPr>
        <w:pStyle w:val="37"/>
        <w:rPr>
          <w:rFonts w:hint="default" w:ascii="宋体" w:hAnsi="宋体" w:eastAsia="宋体" w:cs="Times New Roman"/>
          <w:b w:val="0"/>
          <w:bCs w:val="0"/>
          <w:sz w:val="24"/>
          <w:szCs w:val="24"/>
          <w:highlight w:val="none"/>
          <w:lang w:val="en-US" w:eastAsia="zh-CN"/>
        </w:rPr>
      </w:pPr>
    </w:p>
    <w:p w14:paraId="4E8D550F">
      <w:pPr>
        <w:pStyle w:val="37"/>
        <w:rPr>
          <w:rFonts w:hint="eastAsia"/>
          <w:lang w:val="en-US" w:eastAsia="zh-CN"/>
        </w:rPr>
      </w:pPr>
    </w:p>
    <w:p w14:paraId="75880351">
      <w:pPr>
        <w:keepNext w:val="0"/>
        <w:keepLines w:val="0"/>
        <w:pageBreakBefore w:val="0"/>
        <w:widowControl w:val="0"/>
        <w:kinsoku/>
        <w:wordWrap/>
        <w:overflowPunct/>
        <w:topLinePunct w:val="0"/>
        <w:autoSpaceDE/>
        <w:autoSpaceDN/>
        <w:bidi w:val="0"/>
        <w:adjustRightInd/>
        <w:snapToGrid/>
        <w:spacing w:line="400" w:lineRule="atLeast"/>
        <w:ind w:firstLine="3080" w:firstLineChars="1100"/>
        <w:jc w:val="both"/>
        <w:textAlignment w:val="auto"/>
        <w:rPr>
          <w:rFonts w:hint="eastAsia" w:ascii="宋体" w:hAnsi="宋体" w:cs="Times New Roman"/>
          <w:b w:val="0"/>
          <w:bCs w:val="0"/>
          <w:sz w:val="28"/>
          <w:szCs w:val="28"/>
          <w:highlight w:val="none"/>
          <w:lang w:val="en-US" w:eastAsia="zh-CN"/>
        </w:rPr>
      </w:pPr>
    </w:p>
    <w:p w14:paraId="7C1120DB">
      <w:pPr>
        <w:keepNext w:val="0"/>
        <w:keepLines w:val="0"/>
        <w:pageBreakBefore w:val="0"/>
        <w:widowControl w:val="0"/>
        <w:kinsoku/>
        <w:wordWrap/>
        <w:overflowPunct/>
        <w:topLinePunct w:val="0"/>
        <w:autoSpaceDE/>
        <w:autoSpaceDN/>
        <w:bidi w:val="0"/>
        <w:adjustRightInd/>
        <w:snapToGrid/>
        <w:spacing w:line="400" w:lineRule="atLeast"/>
        <w:ind w:firstLine="3080" w:firstLineChars="1100"/>
        <w:jc w:val="both"/>
        <w:textAlignment w:val="auto"/>
        <w:rPr>
          <w:rFonts w:hint="eastAsia" w:ascii="宋体" w:hAnsi="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7</w:t>
      </w:r>
      <w:r>
        <w:rPr>
          <w:rFonts w:hint="default" w:ascii="宋体" w:hAnsi="宋体" w:eastAsia="宋体" w:cs="Times New Roman"/>
          <w:b w:val="0"/>
          <w:bCs w:val="0"/>
          <w:sz w:val="28"/>
          <w:szCs w:val="28"/>
          <w:highlight w:val="none"/>
          <w:lang w:val="en-US" w:eastAsia="zh-CN"/>
        </w:rPr>
        <w:t>、</w:t>
      </w:r>
      <w:r>
        <w:rPr>
          <w:rFonts w:hint="eastAsia" w:ascii="宋体" w:hAnsi="宋体" w:cs="Times New Roman"/>
          <w:b w:val="0"/>
          <w:bCs w:val="0"/>
          <w:sz w:val="28"/>
          <w:szCs w:val="28"/>
          <w:highlight w:val="none"/>
          <w:lang w:val="en-US" w:eastAsia="zh-CN"/>
        </w:rPr>
        <w:t>本项目拟投入人员</w:t>
      </w:r>
    </w:p>
    <w:p w14:paraId="7F2642FC">
      <w:pPr>
        <w:keepNext w:val="0"/>
        <w:keepLines w:val="0"/>
        <w:pageBreakBefore w:val="0"/>
        <w:widowControl w:val="0"/>
        <w:kinsoku/>
        <w:wordWrap/>
        <w:overflowPunct/>
        <w:topLinePunct w:val="0"/>
        <w:autoSpaceDE/>
        <w:autoSpaceDN/>
        <w:bidi w:val="0"/>
        <w:adjustRightInd/>
        <w:snapToGrid/>
        <w:spacing w:line="400" w:lineRule="atLeast"/>
        <w:ind w:firstLine="2640" w:firstLineChars="1100"/>
        <w:jc w:val="both"/>
        <w:textAlignment w:val="auto"/>
        <w:rPr>
          <w:rFonts w:hint="eastAsia" w:ascii="宋体" w:hAnsi="宋体" w:cs="Times New Roman"/>
          <w:b w:val="0"/>
          <w:bCs w:val="0"/>
          <w:sz w:val="24"/>
          <w:szCs w:val="24"/>
          <w:highlight w:val="none"/>
          <w:lang w:val="en-US" w:eastAsia="zh-CN"/>
        </w:rPr>
      </w:pPr>
      <w:r>
        <w:rPr>
          <w:rFonts w:hint="eastAsia" w:ascii="宋体" w:hAnsi="宋体" w:cs="Times New Roman"/>
          <w:b w:val="0"/>
          <w:bCs w:val="0"/>
          <w:sz w:val="24"/>
          <w:szCs w:val="24"/>
          <w:highlight w:val="none"/>
          <w:lang w:val="en-US" w:eastAsia="zh-CN"/>
        </w:rPr>
        <w:t>1项目管理人员配备情况一览表</w:t>
      </w:r>
    </w:p>
    <w:tbl>
      <w:tblPr>
        <w:tblStyle w:val="42"/>
        <w:tblW w:w="8975"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1087"/>
        <w:gridCol w:w="849"/>
        <w:gridCol w:w="1005"/>
        <w:gridCol w:w="1245"/>
        <w:gridCol w:w="1350"/>
        <w:gridCol w:w="1800"/>
        <w:gridCol w:w="870"/>
      </w:tblGrid>
      <w:tr w14:paraId="2EBB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769" w:type="dxa"/>
            <w:noWrap w:val="0"/>
            <w:vAlign w:val="top"/>
          </w:tcPr>
          <w:p w14:paraId="24D1AE9E">
            <w:pPr>
              <w:spacing w:line="351" w:lineRule="auto"/>
              <w:jc w:val="center"/>
              <w:rPr>
                <w:rFonts w:hint="eastAsia" w:ascii="宋体" w:hAnsi="宋体" w:eastAsia="宋体" w:cs="宋体"/>
                <w:color w:val="auto"/>
                <w:sz w:val="24"/>
                <w:szCs w:val="24"/>
                <w:highlight w:val="none"/>
              </w:rPr>
            </w:pPr>
          </w:p>
          <w:p w14:paraId="0B881749">
            <w:pPr>
              <w:pStyle w:val="41"/>
              <w:spacing w:before="78" w:line="221" w:lineRule="auto"/>
              <w:ind w:left="154"/>
              <w:jc w:val="center"/>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087" w:type="dxa"/>
            <w:noWrap w:val="0"/>
            <w:vAlign w:val="top"/>
          </w:tcPr>
          <w:p w14:paraId="5CB9EF2E">
            <w:pPr>
              <w:spacing w:line="352" w:lineRule="auto"/>
              <w:jc w:val="center"/>
              <w:rPr>
                <w:rFonts w:hint="eastAsia" w:ascii="宋体" w:hAnsi="宋体" w:eastAsia="宋体" w:cs="宋体"/>
                <w:color w:val="auto"/>
                <w:sz w:val="24"/>
                <w:szCs w:val="24"/>
                <w:highlight w:val="none"/>
              </w:rPr>
            </w:pPr>
          </w:p>
          <w:p w14:paraId="0B7332BE">
            <w:pPr>
              <w:pStyle w:val="41"/>
              <w:spacing w:before="78" w:line="219" w:lineRule="auto"/>
              <w:ind w:left="303"/>
              <w:jc w:val="both"/>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姓名</w:t>
            </w:r>
          </w:p>
        </w:tc>
        <w:tc>
          <w:tcPr>
            <w:tcW w:w="849" w:type="dxa"/>
            <w:tcBorders>
              <w:right w:val="single" w:color="000000" w:sz="2" w:space="0"/>
            </w:tcBorders>
            <w:noWrap w:val="0"/>
            <w:vAlign w:val="top"/>
          </w:tcPr>
          <w:p w14:paraId="76977188">
            <w:pPr>
              <w:spacing w:line="351" w:lineRule="auto"/>
              <w:jc w:val="center"/>
              <w:rPr>
                <w:rFonts w:hint="eastAsia" w:ascii="宋体" w:hAnsi="宋体" w:eastAsia="宋体" w:cs="宋体"/>
                <w:color w:val="auto"/>
                <w:sz w:val="24"/>
                <w:szCs w:val="24"/>
                <w:highlight w:val="none"/>
              </w:rPr>
            </w:pPr>
          </w:p>
          <w:p w14:paraId="3A27444C">
            <w:pPr>
              <w:pStyle w:val="41"/>
              <w:spacing w:before="78" w:line="220" w:lineRule="auto"/>
              <w:ind w:left="188"/>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性别</w:t>
            </w:r>
          </w:p>
        </w:tc>
        <w:tc>
          <w:tcPr>
            <w:tcW w:w="1005" w:type="dxa"/>
            <w:tcBorders>
              <w:left w:val="single" w:color="000000" w:sz="2" w:space="0"/>
            </w:tcBorders>
            <w:noWrap w:val="0"/>
            <w:vAlign w:val="top"/>
          </w:tcPr>
          <w:p w14:paraId="47265182">
            <w:pPr>
              <w:spacing w:line="352" w:lineRule="auto"/>
              <w:jc w:val="center"/>
              <w:rPr>
                <w:rFonts w:hint="eastAsia" w:ascii="宋体" w:hAnsi="宋体" w:eastAsia="宋体" w:cs="宋体"/>
                <w:color w:val="auto"/>
                <w:sz w:val="24"/>
                <w:szCs w:val="24"/>
                <w:highlight w:val="none"/>
              </w:rPr>
            </w:pPr>
          </w:p>
          <w:p w14:paraId="689430F8">
            <w:pPr>
              <w:pStyle w:val="41"/>
              <w:spacing w:before="78" w:line="219" w:lineRule="auto"/>
              <w:ind w:left="17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年龄</w:t>
            </w:r>
          </w:p>
        </w:tc>
        <w:tc>
          <w:tcPr>
            <w:tcW w:w="1245" w:type="dxa"/>
            <w:noWrap w:val="0"/>
            <w:vAlign w:val="top"/>
          </w:tcPr>
          <w:p w14:paraId="1CE905E6">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 xml:space="preserve"> </w:t>
            </w:r>
          </w:p>
          <w:p w14:paraId="5BC66E0E">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岗位名称</w:t>
            </w:r>
          </w:p>
        </w:tc>
        <w:tc>
          <w:tcPr>
            <w:tcW w:w="1350" w:type="dxa"/>
            <w:noWrap w:val="0"/>
            <w:vAlign w:val="top"/>
          </w:tcPr>
          <w:p w14:paraId="1F2B01B7">
            <w:pPr>
              <w:pStyle w:val="41"/>
              <w:spacing w:before="78" w:line="220" w:lineRule="auto"/>
              <w:ind w:left="172"/>
              <w:jc w:val="center"/>
              <w:rPr>
                <w:rFonts w:hint="eastAsia" w:ascii="宋体" w:hAnsi="宋体" w:eastAsia="宋体" w:cs="宋体"/>
                <w:color w:val="auto"/>
                <w:sz w:val="24"/>
                <w:szCs w:val="24"/>
                <w:highlight w:val="none"/>
                <w:lang w:val="en-US" w:eastAsia="zh-CN"/>
              </w:rPr>
            </w:pPr>
          </w:p>
          <w:p w14:paraId="32EC4F13">
            <w:pPr>
              <w:pStyle w:val="41"/>
              <w:spacing w:before="78" w:line="220" w:lineRule="auto"/>
              <w:ind w:left="172"/>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人数数量</w:t>
            </w:r>
          </w:p>
        </w:tc>
        <w:tc>
          <w:tcPr>
            <w:tcW w:w="1800" w:type="dxa"/>
            <w:tcBorders>
              <w:left w:val="single" w:color="000000" w:sz="2" w:space="0"/>
              <w:right w:val="single" w:color="000000" w:sz="2" w:space="0"/>
            </w:tcBorders>
            <w:noWrap w:val="0"/>
            <w:vAlign w:val="top"/>
          </w:tcPr>
          <w:p w14:paraId="591E3F8B">
            <w:pPr>
              <w:pStyle w:val="41"/>
              <w:spacing w:before="78" w:line="220" w:lineRule="auto"/>
              <w:ind w:left="150"/>
              <w:jc w:val="center"/>
              <w:rPr>
                <w:rFonts w:hint="eastAsia" w:ascii="宋体" w:hAnsi="宋体" w:eastAsia="宋体" w:cs="宋体"/>
                <w:color w:val="auto"/>
                <w:sz w:val="24"/>
                <w:szCs w:val="24"/>
                <w:highlight w:val="none"/>
                <w:lang w:val="en-US" w:eastAsia="zh-CN"/>
              </w:rPr>
            </w:pPr>
          </w:p>
          <w:p w14:paraId="0F43E902">
            <w:pPr>
              <w:pStyle w:val="41"/>
              <w:spacing w:before="78" w:line="220" w:lineRule="auto"/>
              <w:ind w:left="15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岗位职责说明</w:t>
            </w:r>
          </w:p>
        </w:tc>
        <w:tc>
          <w:tcPr>
            <w:tcW w:w="870" w:type="dxa"/>
            <w:tcBorders>
              <w:left w:val="single" w:color="000000" w:sz="2" w:space="0"/>
            </w:tcBorders>
            <w:noWrap w:val="0"/>
            <w:vAlign w:val="top"/>
          </w:tcPr>
          <w:p w14:paraId="0B1152E5">
            <w:pPr>
              <w:spacing w:line="351" w:lineRule="auto"/>
              <w:jc w:val="center"/>
              <w:rPr>
                <w:rFonts w:hint="eastAsia" w:ascii="宋体" w:hAnsi="宋体" w:eastAsia="宋体" w:cs="宋体"/>
                <w:color w:val="auto"/>
                <w:sz w:val="24"/>
                <w:szCs w:val="24"/>
                <w:highlight w:val="none"/>
              </w:rPr>
            </w:pPr>
          </w:p>
          <w:p w14:paraId="7B62A0F0">
            <w:pPr>
              <w:pStyle w:val="41"/>
              <w:spacing w:before="78" w:line="221" w:lineRule="auto"/>
              <w:ind w:firstLine="226" w:firstLineChars="1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val="en-US" w:eastAsia="zh-CN"/>
              </w:rPr>
              <w:t>备注</w:t>
            </w:r>
          </w:p>
        </w:tc>
      </w:tr>
      <w:tr w14:paraId="6C270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69" w:type="dxa"/>
            <w:noWrap w:val="0"/>
            <w:vAlign w:val="top"/>
          </w:tcPr>
          <w:p w14:paraId="6B75EB9F">
            <w:pPr>
              <w:rPr>
                <w:rFonts w:hint="eastAsia" w:ascii="宋体" w:hAnsi="宋体" w:eastAsia="宋体" w:cs="宋体"/>
                <w:color w:val="auto"/>
                <w:sz w:val="24"/>
                <w:szCs w:val="24"/>
                <w:highlight w:val="none"/>
              </w:rPr>
            </w:pPr>
          </w:p>
        </w:tc>
        <w:tc>
          <w:tcPr>
            <w:tcW w:w="1087" w:type="dxa"/>
            <w:noWrap w:val="0"/>
            <w:vAlign w:val="top"/>
          </w:tcPr>
          <w:p w14:paraId="6A3ABC0E">
            <w:pPr>
              <w:rPr>
                <w:rFonts w:hint="eastAsia" w:ascii="宋体" w:hAnsi="宋体" w:eastAsia="宋体" w:cs="宋体"/>
                <w:color w:val="auto"/>
                <w:sz w:val="24"/>
                <w:szCs w:val="24"/>
                <w:highlight w:val="none"/>
              </w:rPr>
            </w:pPr>
          </w:p>
        </w:tc>
        <w:tc>
          <w:tcPr>
            <w:tcW w:w="849" w:type="dxa"/>
            <w:tcBorders>
              <w:right w:val="single" w:color="000000" w:sz="2" w:space="0"/>
            </w:tcBorders>
            <w:noWrap w:val="0"/>
            <w:vAlign w:val="top"/>
          </w:tcPr>
          <w:p w14:paraId="11C2F0C5">
            <w:pPr>
              <w:rPr>
                <w:rFonts w:hint="eastAsia" w:ascii="宋体" w:hAnsi="宋体" w:eastAsia="宋体" w:cs="宋体"/>
                <w:color w:val="auto"/>
                <w:sz w:val="24"/>
                <w:szCs w:val="24"/>
                <w:highlight w:val="none"/>
              </w:rPr>
            </w:pPr>
          </w:p>
        </w:tc>
        <w:tc>
          <w:tcPr>
            <w:tcW w:w="1005" w:type="dxa"/>
            <w:tcBorders>
              <w:left w:val="single" w:color="000000" w:sz="2" w:space="0"/>
            </w:tcBorders>
            <w:noWrap w:val="0"/>
            <w:vAlign w:val="top"/>
          </w:tcPr>
          <w:p w14:paraId="7CD3FFAB">
            <w:pPr>
              <w:rPr>
                <w:rFonts w:hint="eastAsia" w:ascii="宋体" w:hAnsi="宋体" w:eastAsia="宋体" w:cs="宋体"/>
                <w:color w:val="auto"/>
                <w:sz w:val="24"/>
                <w:szCs w:val="24"/>
                <w:highlight w:val="none"/>
              </w:rPr>
            </w:pPr>
          </w:p>
        </w:tc>
        <w:tc>
          <w:tcPr>
            <w:tcW w:w="1245" w:type="dxa"/>
            <w:noWrap w:val="0"/>
            <w:vAlign w:val="top"/>
          </w:tcPr>
          <w:p w14:paraId="3B19593E">
            <w:pPr>
              <w:rPr>
                <w:rFonts w:hint="eastAsia" w:ascii="宋体" w:hAnsi="宋体" w:eastAsia="宋体" w:cs="宋体"/>
                <w:color w:val="auto"/>
                <w:sz w:val="24"/>
                <w:szCs w:val="24"/>
                <w:highlight w:val="none"/>
              </w:rPr>
            </w:pPr>
          </w:p>
        </w:tc>
        <w:tc>
          <w:tcPr>
            <w:tcW w:w="1350" w:type="dxa"/>
            <w:noWrap w:val="0"/>
            <w:vAlign w:val="top"/>
          </w:tcPr>
          <w:p w14:paraId="08FB9D6A">
            <w:pPr>
              <w:rPr>
                <w:rFonts w:hint="eastAsia" w:ascii="宋体" w:hAnsi="宋体" w:eastAsia="宋体" w:cs="宋体"/>
                <w:color w:val="auto"/>
                <w:sz w:val="24"/>
                <w:szCs w:val="24"/>
                <w:highlight w:val="none"/>
              </w:rPr>
            </w:pPr>
          </w:p>
        </w:tc>
        <w:tc>
          <w:tcPr>
            <w:tcW w:w="1800" w:type="dxa"/>
            <w:tcBorders>
              <w:left w:val="single" w:color="000000" w:sz="2" w:space="0"/>
              <w:right w:val="single" w:color="000000" w:sz="2" w:space="0"/>
            </w:tcBorders>
            <w:noWrap w:val="0"/>
            <w:vAlign w:val="top"/>
          </w:tcPr>
          <w:p w14:paraId="1D698CF9">
            <w:pPr>
              <w:rPr>
                <w:rFonts w:hint="eastAsia" w:ascii="宋体" w:hAnsi="宋体" w:eastAsia="宋体" w:cs="宋体"/>
                <w:color w:val="auto"/>
                <w:sz w:val="24"/>
                <w:szCs w:val="24"/>
                <w:highlight w:val="none"/>
              </w:rPr>
            </w:pPr>
          </w:p>
        </w:tc>
        <w:tc>
          <w:tcPr>
            <w:tcW w:w="870" w:type="dxa"/>
            <w:tcBorders>
              <w:left w:val="single" w:color="000000" w:sz="2" w:space="0"/>
            </w:tcBorders>
            <w:noWrap w:val="0"/>
            <w:vAlign w:val="top"/>
          </w:tcPr>
          <w:p w14:paraId="11F94598">
            <w:pPr>
              <w:jc w:val="center"/>
              <w:rPr>
                <w:rFonts w:hint="eastAsia" w:ascii="宋体" w:hAnsi="宋体" w:eastAsia="宋体" w:cs="宋体"/>
                <w:color w:val="auto"/>
                <w:sz w:val="24"/>
                <w:szCs w:val="24"/>
                <w:highlight w:val="none"/>
                <w:lang w:val="en-US" w:eastAsia="zh-CN"/>
              </w:rPr>
            </w:pPr>
          </w:p>
        </w:tc>
      </w:tr>
      <w:tr w14:paraId="4FC64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769" w:type="dxa"/>
            <w:noWrap w:val="0"/>
            <w:vAlign w:val="top"/>
          </w:tcPr>
          <w:p w14:paraId="78A9B6DB">
            <w:pPr>
              <w:rPr>
                <w:rFonts w:ascii="Arial"/>
                <w:color w:val="auto"/>
                <w:sz w:val="24"/>
                <w:szCs w:val="24"/>
                <w:highlight w:val="none"/>
              </w:rPr>
            </w:pPr>
          </w:p>
        </w:tc>
        <w:tc>
          <w:tcPr>
            <w:tcW w:w="1087" w:type="dxa"/>
            <w:noWrap w:val="0"/>
            <w:vAlign w:val="top"/>
          </w:tcPr>
          <w:p w14:paraId="313D7C56">
            <w:pPr>
              <w:rPr>
                <w:rFonts w:ascii="Arial"/>
                <w:color w:val="auto"/>
                <w:sz w:val="24"/>
                <w:szCs w:val="24"/>
                <w:highlight w:val="none"/>
              </w:rPr>
            </w:pPr>
          </w:p>
        </w:tc>
        <w:tc>
          <w:tcPr>
            <w:tcW w:w="849" w:type="dxa"/>
            <w:tcBorders>
              <w:right w:val="single" w:color="000000" w:sz="2" w:space="0"/>
            </w:tcBorders>
            <w:noWrap w:val="0"/>
            <w:vAlign w:val="top"/>
          </w:tcPr>
          <w:p w14:paraId="2A06F143">
            <w:pPr>
              <w:rPr>
                <w:rFonts w:ascii="Arial"/>
                <w:color w:val="auto"/>
                <w:sz w:val="24"/>
                <w:szCs w:val="24"/>
                <w:highlight w:val="none"/>
              </w:rPr>
            </w:pPr>
          </w:p>
        </w:tc>
        <w:tc>
          <w:tcPr>
            <w:tcW w:w="1005" w:type="dxa"/>
            <w:tcBorders>
              <w:left w:val="single" w:color="000000" w:sz="2" w:space="0"/>
            </w:tcBorders>
            <w:noWrap w:val="0"/>
            <w:vAlign w:val="top"/>
          </w:tcPr>
          <w:p w14:paraId="3BD7D699">
            <w:pPr>
              <w:rPr>
                <w:rFonts w:ascii="Arial"/>
                <w:color w:val="auto"/>
                <w:sz w:val="24"/>
                <w:szCs w:val="24"/>
                <w:highlight w:val="none"/>
              </w:rPr>
            </w:pPr>
          </w:p>
        </w:tc>
        <w:tc>
          <w:tcPr>
            <w:tcW w:w="1245" w:type="dxa"/>
            <w:noWrap w:val="0"/>
            <w:vAlign w:val="top"/>
          </w:tcPr>
          <w:p w14:paraId="271377C5">
            <w:pPr>
              <w:rPr>
                <w:rFonts w:ascii="Arial"/>
                <w:color w:val="auto"/>
                <w:sz w:val="24"/>
                <w:szCs w:val="24"/>
                <w:highlight w:val="none"/>
              </w:rPr>
            </w:pPr>
          </w:p>
        </w:tc>
        <w:tc>
          <w:tcPr>
            <w:tcW w:w="1350" w:type="dxa"/>
            <w:noWrap w:val="0"/>
            <w:vAlign w:val="top"/>
          </w:tcPr>
          <w:p w14:paraId="52DE049B">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200FCA4E">
            <w:pPr>
              <w:rPr>
                <w:rFonts w:ascii="Arial"/>
                <w:color w:val="auto"/>
                <w:sz w:val="24"/>
                <w:szCs w:val="24"/>
                <w:highlight w:val="none"/>
              </w:rPr>
            </w:pPr>
          </w:p>
        </w:tc>
        <w:tc>
          <w:tcPr>
            <w:tcW w:w="870" w:type="dxa"/>
            <w:tcBorders>
              <w:left w:val="single" w:color="000000" w:sz="2" w:space="0"/>
            </w:tcBorders>
            <w:noWrap w:val="0"/>
            <w:vAlign w:val="top"/>
          </w:tcPr>
          <w:p w14:paraId="65DFC4A2">
            <w:pPr>
              <w:rPr>
                <w:rFonts w:ascii="Arial"/>
                <w:color w:val="auto"/>
                <w:sz w:val="24"/>
                <w:szCs w:val="24"/>
                <w:highlight w:val="none"/>
              </w:rPr>
            </w:pPr>
          </w:p>
        </w:tc>
      </w:tr>
      <w:tr w14:paraId="5A6E4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noWrap w:val="0"/>
            <w:vAlign w:val="top"/>
          </w:tcPr>
          <w:p w14:paraId="0DDEA7C0">
            <w:pPr>
              <w:rPr>
                <w:rFonts w:ascii="Arial"/>
                <w:color w:val="auto"/>
                <w:sz w:val="24"/>
                <w:szCs w:val="24"/>
                <w:highlight w:val="none"/>
              </w:rPr>
            </w:pPr>
          </w:p>
        </w:tc>
        <w:tc>
          <w:tcPr>
            <w:tcW w:w="1087" w:type="dxa"/>
            <w:noWrap w:val="0"/>
            <w:vAlign w:val="top"/>
          </w:tcPr>
          <w:p w14:paraId="040E59DA">
            <w:pPr>
              <w:rPr>
                <w:rFonts w:ascii="Arial"/>
                <w:color w:val="auto"/>
                <w:sz w:val="24"/>
                <w:szCs w:val="24"/>
                <w:highlight w:val="none"/>
              </w:rPr>
            </w:pPr>
          </w:p>
        </w:tc>
        <w:tc>
          <w:tcPr>
            <w:tcW w:w="849" w:type="dxa"/>
            <w:tcBorders>
              <w:right w:val="single" w:color="000000" w:sz="2" w:space="0"/>
            </w:tcBorders>
            <w:noWrap w:val="0"/>
            <w:vAlign w:val="top"/>
          </w:tcPr>
          <w:p w14:paraId="5C5F8911">
            <w:pPr>
              <w:rPr>
                <w:rFonts w:ascii="Arial"/>
                <w:color w:val="auto"/>
                <w:sz w:val="24"/>
                <w:szCs w:val="24"/>
                <w:highlight w:val="none"/>
              </w:rPr>
            </w:pPr>
          </w:p>
        </w:tc>
        <w:tc>
          <w:tcPr>
            <w:tcW w:w="1005" w:type="dxa"/>
            <w:tcBorders>
              <w:left w:val="single" w:color="000000" w:sz="2" w:space="0"/>
            </w:tcBorders>
            <w:noWrap w:val="0"/>
            <w:vAlign w:val="top"/>
          </w:tcPr>
          <w:p w14:paraId="21109942">
            <w:pPr>
              <w:rPr>
                <w:rFonts w:ascii="Arial"/>
                <w:color w:val="auto"/>
                <w:sz w:val="24"/>
                <w:szCs w:val="24"/>
                <w:highlight w:val="none"/>
              </w:rPr>
            </w:pPr>
          </w:p>
        </w:tc>
        <w:tc>
          <w:tcPr>
            <w:tcW w:w="1245" w:type="dxa"/>
            <w:noWrap w:val="0"/>
            <w:vAlign w:val="top"/>
          </w:tcPr>
          <w:p w14:paraId="673D9976">
            <w:pPr>
              <w:rPr>
                <w:rFonts w:ascii="Arial"/>
                <w:color w:val="auto"/>
                <w:sz w:val="24"/>
                <w:szCs w:val="24"/>
                <w:highlight w:val="none"/>
              </w:rPr>
            </w:pPr>
          </w:p>
        </w:tc>
        <w:tc>
          <w:tcPr>
            <w:tcW w:w="1350" w:type="dxa"/>
            <w:noWrap w:val="0"/>
            <w:vAlign w:val="top"/>
          </w:tcPr>
          <w:p w14:paraId="045F09AD">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05B6F012">
            <w:pPr>
              <w:rPr>
                <w:rFonts w:ascii="Arial"/>
                <w:color w:val="auto"/>
                <w:sz w:val="24"/>
                <w:szCs w:val="24"/>
                <w:highlight w:val="none"/>
              </w:rPr>
            </w:pPr>
          </w:p>
        </w:tc>
        <w:tc>
          <w:tcPr>
            <w:tcW w:w="870" w:type="dxa"/>
            <w:tcBorders>
              <w:left w:val="single" w:color="000000" w:sz="2" w:space="0"/>
            </w:tcBorders>
            <w:noWrap w:val="0"/>
            <w:vAlign w:val="top"/>
          </w:tcPr>
          <w:p w14:paraId="056B800A">
            <w:pPr>
              <w:rPr>
                <w:rFonts w:ascii="Arial"/>
                <w:color w:val="auto"/>
                <w:sz w:val="24"/>
                <w:szCs w:val="24"/>
                <w:highlight w:val="none"/>
              </w:rPr>
            </w:pPr>
          </w:p>
        </w:tc>
      </w:tr>
      <w:tr w14:paraId="3B45D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20729CDC">
            <w:pPr>
              <w:rPr>
                <w:rFonts w:ascii="Arial"/>
                <w:color w:val="auto"/>
                <w:sz w:val="24"/>
                <w:szCs w:val="24"/>
                <w:highlight w:val="none"/>
              </w:rPr>
            </w:pPr>
          </w:p>
        </w:tc>
        <w:tc>
          <w:tcPr>
            <w:tcW w:w="1087" w:type="dxa"/>
            <w:noWrap w:val="0"/>
            <w:vAlign w:val="top"/>
          </w:tcPr>
          <w:p w14:paraId="30A4B7AA">
            <w:pPr>
              <w:rPr>
                <w:rFonts w:ascii="Arial"/>
                <w:color w:val="auto"/>
                <w:sz w:val="24"/>
                <w:szCs w:val="24"/>
                <w:highlight w:val="none"/>
              </w:rPr>
            </w:pPr>
          </w:p>
        </w:tc>
        <w:tc>
          <w:tcPr>
            <w:tcW w:w="849" w:type="dxa"/>
            <w:tcBorders>
              <w:right w:val="single" w:color="000000" w:sz="2" w:space="0"/>
            </w:tcBorders>
            <w:noWrap w:val="0"/>
            <w:vAlign w:val="top"/>
          </w:tcPr>
          <w:p w14:paraId="493F4BE1">
            <w:pPr>
              <w:rPr>
                <w:rFonts w:ascii="Arial"/>
                <w:color w:val="auto"/>
                <w:sz w:val="24"/>
                <w:szCs w:val="24"/>
                <w:highlight w:val="none"/>
              </w:rPr>
            </w:pPr>
          </w:p>
        </w:tc>
        <w:tc>
          <w:tcPr>
            <w:tcW w:w="1005" w:type="dxa"/>
            <w:tcBorders>
              <w:left w:val="single" w:color="000000" w:sz="2" w:space="0"/>
            </w:tcBorders>
            <w:noWrap w:val="0"/>
            <w:vAlign w:val="top"/>
          </w:tcPr>
          <w:p w14:paraId="1F4F14DA">
            <w:pPr>
              <w:rPr>
                <w:rFonts w:ascii="Arial"/>
                <w:color w:val="auto"/>
                <w:sz w:val="24"/>
                <w:szCs w:val="24"/>
                <w:highlight w:val="none"/>
              </w:rPr>
            </w:pPr>
          </w:p>
        </w:tc>
        <w:tc>
          <w:tcPr>
            <w:tcW w:w="1245" w:type="dxa"/>
            <w:noWrap w:val="0"/>
            <w:vAlign w:val="top"/>
          </w:tcPr>
          <w:p w14:paraId="58F60FA4">
            <w:pPr>
              <w:rPr>
                <w:rFonts w:ascii="Arial"/>
                <w:color w:val="auto"/>
                <w:sz w:val="24"/>
                <w:szCs w:val="24"/>
                <w:highlight w:val="none"/>
              </w:rPr>
            </w:pPr>
          </w:p>
        </w:tc>
        <w:tc>
          <w:tcPr>
            <w:tcW w:w="1350" w:type="dxa"/>
            <w:noWrap w:val="0"/>
            <w:vAlign w:val="top"/>
          </w:tcPr>
          <w:p w14:paraId="6EDB9DB1">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10FAF2C7">
            <w:pPr>
              <w:rPr>
                <w:rFonts w:ascii="Arial"/>
                <w:color w:val="auto"/>
                <w:sz w:val="24"/>
                <w:szCs w:val="24"/>
                <w:highlight w:val="none"/>
              </w:rPr>
            </w:pPr>
          </w:p>
        </w:tc>
        <w:tc>
          <w:tcPr>
            <w:tcW w:w="870" w:type="dxa"/>
            <w:tcBorders>
              <w:left w:val="single" w:color="000000" w:sz="2" w:space="0"/>
            </w:tcBorders>
            <w:noWrap w:val="0"/>
            <w:vAlign w:val="top"/>
          </w:tcPr>
          <w:p w14:paraId="6B943087">
            <w:pPr>
              <w:rPr>
                <w:rFonts w:ascii="Arial"/>
                <w:color w:val="auto"/>
                <w:sz w:val="24"/>
                <w:szCs w:val="24"/>
                <w:highlight w:val="none"/>
              </w:rPr>
            </w:pPr>
          </w:p>
        </w:tc>
      </w:tr>
      <w:tr w14:paraId="632A7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1ED68B5B">
            <w:pPr>
              <w:rPr>
                <w:rFonts w:ascii="Arial"/>
                <w:color w:val="auto"/>
                <w:sz w:val="24"/>
                <w:szCs w:val="24"/>
                <w:highlight w:val="none"/>
              </w:rPr>
            </w:pPr>
          </w:p>
        </w:tc>
        <w:tc>
          <w:tcPr>
            <w:tcW w:w="1087" w:type="dxa"/>
            <w:noWrap w:val="0"/>
            <w:vAlign w:val="top"/>
          </w:tcPr>
          <w:p w14:paraId="12336AF9">
            <w:pPr>
              <w:rPr>
                <w:rFonts w:ascii="Arial"/>
                <w:color w:val="auto"/>
                <w:sz w:val="24"/>
                <w:szCs w:val="24"/>
                <w:highlight w:val="none"/>
              </w:rPr>
            </w:pPr>
          </w:p>
        </w:tc>
        <w:tc>
          <w:tcPr>
            <w:tcW w:w="849" w:type="dxa"/>
            <w:tcBorders>
              <w:right w:val="single" w:color="000000" w:sz="2" w:space="0"/>
            </w:tcBorders>
            <w:noWrap w:val="0"/>
            <w:vAlign w:val="top"/>
          </w:tcPr>
          <w:p w14:paraId="72DF2CFD">
            <w:pPr>
              <w:rPr>
                <w:rFonts w:ascii="Arial"/>
                <w:color w:val="auto"/>
                <w:sz w:val="24"/>
                <w:szCs w:val="24"/>
                <w:highlight w:val="none"/>
              </w:rPr>
            </w:pPr>
          </w:p>
        </w:tc>
        <w:tc>
          <w:tcPr>
            <w:tcW w:w="1005" w:type="dxa"/>
            <w:tcBorders>
              <w:left w:val="single" w:color="000000" w:sz="2" w:space="0"/>
              <w:right w:val="single" w:color="000000" w:sz="2" w:space="0"/>
            </w:tcBorders>
            <w:noWrap w:val="0"/>
            <w:vAlign w:val="top"/>
          </w:tcPr>
          <w:p w14:paraId="353771DB">
            <w:pPr>
              <w:rPr>
                <w:rFonts w:ascii="Arial"/>
                <w:color w:val="auto"/>
                <w:sz w:val="24"/>
                <w:szCs w:val="24"/>
                <w:highlight w:val="none"/>
              </w:rPr>
            </w:pPr>
          </w:p>
        </w:tc>
        <w:tc>
          <w:tcPr>
            <w:tcW w:w="1245" w:type="dxa"/>
            <w:tcBorders>
              <w:left w:val="single" w:color="000000" w:sz="2" w:space="0"/>
              <w:right w:val="single" w:color="000000" w:sz="2" w:space="0"/>
            </w:tcBorders>
            <w:noWrap w:val="0"/>
            <w:vAlign w:val="top"/>
          </w:tcPr>
          <w:p w14:paraId="65EF289E">
            <w:pPr>
              <w:rPr>
                <w:rFonts w:ascii="Arial"/>
                <w:color w:val="auto"/>
                <w:sz w:val="24"/>
                <w:szCs w:val="24"/>
                <w:highlight w:val="none"/>
              </w:rPr>
            </w:pPr>
          </w:p>
        </w:tc>
        <w:tc>
          <w:tcPr>
            <w:tcW w:w="1350" w:type="dxa"/>
            <w:tcBorders>
              <w:left w:val="single" w:color="000000" w:sz="2" w:space="0"/>
              <w:right w:val="single" w:color="000000" w:sz="2" w:space="0"/>
            </w:tcBorders>
            <w:noWrap w:val="0"/>
            <w:vAlign w:val="top"/>
          </w:tcPr>
          <w:p w14:paraId="0A0985F0">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5EDA08C1">
            <w:pPr>
              <w:rPr>
                <w:rFonts w:ascii="Arial"/>
                <w:color w:val="auto"/>
                <w:sz w:val="24"/>
                <w:szCs w:val="24"/>
                <w:highlight w:val="none"/>
              </w:rPr>
            </w:pPr>
          </w:p>
        </w:tc>
        <w:tc>
          <w:tcPr>
            <w:tcW w:w="870" w:type="dxa"/>
            <w:tcBorders>
              <w:left w:val="single" w:color="000000" w:sz="2" w:space="0"/>
            </w:tcBorders>
            <w:noWrap w:val="0"/>
            <w:vAlign w:val="top"/>
          </w:tcPr>
          <w:p w14:paraId="23C9E086">
            <w:pPr>
              <w:rPr>
                <w:rFonts w:ascii="Arial"/>
                <w:color w:val="auto"/>
                <w:sz w:val="24"/>
                <w:szCs w:val="24"/>
                <w:highlight w:val="none"/>
              </w:rPr>
            </w:pPr>
          </w:p>
        </w:tc>
      </w:tr>
      <w:tr w14:paraId="6EE67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tcBorders>
              <w:right w:val="single" w:color="000000" w:sz="2" w:space="0"/>
            </w:tcBorders>
            <w:noWrap w:val="0"/>
            <w:vAlign w:val="top"/>
          </w:tcPr>
          <w:p w14:paraId="4392DCEA">
            <w:pPr>
              <w:rPr>
                <w:rFonts w:ascii="Arial"/>
                <w:color w:val="auto"/>
                <w:sz w:val="24"/>
                <w:szCs w:val="24"/>
                <w:highlight w:val="none"/>
              </w:rPr>
            </w:pPr>
          </w:p>
        </w:tc>
        <w:tc>
          <w:tcPr>
            <w:tcW w:w="1087" w:type="dxa"/>
            <w:tcBorders>
              <w:left w:val="single" w:color="000000" w:sz="2" w:space="0"/>
              <w:right w:val="single" w:color="000000" w:sz="2" w:space="0"/>
            </w:tcBorders>
            <w:noWrap w:val="0"/>
            <w:vAlign w:val="top"/>
          </w:tcPr>
          <w:p w14:paraId="720C3446">
            <w:pPr>
              <w:rPr>
                <w:rFonts w:ascii="Arial"/>
                <w:color w:val="auto"/>
                <w:sz w:val="24"/>
                <w:szCs w:val="24"/>
                <w:highlight w:val="none"/>
              </w:rPr>
            </w:pPr>
          </w:p>
        </w:tc>
        <w:tc>
          <w:tcPr>
            <w:tcW w:w="849" w:type="dxa"/>
            <w:tcBorders>
              <w:left w:val="single" w:color="000000" w:sz="2" w:space="0"/>
              <w:right w:val="single" w:color="000000" w:sz="2" w:space="0"/>
            </w:tcBorders>
            <w:noWrap w:val="0"/>
            <w:vAlign w:val="top"/>
          </w:tcPr>
          <w:p w14:paraId="494AB25C">
            <w:pPr>
              <w:rPr>
                <w:rFonts w:ascii="Arial"/>
                <w:color w:val="auto"/>
                <w:sz w:val="24"/>
                <w:szCs w:val="24"/>
                <w:highlight w:val="none"/>
              </w:rPr>
            </w:pPr>
          </w:p>
        </w:tc>
        <w:tc>
          <w:tcPr>
            <w:tcW w:w="1005" w:type="dxa"/>
            <w:tcBorders>
              <w:left w:val="single" w:color="000000" w:sz="2" w:space="0"/>
              <w:right w:val="single" w:color="000000" w:sz="2" w:space="0"/>
            </w:tcBorders>
            <w:noWrap w:val="0"/>
            <w:vAlign w:val="top"/>
          </w:tcPr>
          <w:p w14:paraId="4590C0E0">
            <w:pPr>
              <w:rPr>
                <w:rFonts w:ascii="Arial"/>
                <w:color w:val="auto"/>
                <w:sz w:val="24"/>
                <w:szCs w:val="24"/>
                <w:highlight w:val="none"/>
              </w:rPr>
            </w:pPr>
          </w:p>
        </w:tc>
        <w:tc>
          <w:tcPr>
            <w:tcW w:w="1245" w:type="dxa"/>
            <w:tcBorders>
              <w:left w:val="single" w:color="000000" w:sz="2" w:space="0"/>
              <w:right w:val="single" w:color="000000" w:sz="2" w:space="0"/>
            </w:tcBorders>
            <w:noWrap w:val="0"/>
            <w:vAlign w:val="top"/>
          </w:tcPr>
          <w:p w14:paraId="3CE6D090">
            <w:pPr>
              <w:rPr>
                <w:rFonts w:ascii="Arial"/>
                <w:color w:val="auto"/>
                <w:sz w:val="24"/>
                <w:szCs w:val="24"/>
                <w:highlight w:val="none"/>
              </w:rPr>
            </w:pPr>
          </w:p>
        </w:tc>
        <w:tc>
          <w:tcPr>
            <w:tcW w:w="1350" w:type="dxa"/>
            <w:tcBorders>
              <w:left w:val="single" w:color="000000" w:sz="2" w:space="0"/>
              <w:right w:val="single" w:color="000000" w:sz="2" w:space="0"/>
            </w:tcBorders>
            <w:noWrap w:val="0"/>
            <w:vAlign w:val="top"/>
          </w:tcPr>
          <w:p w14:paraId="6200BD95">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2F85B27F">
            <w:pPr>
              <w:rPr>
                <w:rFonts w:ascii="Arial"/>
                <w:color w:val="auto"/>
                <w:sz w:val="24"/>
                <w:szCs w:val="24"/>
                <w:highlight w:val="none"/>
              </w:rPr>
            </w:pPr>
          </w:p>
        </w:tc>
        <w:tc>
          <w:tcPr>
            <w:tcW w:w="870" w:type="dxa"/>
            <w:tcBorders>
              <w:left w:val="single" w:color="000000" w:sz="2" w:space="0"/>
            </w:tcBorders>
            <w:noWrap w:val="0"/>
            <w:vAlign w:val="top"/>
          </w:tcPr>
          <w:p w14:paraId="6062ECB3">
            <w:pPr>
              <w:rPr>
                <w:rFonts w:ascii="Arial"/>
                <w:color w:val="auto"/>
                <w:sz w:val="24"/>
                <w:szCs w:val="24"/>
                <w:highlight w:val="none"/>
              </w:rPr>
            </w:pPr>
          </w:p>
        </w:tc>
      </w:tr>
      <w:tr w14:paraId="5AD32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769" w:type="dxa"/>
            <w:tcBorders>
              <w:right w:val="single" w:color="000000" w:sz="2" w:space="0"/>
            </w:tcBorders>
            <w:noWrap w:val="0"/>
            <w:vAlign w:val="top"/>
          </w:tcPr>
          <w:p w14:paraId="2350F9C7">
            <w:pPr>
              <w:rPr>
                <w:rFonts w:ascii="Arial"/>
                <w:color w:val="auto"/>
                <w:sz w:val="24"/>
                <w:szCs w:val="24"/>
                <w:highlight w:val="none"/>
              </w:rPr>
            </w:pPr>
          </w:p>
        </w:tc>
        <w:tc>
          <w:tcPr>
            <w:tcW w:w="1087" w:type="dxa"/>
            <w:tcBorders>
              <w:left w:val="single" w:color="000000" w:sz="2" w:space="0"/>
              <w:right w:val="single" w:color="000000" w:sz="2" w:space="0"/>
            </w:tcBorders>
            <w:noWrap w:val="0"/>
            <w:vAlign w:val="top"/>
          </w:tcPr>
          <w:p w14:paraId="33C5E713">
            <w:pPr>
              <w:rPr>
                <w:rFonts w:ascii="Arial"/>
                <w:color w:val="auto"/>
                <w:sz w:val="24"/>
                <w:szCs w:val="24"/>
                <w:highlight w:val="none"/>
              </w:rPr>
            </w:pPr>
          </w:p>
        </w:tc>
        <w:tc>
          <w:tcPr>
            <w:tcW w:w="849" w:type="dxa"/>
            <w:tcBorders>
              <w:left w:val="single" w:color="000000" w:sz="2" w:space="0"/>
              <w:right w:val="single" w:color="000000" w:sz="2" w:space="0"/>
            </w:tcBorders>
            <w:noWrap w:val="0"/>
            <w:vAlign w:val="top"/>
          </w:tcPr>
          <w:p w14:paraId="2016C3D9">
            <w:pPr>
              <w:rPr>
                <w:rFonts w:ascii="Arial"/>
                <w:color w:val="auto"/>
                <w:sz w:val="24"/>
                <w:szCs w:val="24"/>
                <w:highlight w:val="none"/>
              </w:rPr>
            </w:pPr>
          </w:p>
        </w:tc>
        <w:tc>
          <w:tcPr>
            <w:tcW w:w="1005" w:type="dxa"/>
            <w:tcBorders>
              <w:left w:val="single" w:color="000000" w:sz="2" w:space="0"/>
              <w:right w:val="single" w:color="000000" w:sz="2" w:space="0"/>
            </w:tcBorders>
            <w:noWrap w:val="0"/>
            <w:vAlign w:val="top"/>
          </w:tcPr>
          <w:p w14:paraId="3C08A16F">
            <w:pPr>
              <w:rPr>
                <w:rFonts w:ascii="Arial"/>
                <w:color w:val="auto"/>
                <w:sz w:val="24"/>
                <w:szCs w:val="24"/>
                <w:highlight w:val="none"/>
              </w:rPr>
            </w:pPr>
          </w:p>
        </w:tc>
        <w:tc>
          <w:tcPr>
            <w:tcW w:w="1245" w:type="dxa"/>
            <w:tcBorders>
              <w:left w:val="single" w:color="000000" w:sz="2" w:space="0"/>
              <w:right w:val="single" w:color="000000" w:sz="2" w:space="0"/>
            </w:tcBorders>
            <w:noWrap w:val="0"/>
            <w:vAlign w:val="top"/>
          </w:tcPr>
          <w:p w14:paraId="59A21189">
            <w:pPr>
              <w:rPr>
                <w:rFonts w:ascii="Arial"/>
                <w:color w:val="auto"/>
                <w:sz w:val="24"/>
                <w:szCs w:val="24"/>
                <w:highlight w:val="none"/>
              </w:rPr>
            </w:pPr>
          </w:p>
        </w:tc>
        <w:tc>
          <w:tcPr>
            <w:tcW w:w="1350" w:type="dxa"/>
            <w:tcBorders>
              <w:left w:val="single" w:color="000000" w:sz="2" w:space="0"/>
              <w:right w:val="single" w:color="000000" w:sz="2" w:space="0"/>
            </w:tcBorders>
            <w:noWrap w:val="0"/>
            <w:vAlign w:val="top"/>
          </w:tcPr>
          <w:p w14:paraId="2F69EBF5">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2F65ACAD">
            <w:pPr>
              <w:rPr>
                <w:rFonts w:ascii="Arial"/>
                <w:color w:val="auto"/>
                <w:sz w:val="24"/>
                <w:szCs w:val="24"/>
                <w:highlight w:val="none"/>
              </w:rPr>
            </w:pPr>
          </w:p>
        </w:tc>
        <w:tc>
          <w:tcPr>
            <w:tcW w:w="870" w:type="dxa"/>
            <w:tcBorders>
              <w:left w:val="single" w:color="000000" w:sz="2" w:space="0"/>
            </w:tcBorders>
            <w:noWrap w:val="0"/>
            <w:vAlign w:val="top"/>
          </w:tcPr>
          <w:p w14:paraId="1A2A92DC">
            <w:pPr>
              <w:rPr>
                <w:rFonts w:ascii="Arial"/>
                <w:color w:val="auto"/>
                <w:sz w:val="24"/>
                <w:szCs w:val="24"/>
                <w:highlight w:val="none"/>
              </w:rPr>
            </w:pPr>
          </w:p>
        </w:tc>
      </w:tr>
    </w:tbl>
    <w:p w14:paraId="77F58607">
      <w:pPr>
        <w:keepNext w:val="0"/>
        <w:keepLines w:val="0"/>
        <w:pageBreakBefore w:val="0"/>
        <w:widowControl w:val="0"/>
        <w:kinsoku/>
        <w:wordWrap/>
        <w:overflowPunct/>
        <w:topLinePunct w:val="0"/>
        <w:autoSpaceDE/>
        <w:autoSpaceDN/>
        <w:bidi w:val="0"/>
        <w:adjustRightInd/>
        <w:snapToGrid/>
        <w:spacing w:line="400" w:lineRule="atLeast"/>
        <w:ind w:firstLine="2640" w:firstLineChars="1100"/>
        <w:jc w:val="both"/>
        <w:textAlignment w:val="auto"/>
        <w:rPr>
          <w:rFonts w:hint="default" w:ascii="宋体" w:hAnsi="宋体" w:cs="Times New Roman"/>
          <w:b w:val="0"/>
          <w:bCs w:val="0"/>
          <w:sz w:val="24"/>
          <w:szCs w:val="24"/>
          <w:highlight w:val="none"/>
          <w:lang w:val="en-US" w:eastAsia="zh-CN"/>
        </w:rPr>
      </w:pPr>
    </w:p>
    <w:p w14:paraId="6FB46BF9">
      <w:pPr>
        <w:spacing w:before="78" w:line="219" w:lineRule="auto"/>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rPr>
        <w:t>注：附评审标准要求资料</w:t>
      </w:r>
      <w:r>
        <w:rPr>
          <w:rFonts w:hint="eastAsia" w:ascii="宋体" w:hAnsi="宋体" w:eastAsia="宋体" w:cs="宋体"/>
          <w:color w:val="auto"/>
          <w:spacing w:val="-2"/>
          <w:sz w:val="24"/>
          <w:szCs w:val="24"/>
          <w:highlight w:val="none"/>
          <w:lang w:eastAsia="zh-CN"/>
        </w:rPr>
        <w:t>及服务需求内人员要求资料</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zh-CN"/>
        </w:rPr>
        <w:t>投标单位可根据服务需求内容自行添加。</w:t>
      </w:r>
    </w:p>
    <w:p w14:paraId="67EE1A9C">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1.本表所有人员须为本单位在岗人员，不得外借、挂靠人员。</w:t>
      </w:r>
    </w:p>
    <w:p w14:paraId="198F23CC">
      <w:pPr>
        <w:spacing w:before="78" w:line="219" w:lineRule="auto"/>
        <w:rPr>
          <w:rFonts w:hint="eastAsia" w:ascii="宋体" w:hAnsi="宋体" w:eastAsia="宋体" w:cs="宋体"/>
          <w:color w:val="auto"/>
          <w:spacing w:val="-2"/>
          <w:sz w:val="24"/>
          <w:szCs w:val="24"/>
          <w:highlight w:val="none"/>
          <w:lang w:eastAsia="zh-CN"/>
        </w:rPr>
      </w:pPr>
    </w:p>
    <w:p w14:paraId="49C5812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A6918CF">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7A68F819">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477B0F93">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both"/>
        <w:textAlignment w:val="auto"/>
        <w:rPr>
          <w:rFonts w:hint="eastAsia"/>
          <w:sz w:val="28"/>
          <w:szCs w:val="32"/>
          <w:highlight w:val="none"/>
          <w:lang w:val="en-US" w:eastAsia="zh-CN"/>
        </w:rPr>
      </w:pPr>
      <w:r>
        <w:rPr>
          <w:rFonts w:hint="eastAsia" w:hAnsi="宋体" w:cs="宋体"/>
          <w:color w:val="auto"/>
          <w:highlight w:val="none"/>
          <w:lang w:val="en-US" w:eastAsia="zh-CN"/>
        </w:rPr>
        <w:t xml:space="preserve">      日 期：</w:t>
      </w:r>
      <w:r>
        <w:rPr>
          <w:rFonts w:hint="eastAsia" w:ascii="宋体" w:hAnsi="宋体" w:eastAsia="宋体" w:cs="宋体"/>
          <w:color w:val="auto"/>
          <w:highlight w:val="none"/>
        </w:rPr>
        <w:br w:type="page"/>
      </w:r>
    </w:p>
    <w:p w14:paraId="7BD22540">
      <w:pPr>
        <w:spacing w:before="91" w:line="219" w:lineRule="auto"/>
        <w:ind w:left="2532" w:firstLine="825" w:firstLineChars="300"/>
        <w:outlineLvl w:val="2"/>
        <w:rPr>
          <w:rFonts w:ascii="宋体" w:hAnsi="宋体" w:eastAsia="宋体" w:cs="宋体"/>
          <w:color w:val="auto"/>
          <w:sz w:val="24"/>
          <w:szCs w:val="24"/>
          <w:highlight w:val="none"/>
        </w:rPr>
      </w:pPr>
      <w:r>
        <w:rPr>
          <w:rFonts w:hint="eastAsia" w:ascii="Calibri" w:hAnsi="Calibri" w:eastAsia="宋体" w:cs="Calibri"/>
          <w:b/>
          <w:bCs/>
          <w:color w:val="auto"/>
          <w:spacing w:val="-3"/>
          <w:sz w:val="28"/>
          <w:szCs w:val="28"/>
          <w:highlight w:val="none"/>
          <w:lang w:val="en-US" w:eastAsia="zh-CN"/>
        </w:rPr>
        <w:t>2.</w:t>
      </w:r>
      <w:r>
        <w:rPr>
          <w:rFonts w:ascii="宋体" w:hAnsi="宋体" w:eastAsia="宋体" w:cs="宋体"/>
          <w:b/>
          <w:bCs/>
          <w:color w:val="auto"/>
          <w:spacing w:val="-3"/>
          <w:sz w:val="24"/>
          <w:szCs w:val="24"/>
          <w:highlight w:val="none"/>
        </w:rPr>
        <w:t>拟投入本项目主要成员汇总表</w:t>
      </w:r>
    </w:p>
    <w:p w14:paraId="752C8268">
      <w:pPr>
        <w:spacing w:before="54"/>
        <w:rPr>
          <w:color w:val="auto"/>
          <w:highlight w:val="none"/>
        </w:rPr>
      </w:pPr>
    </w:p>
    <w:tbl>
      <w:tblPr>
        <w:tblStyle w:val="42"/>
        <w:tblW w:w="8975"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901"/>
        <w:gridCol w:w="900"/>
        <w:gridCol w:w="825"/>
        <w:gridCol w:w="2025"/>
        <w:gridCol w:w="885"/>
        <w:gridCol w:w="1395"/>
        <w:gridCol w:w="1275"/>
      </w:tblGrid>
      <w:tr w14:paraId="2F940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769" w:type="dxa"/>
            <w:noWrap w:val="0"/>
            <w:vAlign w:val="top"/>
          </w:tcPr>
          <w:p w14:paraId="70922296">
            <w:pPr>
              <w:spacing w:line="351" w:lineRule="auto"/>
              <w:jc w:val="center"/>
              <w:rPr>
                <w:rFonts w:hint="eastAsia" w:ascii="宋体" w:hAnsi="宋体" w:eastAsia="宋体" w:cs="宋体"/>
                <w:color w:val="auto"/>
                <w:sz w:val="24"/>
                <w:szCs w:val="24"/>
                <w:highlight w:val="none"/>
              </w:rPr>
            </w:pPr>
          </w:p>
          <w:p w14:paraId="78203397">
            <w:pPr>
              <w:pStyle w:val="41"/>
              <w:spacing w:before="78" w:line="221" w:lineRule="auto"/>
              <w:ind w:left="154"/>
              <w:jc w:val="center"/>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901" w:type="dxa"/>
            <w:noWrap w:val="0"/>
            <w:vAlign w:val="top"/>
          </w:tcPr>
          <w:p w14:paraId="261B3951">
            <w:pPr>
              <w:spacing w:line="352" w:lineRule="auto"/>
              <w:jc w:val="center"/>
              <w:rPr>
                <w:rFonts w:hint="eastAsia" w:ascii="宋体" w:hAnsi="宋体" w:eastAsia="宋体" w:cs="宋体"/>
                <w:color w:val="auto"/>
                <w:sz w:val="24"/>
                <w:szCs w:val="24"/>
                <w:highlight w:val="none"/>
              </w:rPr>
            </w:pPr>
          </w:p>
          <w:p w14:paraId="547F0D26">
            <w:pPr>
              <w:pStyle w:val="41"/>
              <w:spacing w:before="78" w:line="219" w:lineRule="auto"/>
              <w:ind w:left="303"/>
              <w:jc w:val="both"/>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姓名</w:t>
            </w:r>
          </w:p>
        </w:tc>
        <w:tc>
          <w:tcPr>
            <w:tcW w:w="900" w:type="dxa"/>
            <w:tcBorders>
              <w:right w:val="single" w:color="000000" w:sz="2" w:space="0"/>
            </w:tcBorders>
            <w:noWrap w:val="0"/>
            <w:vAlign w:val="top"/>
          </w:tcPr>
          <w:p w14:paraId="72B8EF61">
            <w:pPr>
              <w:spacing w:line="351" w:lineRule="auto"/>
              <w:jc w:val="center"/>
              <w:rPr>
                <w:rFonts w:hint="eastAsia" w:ascii="宋体" w:hAnsi="宋体" w:eastAsia="宋体" w:cs="宋体"/>
                <w:color w:val="auto"/>
                <w:sz w:val="24"/>
                <w:szCs w:val="24"/>
                <w:highlight w:val="none"/>
              </w:rPr>
            </w:pPr>
          </w:p>
          <w:p w14:paraId="2143C599">
            <w:pPr>
              <w:pStyle w:val="41"/>
              <w:spacing w:before="78" w:line="220" w:lineRule="auto"/>
              <w:ind w:left="188"/>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性别</w:t>
            </w:r>
          </w:p>
        </w:tc>
        <w:tc>
          <w:tcPr>
            <w:tcW w:w="825" w:type="dxa"/>
            <w:tcBorders>
              <w:left w:val="single" w:color="000000" w:sz="2" w:space="0"/>
            </w:tcBorders>
            <w:noWrap w:val="0"/>
            <w:vAlign w:val="top"/>
          </w:tcPr>
          <w:p w14:paraId="0A135FC0">
            <w:pPr>
              <w:spacing w:line="352" w:lineRule="auto"/>
              <w:jc w:val="center"/>
              <w:rPr>
                <w:rFonts w:hint="eastAsia" w:ascii="宋体" w:hAnsi="宋体" w:eastAsia="宋体" w:cs="宋体"/>
                <w:color w:val="auto"/>
                <w:sz w:val="24"/>
                <w:szCs w:val="24"/>
                <w:highlight w:val="none"/>
              </w:rPr>
            </w:pPr>
          </w:p>
          <w:p w14:paraId="4BFF1F28">
            <w:pPr>
              <w:pStyle w:val="41"/>
              <w:spacing w:before="78" w:line="219" w:lineRule="auto"/>
              <w:ind w:left="17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年龄</w:t>
            </w:r>
          </w:p>
        </w:tc>
        <w:tc>
          <w:tcPr>
            <w:tcW w:w="2025" w:type="dxa"/>
            <w:noWrap w:val="0"/>
            <w:vAlign w:val="top"/>
          </w:tcPr>
          <w:p w14:paraId="0FB16C5F">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 xml:space="preserve"> </w:t>
            </w:r>
          </w:p>
          <w:p w14:paraId="489F994C">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拟任本项目岗位</w:t>
            </w:r>
          </w:p>
        </w:tc>
        <w:tc>
          <w:tcPr>
            <w:tcW w:w="885" w:type="dxa"/>
            <w:noWrap w:val="0"/>
            <w:vAlign w:val="top"/>
          </w:tcPr>
          <w:p w14:paraId="4AE74A21">
            <w:pPr>
              <w:spacing w:line="351" w:lineRule="auto"/>
              <w:jc w:val="center"/>
              <w:rPr>
                <w:rFonts w:hint="eastAsia" w:ascii="宋体" w:hAnsi="宋体" w:eastAsia="宋体" w:cs="宋体"/>
                <w:color w:val="auto"/>
                <w:sz w:val="24"/>
                <w:szCs w:val="24"/>
                <w:highlight w:val="none"/>
              </w:rPr>
            </w:pPr>
          </w:p>
          <w:p w14:paraId="003E4318">
            <w:pPr>
              <w:pStyle w:val="41"/>
              <w:spacing w:before="78" w:line="220" w:lineRule="auto"/>
              <w:ind w:left="172"/>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val="en-US" w:eastAsia="zh-CN"/>
              </w:rPr>
              <w:t>职称</w:t>
            </w:r>
          </w:p>
        </w:tc>
        <w:tc>
          <w:tcPr>
            <w:tcW w:w="1395" w:type="dxa"/>
            <w:tcBorders>
              <w:left w:val="single" w:color="000000" w:sz="2" w:space="0"/>
              <w:right w:val="single" w:color="000000" w:sz="2" w:space="0"/>
            </w:tcBorders>
            <w:noWrap w:val="0"/>
            <w:vAlign w:val="top"/>
          </w:tcPr>
          <w:p w14:paraId="7C8452A1">
            <w:pPr>
              <w:spacing w:line="351" w:lineRule="auto"/>
              <w:jc w:val="center"/>
              <w:rPr>
                <w:rFonts w:hint="eastAsia" w:ascii="宋体" w:hAnsi="宋体" w:eastAsia="宋体" w:cs="宋体"/>
                <w:color w:val="auto"/>
                <w:sz w:val="24"/>
                <w:szCs w:val="24"/>
                <w:highlight w:val="none"/>
              </w:rPr>
            </w:pPr>
          </w:p>
          <w:p w14:paraId="6C50AA74">
            <w:pPr>
              <w:pStyle w:val="41"/>
              <w:spacing w:before="78" w:line="220" w:lineRule="auto"/>
              <w:ind w:left="15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rPr>
              <w:t>从业</w:t>
            </w:r>
            <w:r>
              <w:rPr>
                <w:rFonts w:hint="eastAsia" w:ascii="宋体" w:hAnsi="宋体" w:eastAsia="宋体" w:cs="宋体"/>
                <w:color w:val="auto"/>
                <w:spacing w:val="-4"/>
                <w:sz w:val="24"/>
                <w:szCs w:val="24"/>
                <w:highlight w:val="none"/>
                <w:lang w:val="en-US" w:eastAsia="zh-CN"/>
              </w:rPr>
              <w:t>年限</w:t>
            </w:r>
          </w:p>
        </w:tc>
        <w:tc>
          <w:tcPr>
            <w:tcW w:w="1275" w:type="dxa"/>
            <w:tcBorders>
              <w:left w:val="single" w:color="000000" w:sz="2" w:space="0"/>
            </w:tcBorders>
            <w:noWrap w:val="0"/>
            <w:vAlign w:val="top"/>
          </w:tcPr>
          <w:p w14:paraId="4E1CB96F">
            <w:pPr>
              <w:spacing w:line="351" w:lineRule="auto"/>
              <w:jc w:val="center"/>
              <w:rPr>
                <w:rFonts w:hint="eastAsia" w:ascii="宋体" w:hAnsi="宋体" w:eastAsia="宋体" w:cs="宋体"/>
                <w:color w:val="auto"/>
                <w:sz w:val="24"/>
                <w:szCs w:val="24"/>
                <w:highlight w:val="none"/>
              </w:rPr>
            </w:pPr>
          </w:p>
          <w:p w14:paraId="6DB24BEF">
            <w:pPr>
              <w:pStyle w:val="41"/>
              <w:spacing w:before="78" w:line="221" w:lineRule="auto"/>
              <w:ind w:firstLine="226" w:firstLineChars="1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val="en-US" w:eastAsia="zh-CN"/>
              </w:rPr>
              <w:t>联系电话</w:t>
            </w:r>
          </w:p>
        </w:tc>
      </w:tr>
      <w:tr w14:paraId="6C21A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69" w:type="dxa"/>
            <w:noWrap w:val="0"/>
            <w:vAlign w:val="top"/>
          </w:tcPr>
          <w:p w14:paraId="4924B3CF">
            <w:pPr>
              <w:rPr>
                <w:rFonts w:hint="eastAsia" w:ascii="宋体" w:hAnsi="宋体" w:eastAsia="宋体" w:cs="宋体"/>
                <w:color w:val="auto"/>
                <w:sz w:val="24"/>
                <w:szCs w:val="24"/>
                <w:highlight w:val="none"/>
              </w:rPr>
            </w:pPr>
          </w:p>
        </w:tc>
        <w:tc>
          <w:tcPr>
            <w:tcW w:w="901" w:type="dxa"/>
            <w:noWrap w:val="0"/>
            <w:vAlign w:val="top"/>
          </w:tcPr>
          <w:p w14:paraId="51557319">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11AD528D">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74609E88">
            <w:pPr>
              <w:rPr>
                <w:rFonts w:hint="eastAsia" w:ascii="宋体" w:hAnsi="宋体" w:eastAsia="宋体" w:cs="宋体"/>
                <w:color w:val="auto"/>
                <w:sz w:val="24"/>
                <w:szCs w:val="24"/>
                <w:highlight w:val="none"/>
              </w:rPr>
            </w:pPr>
          </w:p>
        </w:tc>
        <w:tc>
          <w:tcPr>
            <w:tcW w:w="2025" w:type="dxa"/>
            <w:noWrap w:val="0"/>
            <w:vAlign w:val="top"/>
          </w:tcPr>
          <w:p w14:paraId="261B03AD">
            <w:pPr>
              <w:rPr>
                <w:rFonts w:hint="eastAsia" w:ascii="宋体" w:hAnsi="宋体" w:eastAsia="宋体" w:cs="宋体"/>
                <w:color w:val="auto"/>
                <w:sz w:val="24"/>
                <w:szCs w:val="24"/>
                <w:highlight w:val="none"/>
              </w:rPr>
            </w:pPr>
          </w:p>
        </w:tc>
        <w:tc>
          <w:tcPr>
            <w:tcW w:w="885" w:type="dxa"/>
            <w:noWrap w:val="0"/>
            <w:vAlign w:val="top"/>
          </w:tcPr>
          <w:p w14:paraId="67D1E0C9">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623BCB6E">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5BE60998">
            <w:pPr>
              <w:jc w:val="center"/>
              <w:rPr>
                <w:rFonts w:hint="eastAsia" w:ascii="宋体" w:hAnsi="宋体" w:eastAsia="宋体" w:cs="宋体"/>
                <w:color w:val="auto"/>
                <w:sz w:val="24"/>
                <w:szCs w:val="24"/>
                <w:highlight w:val="none"/>
                <w:lang w:val="en-US" w:eastAsia="zh-CN"/>
              </w:rPr>
            </w:pPr>
          </w:p>
        </w:tc>
      </w:tr>
      <w:tr w14:paraId="474E5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769" w:type="dxa"/>
            <w:noWrap w:val="0"/>
            <w:vAlign w:val="top"/>
          </w:tcPr>
          <w:p w14:paraId="53058455">
            <w:pPr>
              <w:rPr>
                <w:rFonts w:hint="eastAsia" w:ascii="宋体" w:hAnsi="宋体" w:eastAsia="宋体" w:cs="宋体"/>
                <w:color w:val="auto"/>
                <w:sz w:val="24"/>
                <w:szCs w:val="24"/>
                <w:highlight w:val="none"/>
              </w:rPr>
            </w:pPr>
          </w:p>
        </w:tc>
        <w:tc>
          <w:tcPr>
            <w:tcW w:w="901" w:type="dxa"/>
            <w:noWrap w:val="0"/>
            <w:vAlign w:val="top"/>
          </w:tcPr>
          <w:p w14:paraId="4DF06D1B">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5D88D415">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41060A19">
            <w:pPr>
              <w:rPr>
                <w:rFonts w:hint="eastAsia" w:ascii="宋体" w:hAnsi="宋体" w:eastAsia="宋体" w:cs="宋体"/>
                <w:color w:val="auto"/>
                <w:sz w:val="24"/>
                <w:szCs w:val="24"/>
                <w:highlight w:val="none"/>
              </w:rPr>
            </w:pPr>
          </w:p>
        </w:tc>
        <w:tc>
          <w:tcPr>
            <w:tcW w:w="2025" w:type="dxa"/>
            <w:noWrap w:val="0"/>
            <w:vAlign w:val="top"/>
          </w:tcPr>
          <w:p w14:paraId="2EEC1AA6">
            <w:pPr>
              <w:rPr>
                <w:rFonts w:hint="eastAsia" w:ascii="宋体" w:hAnsi="宋体" w:eastAsia="宋体" w:cs="宋体"/>
                <w:color w:val="auto"/>
                <w:sz w:val="24"/>
                <w:szCs w:val="24"/>
                <w:highlight w:val="none"/>
              </w:rPr>
            </w:pPr>
          </w:p>
        </w:tc>
        <w:tc>
          <w:tcPr>
            <w:tcW w:w="885" w:type="dxa"/>
            <w:noWrap w:val="0"/>
            <w:vAlign w:val="top"/>
          </w:tcPr>
          <w:p w14:paraId="5CBB80E4">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2F356788">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1DED1105">
            <w:pPr>
              <w:rPr>
                <w:rFonts w:hint="eastAsia" w:ascii="宋体" w:hAnsi="宋体" w:eastAsia="宋体" w:cs="宋体"/>
                <w:color w:val="auto"/>
                <w:sz w:val="24"/>
                <w:szCs w:val="24"/>
                <w:highlight w:val="none"/>
              </w:rPr>
            </w:pPr>
          </w:p>
        </w:tc>
      </w:tr>
      <w:tr w14:paraId="4A421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noWrap w:val="0"/>
            <w:vAlign w:val="top"/>
          </w:tcPr>
          <w:p w14:paraId="4998A85B">
            <w:pPr>
              <w:rPr>
                <w:rFonts w:hint="eastAsia" w:ascii="宋体" w:hAnsi="宋体" w:eastAsia="宋体" w:cs="宋体"/>
                <w:color w:val="auto"/>
                <w:sz w:val="24"/>
                <w:szCs w:val="24"/>
                <w:highlight w:val="none"/>
              </w:rPr>
            </w:pPr>
          </w:p>
        </w:tc>
        <w:tc>
          <w:tcPr>
            <w:tcW w:w="901" w:type="dxa"/>
            <w:noWrap w:val="0"/>
            <w:vAlign w:val="top"/>
          </w:tcPr>
          <w:p w14:paraId="7B649CD8">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705E4B94">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24B65AAB">
            <w:pPr>
              <w:rPr>
                <w:rFonts w:hint="eastAsia" w:ascii="宋体" w:hAnsi="宋体" w:eastAsia="宋体" w:cs="宋体"/>
                <w:color w:val="auto"/>
                <w:sz w:val="24"/>
                <w:szCs w:val="24"/>
                <w:highlight w:val="none"/>
              </w:rPr>
            </w:pPr>
          </w:p>
        </w:tc>
        <w:tc>
          <w:tcPr>
            <w:tcW w:w="2025" w:type="dxa"/>
            <w:noWrap w:val="0"/>
            <w:vAlign w:val="top"/>
          </w:tcPr>
          <w:p w14:paraId="70191C99">
            <w:pPr>
              <w:rPr>
                <w:rFonts w:hint="eastAsia" w:ascii="宋体" w:hAnsi="宋体" w:eastAsia="宋体" w:cs="宋体"/>
                <w:color w:val="auto"/>
                <w:sz w:val="24"/>
                <w:szCs w:val="24"/>
                <w:highlight w:val="none"/>
              </w:rPr>
            </w:pPr>
          </w:p>
        </w:tc>
        <w:tc>
          <w:tcPr>
            <w:tcW w:w="885" w:type="dxa"/>
            <w:noWrap w:val="0"/>
            <w:vAlign w:val="top"/>
          </w:tcPr>
          <w:p w14:paraId="652503D5">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030693EE">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7701957E">
            <w:pPr>
              <w:rPr>
                <w:rFonts w:hint="eastAsia" w:ascii="宋体" w:hAnsi="宋体" w:eastAsia="宋体" w:cs="宋体"/>
                <w:color w:val="auto"/>
                <w:sz w:val="24"/>
                <w:szCs w:val="24"/>
                <w:highlight w:val="none"/>
              </w:rPr>
            </w:pPr>
          </w:p>
        </w:tc>
      </w:tr>
      <w:tr w14:paraId="25DF3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08D21DCF">
            <w:pPr>
              <w:rPr>
                <w:rFonts w:hint="eastAsia" w:ascii="宋体" w:hAnsi="宋体" w:eastAsia="宋体" w:cs="宋体"/>
                <w:color w:val="auto"/>
                <w:sz w:val="24"/>
                <w:szCs w:val="24"/>
                <w:highlight w:val="none"/>
              </w:rPr>
            </w:pPr>
          </w:p>
        </w:tc>
        <w:tc>
          <w:tcPr>
            <w:tcW w:w="901" w:type="dxa"/>
            <w:noWrap w:val="0"/>
            <w:vAlign w:val="top"/>
          </w:tcPr>
          <w:p w14:paraId="42635996">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0AE58BE1">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7C8948BA">
            <w:pPr>
              <w:rPr>
                <w:rFonts w:hint="eastAsia" w:ascii="宋体" w:hAnsi="宋体" w:eastAsia="宋体" w:cs="宋体"/>
                <w:color w:val="auto"/>
                <w:sz w:val="24"/>
                <w:szCs w:val="24"/>
                <w:highlight w:val="none"/>
              </w:rPr>
            </w:pPr>
          </w:p>
        </w:tc>
        <w:tc>
          <w:tcPr>
            <w:tcW w:w="2025" w:type="dxa"/>
            <w:noWrap w:val="0"/>
            <w:vAlign w:val="top"/>
          </w:tcPr>
          <w:p w14:paraId="64B819F5">
            <w:pPr>
              <w:rPr>
                <w:rFonts w:hint="eastAsia" w:ascii="宋体" w:hAnsi="宋体" w:eastAsia="宋体" w:cs="宋体"/>
                <w:color w:val="auto"/>
                <w:sz w:val="24"/>
                <w:szCs w:val="24"/>
                <w:highlight w:val="none"/>
              </w:rPr>
            </w:pPr>
          </w:p>
        </w:tc>
        <w:tc>
          <w:tcPr>
            <w:tcW w:w="885" w:type="dxa"/>
            <w:noWrap w:val="0"/>
            <w:vAlign w:val="top"/>
          </w:tcPr>
          <w:p w14:paraId="4B11DE6B">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6B974DC3">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252553ED">
            <w:pPr>
              <w:rPr>
                <w:rFonts w:hint="eastAsia" w:ascii="宋体" w:hAnsi="宋体" w:eastAsia="宋体" w:cs="宋体"/>
                <w:color w:val="auto"/>
                <w:sz w:val="24"/>
                <w:szCs w:val="24"/>
                <w:highlight w:val="none"/>
              </w:rPr>
            </w:pPr>
          </w:p>
        </w:tc>
      </w:tr>
      <w:tr w14:paraId="5AEAF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6A86A7D0">
            <w:pPr>
              <w:rPr>
                <w:rFonts w:hint="eastAsia" w:ascii="宋体" w:hAnsi="宋体" w:eastAsia="宋体" w:cs="宋体"/>
                <w:color w:val="auto"/>
                <w:sz w:val="24"/>
                <w:szCs w:val="24"/>
                <w:highlight w:val="none"/>
              </w:rPr>
            </w:pPr>
          </w:p>
        </w:tc>
        <w:tc>
          <w:tcPr>
            <w:tcW w:w="901" w:type="dxa"/>
            <w:noWrap w:val="0"/>
            <w:vAlign w:val="top"/>
          </w:tcPr>
          <w:p w14:paraId="2CA31945">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00F62000">
            <w:pPr>
              <w:rPr>
                <w:rFonts w:hint="eastAsia" w:ascii="宋体" w:hAnsi="宋体" w:eastAsia="宋体" w:cs="宋体"/>
                <w:color w:val="auto"/>
                <w:sz w:val="24"/>
                <w:szCs w:val="24"/>
                <w:highlight w:val="none"/>
              </w:rPr>
            </w:pPr>
          </w:p>
        </w:tc>
        <w:tc>
          <w:tcPr>
            <w:tcW w:w="825" w:type="dxa"/>
            <w:tcBorders>
              <w:left w:val="single" w:color="000000" w:sz="2" w:space="0"/>
              <w:right w:val="single" w:color="000000" w:sz="2" w:space="0"/>
            </w:tcBorders>
            <w:noWrap w:val="0"/>
            <w:vAlign w:val="top"/>
          </w:tcPr>
          <w:p w14:paraId="33F315B6">
            <w:pPr>
              <w:rPr>
                <w:rFonts w:hint="eastAsia" w:ascii="宋体" w:hAnsi="宋体" w:eastAsia="宋体" w:cs="宋体"/>
                <w:color w:val="auto"/>
                <w:sz w:val="24"/>
                <w:szCs w:val="24"/>
                <w:highlight w:val="none"/>
              </w:rPr>
            </w:pPr>
          </w:p>
        </w:tc>
        <w:tc>
          <w:tcPr>
            <w:tcW w:w="2025" w:type="dxa"/>
            <w:tcBorders>
              <w:left w:val="single" w:color="000000" w:sz="2" w:space="0"/>
              <w:right w:val="single" w:color="000000" w:sz="2" w:space="0"/>
            </w:tcBorders>
            <w:noWrap w:val="0"/>
            <w:vAlign w:val="top"/>
          </w:tcPr>
          <w:p w14:paraId="349907E5">
            <w:pPr>
              <w:rPr>
                <w:rFonts w:hint="eastAsia" w:ascii="宋体" w:hAnsi="宋体" w:eastAsia="宋体" w:cs="宋体"/>
                <w:color w:val="auto"/>
                <w:sz w:val="24"/>
                <w:szCs w:val="24"/>
                <w:highlight w:val="none"/>
              </w:rPr>
            </w:pPr>
          </w:p>
        </w:tc>
        <w:tc>
          <w:tcPr>
            <w:tcW w:w="885" w:type="dxa"/>
            <w:tcBorders>
              <w:left w:val="single" w:color="000000" w:sz="2" w:space="0"/>
              <w:right w:val="single" w:color="000000" w:sz="2" w:space="0"/>
            </w:tcBorders>
            <w:noWrap w:val="0"/>
            <w:vAlign w:val="top"/>
          </w:tcPr>
          <w:p w14:paraId="67786E26">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1A2F2848">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347742BF">
            <w:pPr>
              <w:rPr>
                <w:rFonts w:hint="eastAsia" w:ascii="宋体" w:hAnsi="宋体" w:eastAsia="宋体" w:cs="宋体"/>
                <w:color w:val="auto"/>
                <w:sz w:val="24"/>
                <w:szCs w:val="24"/>
                <w:highlight w:val="none"/>
              </w:rPr>
            </w:pPr>
          </w:p>
        </w:tc>
      </w:tr>
      <w:tr w14:paraId="1897B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tcBorders>
              <w:right w:val="single" w:color="000000" w:sz="2" w:space="0"/>
            </w:tcBorders>
            <w:noWrap w:val="0"/>
            <w:vAlign w:val="top"/>
          </w:tcPr>
          <w:p w14:paraId="2A03915A">
            <w:pPr>
              <w:rPr>
                <w:rFonts w:hint="eastAsia" w:ascii="宋体" w:hAnsi="宋体" w:eastAsia="宋体" w:cs="宋体"/>
                <w:color w:val="auto"/>
                <w:sz w:val="24"/>
                <w:szCs w:val="24"/>
                <w:highlight w:val="none"/>
              </w:rPr>
            </w:pPr>
          </w:p>
        </w:tc>
        <w:tc>
          <w:tcPr>
            <w:tcW w:w="901" w:type="dxa"/>
            <w:tcBorders>
              <w:left w:val="single" w:color="000000" w:sz="2" w:space="0"/>
              <w:right w:val="single" w:color="000000" w:sz="2" w:space="0"/>
            </w:tcBorders>
            <w:noWrap w:val="0"/>
            <w:vAlign w:val="top"/>
          </w:tcPr>
          <w:p w14:paraId="5EB830CC">
            <w:pPr>
              <w:rPr>
                <w:rFonts w:hint="eastAsia" w:ascii="宋体" w:hAnsi="宋体" w:eastAsia="宋体" w:cs="宋体"/>
                <w:color w:val="auto"/>
                <w:sz w:val="24"/>
                <w:szCs w:val="24"/>
                <w:highlight w:val="none"/>
              </w:rPr>
            </w:pPr>
          </w:p>
        </w:tc>
        <w:tc>
          <w:tcPr>
            <w:tcW w:w="900" w:type="dxa"/>
            <w:tcBorders>
              <w:left w:val="single" w:color="000000" w:sz="2" w:space="0"/>
              <w:right w:val="single" w:color="000000" w:sz="2" w:space="0"/>
            </w:tcBorders>
            <w:noWrap w:val="0"/>
            <w:vAlign w:val="top"/>
          </w:tcPr>
          <w:p w14:paraId="6618786D">
            <w:pPr>
              <w:rPr>
                <w:rFonts w:hint="eastAsia" w:ascii="宋体" w:hAnsi="宋体" w:eastAsia="宋体" w:cs="宋体"/>
                <w:color w:val="auto"/>
                <w:sz w:val="24"/>
                <w:szCs w:val="24"/>
                <w:highlight w:val="none"/>
              </w:rPr>
            </w:pPr>
          </w:p>
        </w:tc>
        <w:tc>
          <w:tcPr>
            <w:tcW w:w="825" w:type="dxa"/>
            <w:tcBorders>
              <w:left w:val="single" w:color="000000" w:sz="2" w:space="0"/>
              <w:right w:val="single" w:color="000000" w:sz="2" w:space="0"/>
            </w:tcBorders>
            <w:noWrap w:val="0"/>
            <w:vAlign w:val="top"/>
          </w:tcPr>
          <w:p w14:paraId="743CAE31">
            <w:pPr>
              <w:rPr>
                <w:rFonts w:hint="eastAsia" w:ascii="宋体" w:hAnsi="宋体" w:eastAsia="宋体" w:cs="宋体"/>
                <w:color w:val="auto"/>
                <w:sz w:val="24"/>
                <w:szCs w:val="24"/>
                <w:highlight w:val="none"/>
              </w:rPr>
            </w:pPr>
          </w:p>
        </w:tc>
        <w:tc>
          <w:tcPr>
            <w:tcW w:w="2025" w:type="dxa"/>
            <w:tcBorders>
              <w:left w:val="single" w:color="000000" w:sz="2" w:space="0"/>
              <w:right w:val="single" w:color="000000" w:sz="2" w:space="0"/>
            </w:tcBorders>
            <w:noWrap w:val="0"/>
            <w:vAlign w:val="top"/>
          </w:tcPr>
          <w:p w14:paraId="4B96BD24">
            <w:pPr>
              <w:rPr>
                <w:rFonts w:hint="eastAsia" w:ascii="宋体" w:hAnsi="宋体" w:eastAsia="宋体" w:cs="宋体"/>
                <w:color w:val="auto"/>
                <w:sz w:val="24"/>
                <w:szCs w:val="24"/>
                <w:highlight w:val="none"/>
              </w:rPr>
            </w:pPr>
          </w:p>
        </w:tc>
        <w:tc>
          <w:tcPr>
            <w:tcW w:w="885" w:type="dxa"/>
            <w:tcBorders>
              <w:left w:val="single" w:color="000000" w:sz="2" w:space="0"/>
              <w:right w:val="single" w:color="000000" w:sz="2" w:space="0"/>
            </w:tcBorders>
            <w:noWrap w:val="0"/>
            <w:vAlign w:val="top"/>
          </w:tcPr>
          <w:p w14:paraId="2A1525E6">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5D12893C">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6479038F">
            <w:pPr>
              <w:rPr>
                <w:rFonts w:hint="eastAsia" w:ascii="宋体" w:hAnsi="宋体" w:eastAsia="宋体" w:cs="宋体"/>
                <w:color w:val="auto"/>
                <w:sz w:val="24"/>
                <w:szCs w:val="24"/>
                <w:highlight w:val="none"/>
              </w:rPr>
            </w:pPr>
          </w:p>
        </w:tc>
      </w:tr>
      <w:tr w14:paraId="2E979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769" w:type="dxa"/>
            <w:tcBorders>
              <w:right w:val="single" w:color="000000" w:sz="2" w:space="0"/>
            </w:tcBorders>
            <w:noWrap w:val="0"/>
            <w:vAlign w:val="top"/>
          </w:tcPr>
          <w:p w14:paraId="2ECB9B66">
            <w:pPr>
              <w:rPr>
                <w:rFonts w:hint="eastAsia" w:ascii="宋体" w:hAnsi="宋体" w:eastAsia="宋体" w:cs="宋体"/>
                <w:color w:val="auto"/>
                <w:sz w:val="24"/>
                <w:szCs w:val="24"/>
                <w:highlight w:val="none"/>
              </w:rPr>
            </w:pPr>
          </w:p>
        </w:tc>
        <w:tc>
          <w:tcPr>
            <w:tcW w:w="901" w:type="dxa"/>
            <w:tcBorders>
              <w:left w:val="single" w:color="000000" w:sz="2" w:space="0"/>
              <w:right w:val="single" w:color="000000" w:sz="2" w:space="0"/>
            </w:tcBorders>
            <w:noWrap w:val="0"/>
            <w:vAlign w:val="top"/>
          </w:tcPr>
          <w:p w14:paraId="01DBDCAF">
            <w:pPr>
              <w:rPr>
                <w:rFonts w:hint="eastAsia" w:ascii="宋体" w:hAnsi="宋体" w:eastAsia="宋体" w:cs="宋体"/>
                <w:color w:val="auto"/>
                <w:sz w:val="24"/>
                <w:szCs w:val="24"/>
                <w:highlight w:val="none"/>
              </w:rPr>
            </w:pPr>
          </w:p>
        </w:tc>
        <w:tc>
          <w:tcPr>
            <w:tcW w:w="900" w:type="dxa"/>
            <w:tcBorders>
              <w:left w:val="single" w:color="000000" w:sz="2" w:space="0"/>
              <w:right w:val="single" w:color="000000" w:sz="2" w:space="0"/>
            </w:tcBorders>
            <w:noWrap w:val="0"/>
            <w:vAlign w:val="top"/>
          </w:tcPr>
          <w:p w14:paraId="1F525F10">
            <w:pPr>
              <w:rPr>
                <w:rFonts w:hint="eastAsia" w:ascii="宋体" w:hAnsi="宋体" w:eastAsia="宋体" w:cs="宋体"/>
                <w:color w:val="auto"/>
                <w:sz w:val="24"/>
                <w:szCs w:val="24"/>
                <w:highlight w:val="none"/>
              </w:rPr>
            </w:pPr>
          </w:p>
        </w:tc>
        <w:tc>
          <w:tcPr>
            <w:tcW w:w="825" w:type="dxa"/>
            <w:tcBorders>
              <w:left w:val="single" w:color="000000" w:sz="2" w:space="0"/>
              <w:right w:val="single" w:color="000000" w:sz="2" w:space="0"/>
            </w:tcBorders>
            <w:noWrap w:val="0"/>
            <w:vAlign w:val="top"/>
          </w:tcPr>
          <w:p w14:paraId="64338B39">
            <w:pPr>
              <w:rPr>
                <w:rFonts w:hint="eastAsia" w:ascii="宋体" w:hAnsi="宋体" w:eastAsia="宋体" w:cs="宋体"/>
                <w:color w:val="auto"/>
                <w:sz w:val="24"/>
                <w:szCs w:val="24"/>
                <w:highlight w:val="none"/>
              </w:rPr>
            </w:pPr>
          </w:p>
        </w:tc>
        <w:tc>
          <w:tcPr>
            <w:tcW w:w="2025" w:type="dxa"/>
            <w:tcBorders>
              <w:left w:val="single" w:color="000000" w:sz="2" w:space="0"/>
              <w:right w:val="single" w:color="000000" w:sz="2" w:space="0"/>
            </w:tcBorders>
            <w:noWrap w:val="0"/>
            <w:vAlign w:val="top"/>
          </w:tcPr>
          <w:p w14:paraId="5CAB0CFD">
            <w:pPr>
              <w:rPr>
                <w:rFonts w:hint="eastAsia" w:ascii="宋体" w:hAnsi="宋体" w:eastAsia="宋体" w:cs="宋体"/>
                <w:color w:val="auto"/>
                <w:sz w:val="24"/>
                <w:szCs w:val="24"/>
                <w:highlight w:val="none"/>
              </w:rPr>
            </w:pPr>
          </w:p>
        </w:tc>
        <w:tc>
          <w:tcPr>
            <w:tcW w:w="885" w:type="dxa"/>
            <w:tcBorders>
              <w:left w:val="single" w:color="000000" w:sz="2" w:space="0"/>
              <w:right w:val="single" w:color="000000" w:sz="2" w:space="0"/>
            </w:tcBorders>
            <w:noWrap w:val="0"/>
            <w:vAlign w:val="top"/>
          </w:tcPr>
          <w:p w14:paraId="1F279A9B">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3593AAED">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4137C96A">
            <w:pPr>
              <w:rPr>
                <w:rFonts w:hint="eastAsia" w:ascii="宋体" w:hAnsi="宋体" w:eastAsia="宋体" w:cs="宋体"/>
                <w:color w:val="auto"/>
                <w:sz w:val="24"/>
                <w:szCs w:val="24"/>
                <w:highlight w:val="none"/>
              </w:rPr>
            </w:pPr>
          </w:p>
        </w:tc>
      </w:tr>
    </w:tbl>
    <w:p w14:paraId="61C1F99E">
      <w:pPr>
        <w:pStyle w:val="2"/>
        <w:spacing w:line="240" w:lineRule="auto"/>
        <w:ind w:firstLine="210" w:firstLineChars="100"/>
        <w:rPr>
          <w:rFonts w:hint="eastAsia" w:ascii="宋体" w:hAnsi="宋体" w:eastAsia="宋体" w:cs="宋体"/>
          <w:color w:val="auto"/>
          <w:spacing w:val="-2"/>
          <w:sz w:val="24"/>
          <w:szCs w:val="24"/>
          <w:highlight w:val="none"/>
          <w:lang w:eastAsia="zh-CN"/>
        </w:rPr>
      </w:pPr>
      <w:r>
        <w:rPr>
          <w:rFonts w:hint="eastAsia"/>
          <w:color w:val="auto"/>
          <w:highlight w:val="none"/>
          <w:lang w:val="en-US" w:eastAsia="zh-CN"/>
        </w:rPr>
        <w:t>注</w:t>
      </w:r>
      <w:r>
        <w:rPr>
          <w:rFonts w:hint="eastAsia" w:eastAsia="宋体" w:cs="宋体"/>
          <w:color w:val="auto"/>
          <w:highlight w:val="none"/>
          <w:lang w:val="en-US" w:eastAsia="zh-CN"/>
        </w:rPr>
        <w:t>：</w:t>
      </w:r>
      <w:r>
        <w:rPr>
          <w:rFonts w:hint="eastAsia" w:ascii="宋体" w:hAnsi="宋体" w:eastAsia="宋体" w:cs="宋体"/>
          <w:color w:val="auto"/>
          <w:spacing w:val="-2"/>
          <w:sz w:val="24"/>
          <w:szCs w:val="24"/>
          <w:highlight w:val="none"/>
        </w:rPr>
        <w:t>附评审标准要求资料</w:t>
      </w:r>
      <w:r>
        <w:rPr>
          <w:rFonts w:hint="eastAsia" w:ascii="宋体" w:hAnsi="宋体" w:eastAsia="宋体" w:cs="宋体"/>
          <w:color w:val="auto"/>
          <w:spacing w:val="-2"/>
          <w:sz w:val="24"/>
          <w:szCs w:val="24"/>
          <w:highlight w:val="none"/>
          <w:lang w:eastAsia="zh-CN"/>
        </w:rPr>
        <w:t>及服务需求内人员要求资料</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zh-CN"/>
        </w:rPr>
        <w:t>投标单位可根据服务需求内容自行添加。</w:t>
      </w:r>
    </w:p>
    <w:p w14:paraId="7E004718">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1.本表所有人员须为本单位在岗人员，不得外借、挂靠人员。</w:t>
      </w:r>
    </w:p>
    <w:p w14:paraId="18FB3B92">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2.授课教师职称需提供职称证书复印件并加盖单位公章；管理、后勤岗位无职称可填写“无”；</w:t>
      </w:r>
    </w:p>
    <w:p w14:paraId="2D566F9A">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3. 从业年限填写从事培训相关服务工作总年限；</w:t>
      </w:r>
    </w:p>
    <w:p w14:paraId="74FD1D6D">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4. 须完整填写全部人员联系电话，确保24小时可接通。</w:t>
      </w:r>
    </w:p>
    <w:p w14:paraId="4FB60367">
      <w:pPr>
        <w:pStyle w:val="2"/>
        <w:spacing w:line="421" w:lineRule="auto"/>
        <w:ind w:firstLine="210" w:firstLineChars="100"/>
        <w:rPr>
          <w:rFonts w:hint="eastAsia" w:eastAsia="宋体" w:cs="宋体"/>
          <w:color w:val="auto"/>
          <w:highlight w:val="none"/>
          <w:lang w:val="en-US" w:eastAsia="zh-CN"/>
        </w:rPr>
      </w:pPr>
    </w:p>
    <w:p w14:paraId="6C30A611">
      <w:pPr>
        <w:pStyle w:val="34"/>
        <w:rPr>
          <w:rFonts w:hint="eastAsia"/>
          <w:lang w:val="en-US" w:eastAsia="zh-CN"/>
        </w:rPr>
      </w:pPr>
    </w:p>
    <w:p w14:paraId="6FC9B2F0">
      <w:pPr>
        <w:pStyle w:val="2"/>
        <w:spacing w:line="421" w:lineRule="auto"/>
        <w:ind w:firstLine="210" w:firstLineChars="100"/>
        <w:rPr>
          <w:rFonts w:hint="default" w:eastAsia="宋体" w:cs="宋体"/>
          <w:color w:val="auto"/>
          <w:highlight w:val="none"/>
          <w:lang w:val="en-US" w:eastAsia="zh-CN"/>
        </w:rPr>
      </w:pPr>
    </w:p>
    <w:p w14:paraId="08B3D847">
      <w:pPr>
        <w:rPr>
          <w:color w:val="auto"/>
          <w:highlight w:val="none"/>
        </w:rPr>
      </w:pPr>
    </w:p>
    <w:p w14:paraId="6E259682">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4422BF57">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2A6F79BF">
      <w:pPr>
        <w:spacing w:before="183" w:line="220" w:lineRule="auto"/>
        <w:ind w:firstLine="618" w:firstLineChars="3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日期：</w:t>
      </w:r>
    </w:p>
    <w:p w14:paraId="29589CDF">
      <w:pPr>
        <w:spacing w:line="219" w:lineRule="auto"/>
        <w:rPr>
          <w:rFonts w:ascii="宋体" w:hAnsi="宋体" w:eastAsia="宋体" w:cs="宋体"/>
          <w:color w:val="auto"/>
          <w:sz w:val="24"/>
          <w:szCs w:val="24"/>
          <w:highlight w:val="none"/>
        </w:rPr>
      </w:pPr>
    </w:p>
    <w:p w14:paraId="0C5CDDDB">
      <w:pPr>
        <w:shd w:val="clear" w:color="auto" w:fill="auto"/>
        <w:spacing w:line="360" w:lineRule="auto"/>
        <w:jc w:val="both"/>
        <w:rPr>
          <w:rFonts w:hint="eastAsia" w:ascii="宋体" w:hAnsi="宋体" w:cs="Times New Roman"/>
          <w:b w:val="0"/>
          <w:bCs w:val="0"/>
          <w:sz w:val="28"/>
          <w:szCs w:val="28"/>
          <w:highlight w:val="none"/>
          <w:lang w:val="en-US" w:eastAsia="zh-CN"/>
        </w:rPr>
      </w:pPr>
    </w:p>
    <w:p w14:paraId="68BB4303">
      <w:pPr>
        <w:shd w:val="clear" w:color="auto" w:fill="auto"/>
        <w:spacing w:line="360" w:lineRule="auto"/>
        <w:ind w:firstLine="2520" w:firstLineChars="900"/>
        <w:jc w:val="both"/>
        <w:rPr>
          <w:rFonts w:hint="eastAsia" w:ascii="宋体" w:hAnsi="宋体" w:cs="Times New Roman"/>
          <w:b w:val="0"/>
          <w:bCs w:val="0"/>
          <w:sz w:val="28"/>
          <w:szCs w:val="28"/>
          <w:highlight w:val="none"/>
          <w:lang w:val="en-US" w:eastAsia="zh-CN"/>
        </w:rPr>
      </w:pPr>
    </w:p>
    <w:p w14:paraId="2FFE6603">
      <w:pPr>
        <w:shd w:val="clear" w:color="auto" w:fill="auto"/>
        <w:spacing w:line="360" w:lineRule="auto"/>
        <w:ind w:firstLine="1400" w:firstLineChars="500"/>
        <w:jc w:val="both"/>
        <w:rPr>
          <w:rFonts w:hint="eastAsia" w:ascii="Times New Roman" w:hAnsi="Times New Roman" w:eastAsia="宋体" w:cs="Times New Roman"/>
          <w:color w:val="000000"/>
          <w:kern w:val="0"/>
          <w:sz w:val="24"/>
          <w:szCs w:val="24"/>
          <w:lang w:val="en-US" w:eastAsia="zh-CN" w:bidi="ar-SA"/>
        </w:rPr>
      </w:pPr>
      <w:r>
        <w:rPr>
          <w:rFonts w:hint="eastAsia" w:ascii="宋体" w:hAnsi="宋体" w:cs="Times New Roman"/>
          <w:b w:val="0"/>
          <w:bCs w:val="0"/>
          <w:sz w:val="28"/>
          <w:szCs w:val="28"/>
          <w:highlight w:val="none"/>
          <w:lang w:val="en-US" w:eastAsia="zh-CN"/>
        </w:rPr>
        <w:t>8、</w:t>
      </w:r>
      <w:r>
        <w:rPr>
          <w:rFonts w:ascii="宋体" w:hAnsi="宋体" w:eastAsia="宋体" w:cs="宋体"/>
          <w:sz w:val="24"/>
          <w:szCs w:val="24"/>
        </w:rPr>
        <w:t>近三年</w:t>
      </w:r>
      <w:r>
        <w:rPr>
          <w:rFonts w:hint="eastAsia" w:ascii="宋体" w:hAnsi="宋体" w:cs="宋体"/>
          <w:sz w:val="24"/>
          <w:szCs w:val="24"/>
          <w:lang w:eastAsia="zh-CN"/>
        </w:rPr>
        <w:t>（</w:t>
      </w:r>
      <w:r>
        <w:rPr>
          <w:rFonts w:hint="eastAsia" w:ascii="Times New Roman" w:hAnsi="Times New Roman" w:eastAsia="宋体" w:cs="Times New Roman"/>
          <w:color w:val="000000"/>
          <w:kern w:val="0"/>
          <w:sz w:val="24"/>
          <w:szCs w:val="24"/>
          <w:lang w:val="en-US" w:eastAsia="zh-CN" w:bidi="ar-SA"/>
        </w:rPr>
        <w:t>202</w:t>
      </w:r>
      <w:r>
        <w:rPr>
          <w:rFonts w:hint="eastAsia" w:ascii="Times New Roman" w:hAnsi="Times New Roman" w:cs="Times New Roman"/>
          <w:color w:val="000000"/>
          <w:kern w:val="0"/>
          <w:sz w:val="24"/>
          <w:szCs w:val="24"/>
          <w:lang w:val="en-US" w:eastAsia="zh-CN" w:bidi="ar-SA"/>
        </w:rPr>
        <w:t>4</w:t>
      </w:r>
      <w:r>
        <w:rPr>
          <w:rFonts w:hint="eastAsia" w:ascii="Times New Roman" w:hAnsi="Times New Roman" w:eastAsia="宋体" w:cs="Times New Roman"/>
          <w:color w:val="000000"/>
          <w:kern w:val="0"/>
          <w:sz w:val="24"/>
          <w:szCs w:val="24"/>
          <w:lang w:val="en-US" w:eastAsia="zh-CN" w:bidi="ar-SA"/>
        </w:rPr>
        <w:t>年</w:t>
      </w:r>
      <w:r>
        <w:rPr>
          <w:rFonts w:hint="eastAsia" w:ascii="Times New Roman" w:hAnsi="Times New Roman" w:cs="Times New Roman"/>
          <w:color w:val="000000"/>
          <w:kern w:val="0"/>
          <w:sz w:val="24"/>
          <w:szCs w:val="24"/>
          <w:lang w:val="en-US" w:eastAsia="zh-CN" w:bidi="ar-SA"/>
        </w:rPr>
        <w:t>7</w:t>
      </w:r>
      <w:r>
        <w:rPr>
          <w:rFonts w:hint="eastAsia" w:ascii="Times New Roman" w:hAnsi="Times New Roman" w:eastAsia="宋体" w:cs="Times New Roman"/>
          <w:color w:val="000000"/>
          <w:kern w:val="0"/>
          <w:sz w:val="24"/>
          <w:szCs w:val="24"/>
          <w:lang w:val="en-US" w:eastAsia="zh-CN" w:bidi="ar-SA"/>
        </w:rPr>
        <w:t>月1日至今）类似项目业绩证明材料</w:t>
      </w:r>
    </w:p>
    <w:p w14:paraId="3CC82B41">
      <w:pPr>
        <w:shd w:val="clear" w:color="auto" w:fill="auto"/>
        <w:spacing w:line="360" w:lineRule="auto"/>
        <w:ind w:firstLine="1200" w:firstLineChars="500"/>
        <w:jc w:val="both"/>
        <w:rPr>
          <w:rFonts w:hint="default" w:ascii="Times New Roman" w:hAnsi="Times New Roman" w:eastAsia="宋体" w:cs="Times New Roman"/>
          <w:color w:val="000000"/>
          <w:kern w:val="0"/>
          <w:sz w:val="24"/>
          <w:szCs w:val="24"/>
          <w:lang w:val="en-US" w:eastAsia="zh-CN" w:bidi="ar-SA"/>
        </w:rPr>
      </w:pPr>
      <w:r>
        <w:rPr>
          <w:rFonts w:hint="eastAsia" w:ascii="Times New Roman" w:hAnsi="Times New Roman" w:eastAsia="宋体" w:cs="Times New Roman"/>
          <w:color w:val="000000"/>
          <w:kern w:val="0"/>
          <w:sz w:val="24"/>
          <w:szCs w:val="24"/>
          <w:lang w:val="en-US" w:eastAsia="zh-CN" w:bidi="ar-SA"/>
        </w:rPr>
        <w:t xml:space="preserve">                     （格式自拟）</w:t>
      </w:r>
    </w:p>
    <w:p w14:paraId="2DEBA950">
      <w:pPr>
        <w:pStyle w:val="37"/>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3C8921FB">
      <w:pPr>
        <w:shd w:val="clear" w:color="auto" w:fill="auto"/>
        <w:spacing w:line="360" w:lineRule="auto"/>
        <w:ind w:firstLine="2160" w:firstLineChars="900"/>
        <w:jc w:val="both"/>
        <w:rPr>
          <w:rFonts w:ascii="宋体" w:hAnsi="宋体" w:eastAsia="宋体" w:cs="宋体"/>
          <w:sz w:val="24"/>
          <w:szCs w:val="24"/>
        </w:rPr>
      </w:pPr>
    </w:p>
    <w:p w14:paraId="78CE6D3C">
      <w:pPr>
        <w:shd w:val="clear" w:color="auto" w:fill="auto"/>
        <w:spacing w:line="360" w:lineRule="auto"/>
        <w:ind w:firstLine="2160" w:firstLineChars="900"/>
        <w:jc w:val="both"/>
        <w:rPr>
          <w:rFonts w:ascii="宋体" w:hAnsi="宋体" w:eastAsia="宋体" w:cs="宋体"/>
          <w:sz w:val="24"/>
          <w:szCs w:val="24"/>
        </w:rPr>
      </w:pPr>
    </w:p>
    <w:p w14:paraId="76EB1D67">
      <w:pPr>
        <w:shd w:val="clear" w:color="auto" w:fill="auto"/>
        <w:spacing w:line="360" w:lineRule="auto"/>
        <w:ind w:firstLine="440" w:firstLineChars="200"/>
        <w:jc w:val="both"/>
        <w:rPr>
          <w:rFonts w:ascii="宋体" w:hAnsi="宋体" w:eastAsia="宋体" w:cs="宋体"/>
          <w:sz w:val="24"/>
          <w:szCs w:val="24"/>
        </w:rPr>
      </w:pPr>
      <w:r>
        <w:rPr>
          <w:rFonts w:hint="eastAsia" w:ascii="宋体" w:hAnsi="宋体" w:eastAsia="宋体" w:cs="宋体"/>
          <w:color w:val="auto"/>
          <w:sz w:val="22"/>
          <w:szCs w:val="22"/>
          <w:highlight w:val="none"/>
          <w:lang w:val="en-US" w:eastAsia="zh-CN"/>
        </w:rPr>
        <w:t>注：投标人须提供每份有效业绩的证明材料，中标（成交）通知书</w:t>
      </w:r>
      <w:r>
        <w:rPr>
          <w:rFonts w:hint="eastAsia" w:ascii="宋体" w:hAnsi="宋体" w:cs="宋体"/>
          <w:color w:val="auto"/>
          <w:sz w:val="22"/>
          <w:szCs w:val="22"/>
          <w:highlight w:val="none"/>
          <w:lang w:val="en-US" w:eastAsia="zh-CN"/>
        </w:rPr>
        <w:t>或</w:t>
      </w:r>
      <w:r>
        <w:rPr>
          <w:rFonts w:hint="eastAsia" w:ascii="宋体" w:hAnsi="宋体" w:eastAsia="宋体" w:cs="宋体"/>
          <w:color w:val="auto"/>
          <w:sz w:val="22"/>
          <w:szCs w:val="22"/>
          <w:highlight w:val="none"/>
          <w:lang w:val="en-US" w:eastAsia="zh-CN"/>
        </w:rPr>
        <w:t>合同原件扫描件</w:t>
      </w:r>
      <w:r>
        <w:rPr>
          <w:rFonts w:hint="eastAsia" w:ascii="宋体" w:hAnsi="宋体" w:cs="宋体"/>
          <w:color w:val="auto"/>
          <w:sz w:val="22"/>
          <w:szCs w:val="22"/>
          <w:highlight w:val="none"/>
          <w:lang w:val="en-US" w:eastAsia="zh-CN"/>
        </w:rPr>
        <w:t>。</w:t>
      </w:r>
    </w:p>
    <w:p w14:paraId="3D1D4578">
      <w:pPr>
        <w:pStyle w:val="37"/>
        <w:rPr>
          <w:rFonts w:ascii="宋体" w:hAnsi="宋体" w:eastAsia="宋体" w:cs="宋体"/>
          <w:sz w:val="24"/>
          <w:szCs w:val="24"/>
        </w:rPr>
      </w:pPr>
    </w:p>
    <w:p w14:paraId="70CCB7CA">
      <w:pPr>
        <w:jc w:val="center"/>
        <w:rPr>
          <w:rFonts w:hint="eastAsia" w:ascii="宋体" w:hAnsi="宋体" w:eastAsia="宋体" w:cs="宋体"/>
          <w:color w:val="auto"/>
          <w:kern w:val="2"/>
          <w:sz w:val="21"/>
          <w:szCs w:val="21"/>
          <w:highlight w:val="none"/>
          <w:lang w:val="en-US" w:eastAsia="zh-CN" w:bidi="ar-SA"/>
        </w:rPr>
      </w:pPr>
    </w:p>
    <w:p w14:paraId="6E151F3F">
      <w:pPr>
        <w:jc w:val="center"/>
        <w:rPr>
          <w:rFonts w:hint="eastAsia" w:ascii="宋体" w:hAnsi="宋体" w:eastAsia="宋体" w:cs="宋体"/>
          <w:color w:val="auto"/>
          <w:kern w:val="2"/>
          <w:sz w:val="21"/>
          <w:szCs w:val="21"/>
          <w:highlight w:val="none"/>
          <w:lang w:val="en-US" w:eastAsia="zh-CN" w:bidi="ar-SA"/>
        </w:rPr>
      </w:pPr>
    </w:p>
    <w:p w14:paraId="13B3E47F">
      <w:pPr>
        <w:jc w:val="center"/>
        <w:rPr>
          <w:rFonts w:hint="eastAsia" w:ascii="宋体" w:hAnsi="宋体" w:eastAsia="宋体" w:cs="宋体"/>
          <w:color w:val="auto"/>
          <w:kern w:val="2"/>
          <w:sz w:val="21"/>
          <w:szCs w:val="21"/>
          <w:highlight w:val="none"/>
          <w:lang w:val="en-US" w:eastAsia="zh-CN" w:bidi="ar-SA"/>
        </w:rPr>
      </w:pPr>
    </w:p>
    <w:p w14:paraId="6C5F6E3D">
      <w:pPr>
        <w:jc w:val="center"/>
        <w:rPr>
          <w:rFonts w:hint="eastAsia" w:ascii="宋体" w:hAnsi="宋体" w:eastAsia="宋体" w:cs="宋体"/>
          <w:color w:val="auto"/>
          <w:kern w:val="2"/>
          <w:sz w:val="21"/>
          <w:szCs w:val="21"/>
          <w:highlight w:val="none"/>
          <w:lang w:val="en-US" w:eastAsia="zh-CN" w:bidi="ar-SA"/>
        </w:rPr>
      </w:pPr>
    </w:p>
    <w:p w14:paraId="3E3612C2">
      <w:pPr>
        <w:jc w:val="center"/>
        <w:rPr>
          <w:rFonts w:hint="eastAsia" w:ascii="宋体" w:hAnsi="宋体" w:eastAsia="宋体" w:cs="宋体"/>
          <w:color w:val="auto"/>
          <w:kern w:val="2"/>
          <w:sz w:val="21"/>
          <w:szCs w:val="21"/>
          <w:highlight w:val="none"/>
          <w:lang w:val="en-US" w:eastAsia="zh-CN" w:bidi="ar-SA"/>
        </w:rPr>
      </w:pPr>
    </w:p>
    <w:p w14:paraId="2CD55465">
      <w:pPr>
        <w:jc w:val="center"/>
        <w:rPr>
          <w:rFonts w:hint="eastAsia" w:ascii="宋体" w:hAnsi="宋体" w:eastAsia="宋体" w:cs="宋体"/>
          <w:color w:val="auto"/>
          <w:kern w:val="2"/>
          <w:sz w:val="21"/>
          <w:szCs w:val="21"/>
          <w:highlight w:val="none"/>
          <w:lang w:val="en-US" w:eastAsia="zh-CN" w:bidi="ar-SA"/>
        </w:rPr>
      </w:pPr>
    </w:p>
    <w:p w14:paraId="001A6E52">
      <w:pPr>
        <w:jc w:val="center"/>
        <w:rPr>
          <w:rFonts w:hint="eastAsia" w:ascii="宋体" w:hAnsi="宋体" w:eastAsia="宋体" w:cs="宋体"/>
          <w:color w:val="auto"/>
          <w:kern w:val="2"/>
          <w:sz w:val="21"/>
          <w:szCs w:val="21"/>
          <w:highlight w:val="none"/>
          <w:lang w:val="en-US" w:eastAsia="zh-CN" w:bidi="ar-SA"/>
        </w:rPr>
      </w:pPr>
    </w:p>
    <w:p w14:paraId="136EDE17">
      <w:pPr>
        <w:jc w:val="center"/>
        <w:rPr>
          <w:rFonts w:hint="eastAsia" w:ascii="宋体" w:hAnsi="宋体" w:eastAsia="宋体" w:cs="宋体"/>
          <w:color w:val="auto"/>
          <w:kern w:val="2"/>
          <w:sz w:val="21"/>
          <w:szCs w:val="21"/>
          <w:highlight w:val="none"/>
          <w:lang w:val="en-US" w:eastAsia="zh-CN" w:bidi="ar-SA"/>
        </w:rPr>
      </w:pPr>
    </w:p>
    <w:p w14:paraId="239B5E1F">
      <w:pPr>
        <w:jc w:val="center"/>
        <w:rPr>
          <w:rFonts w:hint="eastAsia" w:ascii="宋体" w:hAnsi="宋体" w:eastAsia="宋体" w:cs="宋体"/>
          <w:color w:val="auto"/>
          <w:kern w:val="2"/>
          <w:sz w:val="21"/>
          <w:szCs w:val="21"/>
          <w:highlight w:val="none"/>
          <w:lang w:val="en-US" w:eastAsia="zh-CN" w:bidi="ar-SA"/>
        </w:rPr>
      </w:pPr>
    </w:p>
    <w:p w14:paraId="1578EB07">
      <w:pPr>
        <w:jc w:val="center"/>
        <w:rPr>
          <w:rFonts w:hint="eastAsia" w:ascii="宋体" w:hAnsi="宋体" w:eastAsia="宋体" w:cs="宋体"/>
          <w:color w:val="auto"/>
          <w:kern w:val="2"/>
          <w:sz w:val="21"/>
          <w:szCs w:val="21"/>
          <w:highlight w:val="none"/>
          <w:lang w:val="en-US" w:eastAsia="zh-CN" w:bidi="ar-SA"/>
        </w:rPr>
      </w:pPr>
    </w:p>
    <w:p w14:paraId="0A8F808E">
      <w:pPr>
        <w:jc w:val="center"/>
        <w:rPr>
          <w:rFonts w:hint="eastAsia" w:ascii="宋体" w:hAnsi="宋体" w:eastAsia="宋体" w:cs="宋体"/>
          <w:color w:val="auto"/>
          <w:kern w:val="2"/>
          <w:sz w:val="21"/>
          <w:szCs w:val="21"/>
          <w:highlight w:val="none"/>
          <w:lang w:val="en-US" w:eastAsia="zh-CN" w:bidi="ar-SA"/>
        </w:rPr>
      </w:pPr>
    </w:p>
    <w:p w14:paraId="78E0747C">
      <w:pPr>
        <w:jc w:val="center"/>
        <w:rPr>
          <w:rFonts w:hint="eastAsia" w:ascii="宋体" w:hAnsi="宋体" w:eastAsia="宋体" w:cs="宋体"/>
          <w:color w:val="auto"/>
          <w:kern w:val="2"/>
          <w:sz w:val="21"/>
          <w:szCs w:val="21"/>
          <w:highlight w:val="none"/>
          <w:lang w:val="en-US" w:eastAsia="zh-CN" w:bidi="ar-SA"/>
        </w:rPr>
      </w:pPr>
    </w:p>
    <w:p w14:paraId="300B15EC">
      <w:pPr>
        <w:jc w:val="center"/>
        <w:rPr>
          <w:rFonts w:hint="eastAsia" w:ascii="宋体" w:hAnsi="宋体" w:eastAsia="宋体" w:cs="宋体"/>
          <w:color w:val="auto"/>
          <w:kern w:val="2"/>
          <w:sz w:val="21"/>
          <w:szCs w:val="21"/>
          <w:highlight w:val="none"/>
          <w:lang w:val="en-US" w:eastAsia="zh-CN" w:bidi="ar-SA"/>
        </w:rPr>
      </w:pPr>
    </w:p>
    <w:p w14:paraId="6A9BEE04">
      <w:pPr>
        <w:jc w:val="center"/>
        <w:rPr>
          <w:rFonts w:hint="eastAsia" w:ascii="宋体" w:hAnsi="宋体" w:eastAsia="宋体" w:cs="宋体"/>
          <w:color w:val="auto"/>
          <w:kern w:val="2"/>
          <w:sz w:val="21"/>
          <w:szCs w:val="21"/>
          <w:highlight w:val="none"/>
          <w:lang w:val="en-US" w:eastAsia="zh-CN" w:bidi="ar-SA"/>
        </w:rPr>
      </w:pPr>
    </w:p>
    <w:p w14:paraId="0B1F6FA4">
      <w:pPr>
        <w:ind w:firstLine="1680" w:firstLineChars="8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（盖章）</w:t>
      </w:r>
    </w:p>
    <w:p w14:paraId="70B5E7CF">
      <w:pPr>
        <w:pStyle w:val="2"/>
        <w:numPr>
          <w:ilvl w:val="0"/>
          <w:numId w:val="0"/>
        </w:numPr>
        <w:tabs>
          <w:tab w:val="left" w:pos="8227"/>
        </w:tabs>
        <w:kinsoku w:val="0"/>
        <w:overflowPunct w:val="0"/>
        <w:spacing w:line="381" w:lineRule="auto"/>
        <w:ind w:right="118" w:rightChars="0"/>
        <w:jc w:val="center"/>
        <w:rPr>
          <w:rFonts w:hint="eastAsia" w:ascii="宋体" w:hAnsi="宋体" w:eastAsia="宋体" w:cs="宋体"/>
          <w:color w:val="auto"/>
          <w:w w:val="95"/>
          <w:sz w:val="21"/>
          <w:szCs w:val="21"/>
          <w:highlight w:val="none"/>
        </w:rPr>
      </w:pPr>
      <w:r>
        <w:rPr>
          <w:rFonts w:hint="eastAsia" w:ascii="宋体" w:hAnsi="宋体" w:eastAsia="宋体" w:cs="宋体"/>
          <w:color w:val="auto"/>
          <w:sz w:val="21"/>
          <w:szCs w:val="21"/>
          <w:highlight w:val="none"/>
        </w:rPr>
        <w:t>法定代表人或被授权人：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bidi="ar-SA"/>
        </w:rPr>
        <w:t>(签字或盖章）</w:t>
      </w:r>
    </w:p>
    <w:p w14:paraId="225E9B45">
      <w:pPr>
        <w:ind w:firstLine="1680" w:firstLineChars="800"/>
        <w:jc w:val="both"/>
        <w:outlineLvl w:val="9"/>
        <w:rPr>
          <w:rFonts w:hint="default" w:ascii="宋体" w:hAnsi="宋体" w:eastAsia="宋体" w:cs="宋体"/>
          <w:b/>
          <w:bCs/>
          <w:color w:val="auto"/>
          <w:kern w:val="0"/>
          <w:sz w:val="24"/>
          <w:szCs w:val="20"/>
          <w:highlight w:val="none"/>
          <w:u w:val="none"/>
          <w:lang w:val="en-US" w:eastAsia="zh-CN" w:bidi="ar-SA"/>
        </w:rPr>
      </w:pPr>
      <w:r>
        <w:rPr>
          <w:rFonts w:hint="eastAsia" w:ascii="宋体" w:hAnsi="宋体" w:eastAsia="宋体" w:cs="宋体"/>
          <w:color w:val="auto"/>
          <w:kern w:val="2"/>
          <w:sz w:val="21"/>
          <w:szCs w:val="21"/>
          <w:highlight w:val="none"/>
          <w:lang w:val="en-US" w:eastAsia="zh-CN" w:bidi="ar-SA"/>
        </w:rPr>
        <w:t>日期：</w:t>
      </w:r>
    </w:p>
    <w:p w14:paraId="6184F70A">
      <w:pPr>
        <w:pStyle w:val="37"/>
        <w:jc w:val="center"/>
        <w:rPr>
          <w:rFonts w:ascii="宋体" w:hAnsi="宋体" w:eastAsia="宋体" w:cs="宋体"/>
          <w:sz w:val="24"/>
          <w:szCs w:val="24"/>
        </w:rPr>
      </w:pPr>
    </w:p>
    <w:p w14:paraId="1E9899BA">
      <w:pPr>
        <w:pStyle w:val="37"/>
        <w:rPr>
          <w:rFonts w:ascii="宋体" w:hAnsi="宋体" w:eastAsia="宋体" w:cs="宋体"/>
          <w:sz w:val="24"/>
          <w:szCs w:val="24"/>
        </w:rPr>
      </w:pPr>
    </w:p>
    <w:p w14:paraId="25AE8B65">
      <w:pPr>
        <w:pStyle w:val="37"/>
        <w:rPr>
          <w:rFonts w:ascii="宋体" w:hAnsi="宋体" w:eastAsia="宋体" w:cs="宋体"/>
          <w:sz w:val="24"/>
          <w:szCs w:val="24"/>
        </w:rPr>
      </w:pPr>
    </w:p>
    <w:p w14:paraId="19D4A71B">
      <w:pPr>
        <w:pStyle w:val="37"/>
        <w:rPr>
          <w:rFonts w:ascii="宋体" w:hAnsi="宋体" w:eastAsia="宋体" w:cs="宋体"/>
          <w:sz w:val="24"/>
          <w:szCs w:val="24"/>
        </w:rPr>
      </w:pPr>
    </w:p>
    <w:p w14:paraId="688DFD17">
      <w:pPr>
        <w:pStyle w:val="37"/>
        <w:rPr>
          <w:rFonts w:ascii="宋体" w:hAnsi="宋体" w:eastAsia="宋体" w:cs="宋体"/>
          <w:sz w:val="24"/>
          <w:szCs w:val="24"/>
        </w:rPr>
      </w:pPr>
    </w:p>
    <w:p w14:paraId="476DAB5A">
      <w:pPr>
        <w:pStyle w:val="37"/>
        <w:rPr>
          <w:rFonts w:ascii="宋体" w:hAnsi="宋体" w:eastAsia="宋体" w:cs="宋体"/>
          <w:sz w:val="24"/>
          <w:szCs w:val="24"/>
        </w:rPr>
      </w:pPr>
    </w:p>
    <w:p w14:paraId="154483F6">
      <w:pPr>
        <w:shd w:val="clear" w:color="auto" w:fill="auto"/>
        <w:spacing w:line="360" w:lineRule="auto"/>
        <w:jc w:val="both"/>
        <w:rPr>
          <w:rFonts w:ascii="宋体" w:hAnsi="宋体" w:eastAsia="宋体" w:cs="宋体"/>
          <w:sz w:val="24"/>
          <w:szCs w:val="24"/>
        </w:rPr>
      </w:pPr>
    </w:p>
    <w:p w14:paraId="6A45B01D">
      <w:pPr>
        <w:shd w:val="clear" w:color="auto" w:fill="auto"/>
        <w:spacing w:line="360" w:lineRule="auto"/>
        <w:jc w:val="both"/>
        <w:rPr>
          <w:rFonts w:ascii="宋体" w:hAnsi="宋体" w:eastAsia="宋体" w:cs="宋体"/>
          <w:sz w:val="24"/>
          <w:szCs w:val="24"/>
        </w:rPr>
      </w:pPr>
    </w:p>
    <w:p w14:paraId="01025164">
      <w:pPr>
        <w:shd w:val="clear" w:color="auto" w:fill="auto"/>
        <w:spacing w:line="360" w:lineRule="auto"/>
        <w:jc w:val="both"/>
        <w:rPr>
          <w:rFonts w:ascii="宋体" w:hAnsi="宋体" w:eastAsia="宋体" w:cs="宋体"/>
          <w:sz w:val="24"/>
          <w:szCs w:val="24"/>
        </w:rPr>
      </w:pPr>
    </w:p>
    <w:p w14:paraId="6DA6DBD1">
      <w:pPr>
        <w:shd w:val="clear" w:color="auto" w:fill="auto"/>
        <w:spacing w:line="360" w:lineRule="auto"/>
        <w:jc w:val="both"/>
        <w:rPr>
          <w:rFonts w:ascii="宋体" w:hAnsi="宋体" w:eastAsia="宋体" w:cs="宋体"/>
          <w:sz w:val="24"/>
          <w:szCs w:val="24"/>
        </w:rPr>
      </w:pPr>
    </w:p>
    <w:p w14:paraId="3E65D8A3">
      <w:pPr>
        <w:shd w:val="clear" w:color="auto" w:fill="auto"/>
        <w:spacing w:line="360" w:lineRule="auto"/>
        <w:jc w:val="both"/>
        <w:rPr>
          <w:rFonts w:ascii="宋体" w:hAnsi="宋体" w:eastAsia="宋体" w:cs="宋体"/>
          <w:sz w:val="24"/>
          <w:szCs w:val="24"/>
        </w:rPr>
      </w:pPr>
    </w:p>
    <w:p w14:paraId="6C500F0E">
      <w:pPr>
        <w:shd w:val="clear" w:color="auto" w:fill="auto"/>
        <w:spacing w:line="360" w:lineRule="auto"/>
        <w:ind w:firstLine="2160" w:firstLineChars="900"/>
        <w:jc w:val="both"/>
        <w:rPr>
          <w:rFonts w:ascii="宋体" w:hAnsi="宋体" w:eastAsia="宋体" w:cs="宋体"/>
          <w:sz w:val="24"/>
          <w:szCs w:val="24"/>
        </w:rPr>
      </w:pPr>
    </w:p>
    <w:p w14:paraId="4CE7096F">
      <w:pPr>
        <w:shd w:val="clear" w:color="auto" w:fill="auto"/>
        <w:spacing w:line="360" w:lineRule="auto"/>
        <w:ind w:firstLine="2520" w:firstLineChars="900"/>
        <w:jc w:val="both"/>
        <w:rPr>
          <w:rFonts w:hint="eastAsia"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9</w:t>
      </w:r>
      <w:r>
        <w:rPr>
          <w:rFonts w:hint="eastAsia" w:ascii="宋体" w:hAnsi="宋体" w:eastAsia="宋体" w:cs="Times New Roman"/>
          <w:b w:val="0"/>
          <w:bCs w:val="0"/>
          <w:sz w:val="28"/>
          <w:szCs w:val="28"/>
          <w:highlight w:val="none"/>
          <w:lang w:val="en-US" w:eastAsia="zh-CN"/>
        </w:rPr>
        <w:t>、中小企业声明函</w:t>
      </w:r>
      <w:r>
        <w:rPr>
          <w:rFonts w:hint="eastAsia" w:ascii="宋体" w:hAnsi="宋体" w:cs="Times New Roman"/>
          <w:b w:val="0"/>
          <w:bCs w:val="0"/>
          <w:sz w:val="28"/>
          <w:szCs w:val="28"/>
          <w:highlight w:val="none"/>
          <w:lang w:val="en-US" w:eastAsia="zh-CN"/>
        </w:rPr>
        <w:t>（服务）</w:t>
      </w:r>
    </w:p>
    <w:p w14:paraId="1C0C6F15">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本公司（联合体）郑重声明，根据《政府采购促进中小企业发展管理办法》（财库﹝2020﹞46 号）的规定，本公司（联合体）参加</w:t>
      </w:r>
      <w:r>
        <w:rPr>
          <w:rFonts w:hint="eastAsia" w:ascii="宋体" w:hAnsi="宋体" w:eastAsia="宋体" w:cs="Times New Roman"/>
          <w:b w:val="0"/>
          <w:bCs w:val="0"/>
          <w:sz w:val="24"/>
          <w:szCs w:val="24"/>
          <w:highlight w:val="none"/>
          <w:u w:val="single"/>
          <w:lang w:val="en-US" w:eastAsia="zh-CN"/>
        </w:rPr>
        <w:t>（单位名称）</w:t>
      </w:r>
      <w:r>
        <w:rPr>
          <w:rFonts w:hint="eastAsia" w:ascii="宋体" w:hAnsi="宋体" w:eastAsia="宋体" w:cs="Times New Roman"/>
          <w:b w:val="0"/>
          <w:bCs w:val="0"/>
          <w:sz w:val="24"/>
          <w:szCs w:val="24"/>
          <w:highlight w:val="none"/>
          <w:lang w:val="en-US" w:eastAsia="zh-CN"/>
        </w:rPr>
        <w:t>的</w:t>
      </w:r>
      <w:r>
        <w:rPr>
          <w:rFonts w:hint="eastAsia" w:ascii="宋体" w:hAnsi="宋体" w:eastAsia="宋体" w:cs="Times New Roman"/>
          <w:b w:val="0"/>
          <w:bCs w:val="0"/>
          <w:sz w:val="24"/>
          <w:szCs w:val="24"/>
          <w:highlight w:val="none"/>
          <w:u w:val="single"/>
          <w:lang w:val="en-US" w:eastAsia="zh-CN"/>
        </w:rPr>
        <w:t>（项目名称）</w:t>
      </w:r>
      <w:r>
        <w:rPr>
          <w:rFonts w:hint="eastAsia" w:ascii="宋体" w:hAnsi="宋体" w:eastAsia="宋体" w:cs="Times New Roman"/>
          <w:b w:val="0"/>
          <w:bCs w:val="0"/>
          <w:sz w:val="24"/>
          <w:szCs w:val="24"/>
          <w:highlight w:val="none"/>
          <w:lang w:val="en-US" w:eastAsia="zh-CN"/>
        </w:rPr>
        <w:t>采购活动，提供的货物全部由符合政策要求的中小企业制造相关企业（含联合体中的中小企业、签订分包意向协议的中小企业） 的具体情况如下：</w:t>
      </w:r>
    </w:p>
    <w:p w14:paraId="0340424F">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1.</w:t>
      </w:r>
      <w:r>
        <w:rPr>
          <w:rFonts w:hint="eastAsia" w:ascii="宋体" w:hAnsi="宋体" w:cs="Times New Roman"/>
          <w:b w:val="0"/>
          <w:bCs w:val="0"/>
          <w:sz w:val="24"/>
          <w:szCs w:val="24"/>
          <w:highlight w:val="none"/>
          <w:u w:val="single"/>
          <w:lang w:val="en-US" w:eastAsia="zh-CN"/>
        </w:rPr>
        <w:t xml:space="preserve">         （标的名称）</w:t>
      </w:r>
      <w:r>
        <w:rPr>
          <w:rFonts w:hint="eastAsia" w:ascii="宋体" w:hAnsi="宋体" w:eastAsia="宋体" w:cs="Times New Roman"/>
          <w:b w:val="0"/>
          <w:bCs w:val="0"/>
          <w:sz w:val="24"/>
          <w:szCs w:val="24"/>
          <w:highlight w:val="none"/>
          <w:lang w:val="en-US" w:eastAsia="zh-CN"/>
        </w:rPr>
        <w:t>，属于</w:t>
      </w:r>
      <w:r>
        <w:rPr>
          <w:rFonts w:hint="eastAsia" w:ascii="宋体" w:hAnsi="宋体" w:eastAsia="宋体" w:cs="Times New Roman"/>
          <w:b w:val="0"/>
          <w:bCs w:val="0"/>
          <w:sz w:val="24"/>
          <w:szCs w:val="24"/>
          <w:highlight w:val="none"/>
          <w:u w:val="single"/>
          <w:lang w:val="en-US" w:eastAsia="zh-CN"/>
        </w:rPr>
        <w:t>（所属行业）</w:t>
      </w:r>
      <w:r>
        <w:rPr>
          <w:rFonts w:hint="eastAsia" w:ascii="宋体" w:hAnsi="宋体" w:eastAsia="宋体" w:cs="Times New Roman"/>
          <w:b w:val="0"/>
          <w:bCs w:val="0"/>
          <w:sz w:val="24"/>
          <w:szCs w:val="24"/>
          <w:highlight w:val="none"/>
          <w:lang w:val="en-US" w:eastAsia="zh-CN"/>
        </w:rPr>
        <w:t>；承建（承接）企业为</w:t>
      </w:r>
      <w:r>
        <w:rPr>
          <w:rFonts w:hint="eastAsia" w:ascii="宋体" w:hAnsi="宋体" w:eastAsia="宋体" w:cs="Times New Roman"/>
          <w:b w:val="0"/>
          <w:bCs w:val="0"/>
          <w:sz w:val="24"/>
          <w:szCs w:val="24"/>
          <w:highlight w:val="none"/>
          <w:u w:val="single"/>
          <w:lang w:val="en-US" w:eastAsia="zh-CN"/>
        </w:rPr>
        <w:t>（企业名称）</w:t>
      </w:r>
      <w:r>
        <w:rPr>
          <w:rFonts w:hint="eastAsia" w:ascii="宋体" w:hAnsi="宋体" w:eastAsia="宋体" w:cs="Times New Roman"/>
          <w:b w:val="0"/>
          <w:bCs w:val="0"/>
          <w:sz w:val="24"/>
          <w:szCs w:val="24"/>
          <w:highlight w:val="none"/>
          <w:lang w:val="en-US" w:eastAsia="zh-CN"/>
        </w:rPr>
        <w:t>，从业人员</w:t>
      </w:r>
      <w:r>
        <w:rPr>
          <w:rFonts w:hint="eastAsia" w:ascii="宋体" w:hAnsi="宋体" w:eastAsia="宋体" w:cs="Times New Roman"/>
          <w:b w:val="0"/>
          <w:bCs w:val="0"/>
          <w:sz w:val="24"/>
          <w:szCs w:val="24"/>
          <w:highlight w:val="none"/>
          <w:u w:val="single"/>
          <w:lang w:val="en-US" w:eastAsia="zh-CN"/>
        </w:rPr>
        <w:t xml:space="preserve">   </w:t>
      </w:r>
      <w:r>
        <w:rPr>
          <w:rFonts w:hint="eastAsia" w:ascii="宋体" w:hAnsi="宋体" w:eastAsia="宋体" w:cs="Times New Roman"/>
          <w:b w:val="0"/>
          <w:bCs w:val="0"/>
          <w:sz w:val="24"/>
          <w:szCs w:val="24"/>
          <w:highlight w:val="none"/>
          <w:lang w:val="en-US" w:eastAsia="zh-CN"/>
        </w:rPr>
        <w:t>人，营业收入为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万元，资产总额为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万元，属于</w:t>
      </w:r>
      <w:r>
        <w:rPr>
          <w:rFonts w:hint="eastAsia" w:ascii="宋体" w:hAnsi="宋体" w:eastAsia="宋体" w:cs="Times New Roman"/>
          <w:b w:val="0"/>
          <w:bCs w:val="0"/>
          <w:sz w:val="24"/>
          <w:szCs w:val="24"/>
          <w:highlight w:val="none"/>
          <w:u w:val="single"/>
          <w:lang w:val="en-US" w:eastAsia="zh-CN"/>
        </w:rPr>
        <w:t>（中型企业、小型企业、微型企业）</w:t>
      </w:r>
      <w:r>
        <w:rPr>
          <w:rFonts w:hint="eastAsia" w:ascii="宋体" w:hAnsi="宋体" w:eastAsia="宋体" w:cs="Times New Roman"/>
          <w:b w:val="0"/>
          <w:bCs w:val="0"/>
          <w:sz w:val="24"/>
          <w:szCs w:val="24"/>
          <w:highlight w:val="none"/>
          <w:lang w:val="en-US" w:eastAsia="zh-CN"/>
        </w:rPr>
        <w:t>；</w:t>
      </w:r>
    </w:p>
    <w:p w14:paraId="5BD8AC31">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cs="Times New Roman"/>
          <w:b w:val="0"/>
          <w:bCs w:val="0"/>
          <w:sz w:val="24"/>
          <w:szCs w:val="24"/>
          <w:highlight w:val="none"/>
          <w:lang w:val="en-US" w:eastAsia="zh-CN"/>
        </w:rPr>
        <w:t>2</w:t>
      </w:r>
      <w:r>
        <w:rPr>
          <w:rFonts w:hint="eastAsia" w:ascii="宋体" w:hAnsi="宋体" w:eastAsia="宋体" w:cs="Times New Roman"/>
          <w:b w:val="0"/>
          <w:bCs w:val="0"/>
          <w:sz w:val="24"/>
          <w:szCs w:val="24"/>
          <w:highlight w:val="none"/>
          <w:lang w:val="en-US" w:eastAsia="zh-CN"/>
        </w:rPr>
        <w:t>.</w:t>
      </w:r>
      <w:r>
        <w:rPr>
          <w:rFonts w:hint="eastAsia" w:ascii="宋体" w:hAnsi="宋体" w:cs="Times New Roman"/>
          <w:b w:val="0"/>
          <w:bCs w:val="0"/>
          <w:sz w:val="24"/>
          <w:szCs w:val="24"/>
          <w:highlight w:val="none"/>
          <w:u w:val="single"/>
          <w:lang w:val="en-US" w:eastAsia="zh-CN"/>
        </w:rPr>
        <w:t xml:space="preserve">         （标的名称）</w:t>
      </w:r>
      <w:r>
        <w:rPr>
          <w:rFonts w:hint="eastAsia" w:ascii="宋体" w:hAnsi="宋体" w:eastAsia="宋体" w:cs="Times New Roman"/>
          <w:b w:val="0"/>
          <w:bCs w:val="0"/>
          <w:sz w:val="24"/>
          <w:szCs w:val="24"/>
          <w:highlight w:val="none"/>
          <w:lang w:val="en-US" w:eastAsia="zh-CN"/>
        </w:rPr>
        <w:t>，属于</w:t>
      </w:r>
      <w:r>
        <w:rPr>
          <w:rFonts w:hint="eastAsia" w:ascii="宋体" w:hAnsi="宋体" w:eastAsia="宋体" w:cs="Times New Roman"/>
          <w:b w:val="0"/>
          <w:bCs w:val="0"/>
          <w:sz w:val="24"/>
          <w:szCs w:val="24"/>
          <w:highlight w:val="none"/>
          <w:u w:val="single"/>
          <w:lang w:val="en-US" w:eastAsia="zh-CN"/>
        </w:rPr>
        <w:t>（所属行业）</w:t>
      </w:r>
      <w:r>
        <w:rPr>
          <w:rFonts w:hint="eastAsia" w:ascii="宋体" w:hAnsi="宋体" w:eastAsia="宋体" w:cs="Times New Roman"/>
          <w:b w:val="0"/>
          <w:bCs w:val="0"/>
          <w:sz w:val="24"/>
          <w:szCs w:val="24"/>
          <w:highlight w:val="none"/>
          <w:lang w:val="en-US" w:eastAsia="zh-CN"/>
        </w:rPr>
        <w:t>；承建（承接）企业为</w:t>
      </w:r>
      <w:r>
        <w:rPr>
          <w:rFonts w:hint="eastAsia" w:ascii="宋体" w:hAnsi="宋体" w:eastAsia="宋体" w:cs="Times New Roman"/>
          <w:b w:val="0"/>
          <w:bCs w:val="0"/>
          <w:sz w:val="24"/>
          <w:szCs w:val="24"/>
          <w:highlight w:val="none"/>
          <w:u w:val="single"/>
          <w:lang w:val="en-US" w:eastAsia="zh-CN"/>
        </w:rPr>
        <w:t>（企业名称）</w:t>
      </w:r>
      <w:r>
        <w:rPr>
          <w:rFonts w:hint="eastAsia" w:ascii="宋体" w:hAnsi="宋体" w:eastAsia="宋体" w:cs="Times New Roman"/>
          <w:b w:val="0"/>
          <w:bCs w:val="0"/>
          <w:sz w:val="24"/>
          <w:szCs w:val="24"/>
          <w:highlight w:val="none"/>
          <w:lang w:val="en-US" w:eastAsia="zh-CN"/>
        </w:rPr>
        <w:t>，从业人员</w:t>
      </w:r>
      <w:r>
        <w:rPr>
          <w:rFonts w:hint="eastAsia" w:ascii="宋体" w:hAnsi="宋体" w:eastAsia="宋体" w:cs="Times New Roman"/>
          <w:b w:val="0"/>
          <w:bCs w:val="0"/>
          <w:sz w:val="24"/>
          <w:szCs w:val="24"/>
          <w:highlight w:val="none"/>
          <w:u w:val="single"/>
          <w:lang w:val="en-US" w:eastAsia="zh-CN"/>
        </w:rPr>
        <w:t xml:space="preserve">   </w:t>
      </w:r>
      <w:r>
        <w:rPr>
          <w:rFonts w:hint="eastAsia" w:ascii="宋体" w:hAnsi="宋体" w:eastAsia="宋体" w:cs="Times New Roman"/>
          <w:b w:val="0"/>
          <w:bCs w:val="0"/>
          <w:sz w:val="24"/>
          <w:szCs w:val="24"/>
          <w:highlight w:val="none"/>
          <w:lang w:val="en-US" w:eastAsia="zh-CN"/>
        </w:rPr>
        <w:t>人，营业收入为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万元，资产总额为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万元，属于</w:t>
      </w:r>
      <w:r>
        <w:rPr>
          <w:rFonts w:hint="eastAsia" w:ascii="宋体" w:hAnsi="宋体" w:eastAsia="宋体" w:cs="Times New Roman"/>
          <w:b w:val="0"/>
          <w:bCs w:val="0"/>
          <w:sz w:val="24"/>
          <w:szCs w:val="24"/>
          <w:highlight w:val="none"/>
          <w:u w:val="single"/>
          <w:lang w:val="en-US" w:eastAsia="zh-CN"/>
        </w:rPr>
        <w:t>（中型企业、小型企业、微型企业）</w:t>
      </w:r>
      <w:r>
        <w:rPr>
          <w:rFonts w:hint="eastAsia" w:ascii="宋体" w:hAnsi="宋体" w:eastAsia="宋体" w:cs="Times New Roman"/>
          <w:b w:val="0"/>
          <w:bCs w:val="0"/>
          <w:sz w:val="24"/>
          <w:szCs w:val="24"/>
          <w:highlight w:val="none"/>
          <w:lang w:val="en-US" w:eastAsia="zh-CN"/>
        </w:rPr>
        <w:t>；</w:t>
      </w:r>
    </w:p>
    <w:p w14:paraId="1EF0CAA3">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20652DC6">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w:t>
      </w:r>
    </w:p>
    <w:p w14:paraId="704D7EC9">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以上企业，不属于大企业的分支机构，不存在控股股东为大企业的情形，也不存在与大企业的负责人为同一人的情形。</w:t>
      </w:r>
    </w:p>
    <w:p w14:paraId="2F0566B2">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本企业对上述声明内容的真实性负责。如有虚假，将依法承担相应责任。</w:t>
      </w:r>
    </w:p>
    <w:p w14:paraId="21287F3A">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2F458CD7">
      <w:pPr>
        <w:keepNext w:val="0"/>
        <w:keepLines w:val="0"/>
        <w:widowControl/>
        <w:suppressLineNumbers w:val="0"/>
        <w:jc w:val="left"/>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注：从业人员、营业收入、资产总额填报上一年度数据，无上一年度数据的新成立企业可不填报。</w:t>
      </w:r>
    </w:p>
    <w:p w14:paraId="03D56448">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504FC95E">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企业名称（盖章）：</w:t>
      </w:r>
    </w:p>
    <w:p w14:paraId="7D4BCB5B">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010F9B76">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 xml:space="preserve">日  期： </w:t>
      </w:r>
    </w:p>
    <w:p w14:paraId="57DF709A">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24A785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0FA3E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3AE89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F8505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11000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D4FADB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9C7ED58">
      <w:pPr>
        <w:pStyle w:val="5"/>
        <w:numPr>
          <w:ilvl w:val="0"/>
          <w:numId w:val="0"/>
        </w:numPr>
        <w:shd w:val="clear" w:color="auto" w:fill="auto"/>
        <w:spacing w:before="0" w:line="240" w:lineRule="atLeast"/>
        <w:jc w:val="both"/>
        <w:rPr>
          <w:rFonts w:hint="eastAsia" w:ascii="宋体" w:hAnsi="宋体" w:eastAsia="宋体" w:cs="Times New Roman"/>
          <w:b w:val="0"/>
          <w:bCs w:val="0"/>
          <w:kern w:val="2"/>
          <w:sz w:val="28"/>
          <w:szCs w:val="28"/>
          <w:highlight w:val="none"/>
          <w:lang w:val="en-US" w:eastAsia="zh-CN" w:bidi="ar-SA"/>
        </w:rPr>
      </w:pPr>
      <w:bookmarkStart w:id="61" w:name="_Toc1981"/>
      <w:r>
        <w:rPr>
          <w:rFonts w:hint="eastAsia" w:ascii="宋体" w:eastAsia="宋体" w:cs="Times New Roman"/>
          <w:b w:val="0"/>
          <w:bCs w:val="0"/>
          <w:kern w:val="2"/>
          <w:sz w:val="28"/>
          <w:szCs w:val="28"/>
          <w:highlight w:val="none"/>
          <w:lang w:val="en-US" w:eastAsia="zh-CN" w:bidi="ar-SA"/>
        </w:rPr>
        <w:t>10</w:t>
      </w:r>
      <w:r>
        <w:rPr>
          <w:rFonts w:hint="eastAsia" w:ascii="宋体" w:hAnsi="宋体" w:eastAsia="宋体" w:cs="Times New Roman"/>
          <w:b w:val="0"/>
          <w:bCs w:val="0"/>
          <w:kern w:val="2"/>
          <w:sz w:val="28"/>
          <w:szCs w:val="28"/>
          <w:highlight w:val="none"/>
          <w:lang w:val="en-US" w:eastAsia="zh-CN" w:bidi="ar-SA"/>
        </w:rPr>
        <w:t>、投标人关联单位的说明</w:t>
      </w:r>
      <w:bookmarkEnd w:id="61"/>
    </w:p>
    <w:p w14:paraId="70FACAA6">
      <w:pPr>
        <w:pStyle w:val="9"/>
        <w:shd w:val="clear" w:color="auto" w:fill="auto"/>
        <w:jc w:val="center"/>
        <w:rPr>
          <w:rFonts w:hint="eastAsia" w:ascii="宋体" w:hAnsi="宋体" w:eastAsia="宋体" w:cs="宋体"/>
          <w:color w:val="auto"/>
          <w:highlight w:val="none"/>
        </w:rPr>
      </w:pPr>
    </w:p>
    <w:p w14:paraId="318BE734">
      <w:pPr>
        <w:pStyle w:val="9"/>
        <w:shd w:val="clear" w:color="auto" w:fill="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说明：投标人应当如实披露与本单位存在下列关联关系的单位名称：</w:t>
      </w:r>
    </w:p>
    <w:p w14:paraId="6D1310D0">
      <w:pPr>
        <w:pStyle w:val="9"/>
        <w:shd w:val="clear" w:color="auto" w:fill="auto"/>
        <w:ind w:firstLine="960" w:firstLineChars="400"/>
        <w:rPr>
          <w:rFonts w:hint="eastAsia" w:ascii="宋体" w:hAnsi="宋体" w:eastAsia="宋体" w:cs="宋体"/>
          <w:color w:val="auto"/>
          <w:highlight w:val="none"/>
          <w:lang w:eastAsia="zh-CN"/>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与投标人单位负责人为同一人的其他单位；</w:t>
      </w:r>
    </w:p>
    <w:p w14:paraId="1107A8CD">
      <w:pPr>
        <w:pStyle w:val="9"/>
        <w:shd w:val="clear" w:color="auto" w:fill="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2</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与投标人存在直接控股、管理关系的其他单位。</w:t>
      </w:r>
    </w:p>
    <w:p w14:paraId="2117BD9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432DE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val="0"/>
          <w:bCs w:val="0"/>
          <w:sz w:val="28"/>
          <w:szCs w:val="28"/>
          <w:highlight w:val="none"/>
          <w:lang w:val="en-US" w:eastAsia="zh-CN"/>
        </w:rPr>
      </w:pPr>
    </w:p>
    <w:p w14:paraId="0907134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11</w:t>
      </w:r>
      <w:r>
        <w:rPr>
          <w:rFonts w:hint="default" w:ascii="宋体" w:hAnsi="宋体" w:eastAsia="宋体" w:cs="Times New Roman"/>
          <w:b w:val="0"/>
          <w:bCs w:val="0"/>
          <w:sz w:val="28"/>
          <w:szCs w:val="28"/>
          <w:highlight w:val="none"/>
          <w:lang w:val="en-US" w:eastAsia="zh-CN"/>
        </w:rPr>
        <w:t>、评分标准和细则中技术部分证明材料</w:t>
      </w:r>
    </w:p>
    <w:p w14:paraId="25F560B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EBBF2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说明：1.应提供</w:t>
      </w:r>
      <w:r>
        <w:rPr>
          <w:rFonts w:hint="default" w:ascii="宋体" w:hAnsi="宋体" w:eastAsia="宋体" w:cs="Times New Roman"/>
          <w:b w:val="0"/>
          <w:bCs w:val="0"/>
          <w:sz w:val="24"/>
          <w:szCs w:val="24"/>
          <w:highlight w:val="none"/>
          <w:u w:val="single"/>
          <w:lang w:val="en-US" w:eastAsia="zh-CN"/>
        </w:rPr>
        <w:t>评分标准和细则中技术部分</w:t>
      </w:r>
      <w:r>
        <w:rPr>
          <w:rFonts w:hint="default" w:ascii="宋体" w:hAnsi="宋体" w:eastAsia="宋体" w:cs="Times New Roman"/>
          <w:b w:val="0"/>
          <w:bCs w:val="0"/>
          <w:sz w:val="24"/>
          <w:szCs w:val="24"/>
          <w:highlight w:val="none"/>
          <w:lang w:val="en-US" w:eastAsia="zh-CN"/>
        </w:rPr>
        <w:t>要求的其他资格证明文件。</w:t>
      </w:r>
    </w:p>
    <w:p w14:paraId="3A0F138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2.复印件上应加盖本单位章（自然人投标的无需盖章，需要签字）。</w:t>
      </w:r>
    </w:p>
    <w:p w14:paraId="0E6BD12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eastAsia" w:ascii="宋体" w:hAnsi="宋体" w:eastAsia="宋体" w:cs="宋体"/>
          <w:b w:val="0"/>
          <w:bCs w:val="0"/>
          <w:color w:val="auto"/>
          <w:kern w:val="2"/>
          <w:sz w:val="24"/>
          <w:szCs w:val="20"/>
          <w:highlight w:val="none"/>
          <w:u w:val="none" w:color="000000"/>
          <w:lang w:val="en-US" w:eastAsia="zh-CN" w:bidi="ar-SA"/>
        </w:rPr>
        <w:t>3.（本项目不接受联合体）如果是联合体投标，联合体各方需提供的满足</w:t>
      </w:r>
      <w:r>
        <w:rPr>
          <w:rFonts w:hint="eastAsia" w:ascii="新宋体" w:hAnsi="新宋体" w:eastAsia="新宋体" w:cs="新宋体"/>
          <w:i w:val="0"/>
          <w:caps w:val="0"/>
          <w:color w:val="auto"/>
          <w:spacing w:val="0"/>
          <w:kern w:val="0"/>
          <w:sz w:val="24"/>
          <w:szCs w:val="24"/>
          <w:highlight w:val="none"/>
          <w:lang w:val="en-US" w:eastAsia="zh-CN"/>
        </w:rPr>
        <w:t>竞争性磋商</w:t>
      </w:r>
      <w:r>
        <w:rPr>
          <w:rFonts w:hint="eastAsia" w:ascii="宋体" w:hAnsi="宋体" w:eastAsia="宋体" w:cs="宋体"/>
          <w:b w:val="0"/>
          <w:bCs w:val="0"/>
          <w:color w:val="auto"/>
          <w:kern w:val="2"/>
          <w:sz w:val="24"/>
          <w:szCs w:val="20"/>
          <w:highlight w:val="none"/>
          <w:u w:val="none" w:color="000000"/>
          <w:lang w:val="en-US" w:eastAsia="zh-CN" w:bidi="ar-SA"/>
        </w:rPr>
        <w:t>文件要求的其他资格证明文件</w:t>
      </w:r>
    </w:p>
    <w:p w14:paraId="5EC85369">
      <w:pPr>
        <w:rPr>
          <w:rFonts w:hint="default" w:ascii="宋体" w:hAnsi="宋体" w:eastAsia="宋体" w:cs="Times New Roman"/>
          <w:b w:val="0"/>
          <w:bCs w:val="0"/>
          <w:sz w:val="28"/>
          <w:szCs w:val="28"/>
          <w:highlight w:val="none"/>
          <w:lang w:val="en-US" w:eastAsia="zh-CN"/>
        </w:rPr>
      </w:pPr>
    </w:p>
    <w:p w14:paraId="4C846075">
      <w:pPr>
        <w:pStyle w:val="36"/>
        <w:rPr>
          <w:rFonts w:hint="default"/>
          <w:lang w:val="en-US" w:eastAsia="zh-CN"/>
        </w:rPr>
      </w:pPr>
    </w:p>
    <w:p w14:paraId="524C78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eastAsia" w:ascii="宋体" w:hAnsi="宋体" w:cs="Times New Roman"/>
          <w:b w:val="0"/>
          <w:bCs w:val="0"/>
          <w:sz w:val="28"/>
          <w:szCs w:val="28"/>
          <w:highlight w:val="none"/>
          <w:lang w:val="en-US" w:eastAsia="zh-CN"/>
        </w:rPr>
        <w:t>12</w:t>
      </w:r>
      <w:r>
        <w:rPr>
          <w:rFonts w:hint="default" w:ascii="宋体" w:hAnsi="宋体" w:eastAsia="宋体" w:cs="Times New Roman"/>
          <w:b w:val="0"/>
          <w:bCs w:val="0"/>
          <w:sz w:val="28"/>
          <w:szCs w:val="28"/>
          <w:highlight w:val="none"/>
          <w:lang w:val="en-US" w:eastAsia="zh-CN"/>
        </w:rPr>
        <w:t>、评分标准和细则中商务部分证明材料（格式自拟）</w:t>
      </w:r>
    </w:p>
    <w:p w14:paraId="1D83DEE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6B2FD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说明：1.应提供</w:t>
      </w:r>
      <w:r>
        <w:rPr>
          <w:rFonts w:hint="default" w:ascii="宋体" w:hAnsi="宋体" w:eastAsia="宋体" w:cs="Times New Roman"/>
          <w:b w:val="0"/>
          <w:bCs w:val="0"/>
          <w:sz w:val="24"/>
          <w:szCs w:val="24"/>
          <w:highlight w:val="none"/>
          <w:u w:val="single"/>
          <w:lang w:val="en-US" w:eastAsia="zh-CN"/>
        </w:rPr>
        <w:t>评分标准和细则中商务部分</w:t>
      </w:r>
      <w:r>
        <w:rPr>
          <w:rFonts w:hint="default" w:ascii="宋体" w:hAnsi="宋体" w:eastAsia="宋体" w:cs="Times New Roman"/>
          <w:b w:val="0"/>
          <w:bCs w:val="0"/>
          <w:sz w:val="24"/>
          <w:szCs w:val="24"/>
          <w:highlight w:val="none"/>
          <w:lang w:val="en-US" w:eastAsia="zh-CN"/>
        </w:rPr>
        <w:t>要求的其他资格证明文件。</w:t>
      </w:r>
    </w:p>
    <w:p w14:paraId="6FB0556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2.复印件上应加盖本单位章（自然人投标的无需盖章，需要签字）。</w:t>
      </w:r>
    </w:p>
    <w:p w14:paraId="2DC6FE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eastAsia" w:ascii="宋体" w:hAnsi="宋体" w:eastAsia="宋体" w:cs="宋体"/>
          <w:b w:val="0"/>
          <w:bCs w:val="0"/>
          <w:color w:val="auto"/>
          <w:kern w:val="2"/>
          <w:sz w:val="24"/>
          <w:szCs w:val="20"/>
          <w:highlight w:val="none"/>
          <w:u w:val="none" w:color="000000"/>
          <w:lang w:val="en-US" w:eastAsia="zh-CN" w:bidi="ar-SA"/>
        </w:rPr>
        <w:t>3.（本项目不接受联合体）如果是联合体投标，联合体各方需提供的满足</w:t>
      </w:r>
      <w:r>
        <w:rPr>
          <w:rFonts w:hint="eastAsia" w:ascii="新宋体" w:hAnsi="新宋体" w:eastAsia="新宋体" w:cs="新宋体"/>
          <w:i w:val="0"/>
          <w:caps w:val="0"/>
          <w:color w:val="auto"/>
          <w:spacing w:val="0"/>
          <w:kern w:val="0"/>
          <w:sz w:val="24"/>
          <w:szCs w:val="24"/>
          <w:highlight w:val="none"/>
          <w:lang w:val="en-US" w:eastAsia="zh-CN"/>
        </w:rPr>
        <w:t>竞争性磋商</w:t>
      </w:r>
      <w:r>
        <w:rPr>
          <w:rFonts w:hint="eastAsia" w:ascii="宋体" w:hAnsi="宋体" w:eastAsia="宋体" w:cs="宋体"/>
          <w:b w:val="0"/>
          <w:bCs w:val="0"/>
          <w:color w:val="auto"/>
          <w:kern w:val="2"/>
          <w:sz w:val="24"/>
          <w:szCs w:val="20"/>
          <w:highlight w:val="none"/>
          <w:u w:val="none" w:color="000000"/>
          <w:lang w:val="en-US" w:eastAsia="zh-CN" w:bidi="ar-SA"/>
        </w:rPr>
        <w:t>文件要求的其他资格证明文件</w:t>
      </w:r>
    </w:p>
    <w:p w14:paraId="1605FC4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91D0C44">
      <w:pPr>
        <w:pStyle w:val="36"/>
        <w:rPr>
          <w:rFonts w:hint="default" w:ascii="宋体" w:hAnsi="宋体" w:eastAsia="宋体" w:cs="Times New Roman"/>
          <w:b w:val="0"/>
          <w:bCs w:val="0"/>
          <w:sz w:val="24"/>
          <w:szCs w:val="24"/>
          <w:highlight w:val="none"/>
          <w:lang w:val="en-US" w:eastAsia="zh-CN"/>
        </w:rPr>
      </w:pPr>
    </w:p>
    <w:p w14:paraId="1832F5B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p>
    <w:p w14:paraId="77C83FA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r>
        <w:rPr>
          <w:rFonts w:hint="default" w:ascii="宋体" w:hAnsi="宋体" w:eastAsia="宋体" w:cs="Times New Roman"/>
          <w:b w:val="0"/>
          <w:bCs w:val="0"/>
          <w:sz w:val="28"/>
          <w:szCs w:val="28"/>
          <w:highlight w:val="none"/>
          <w:lang w:val="en-US" w:eastAsia="zh-CN"/>
        </w:rPr>
        <w:t>1</w:t>
      </w:r>
      <w:r>
        <w:rPr>
          <w:rFonts w:hint="eastAsia" w:ascii="宋体" w:hAnsi="宋体" w:cs="Times New Roman"/>
          <w:b w:val="0"/>
          <w:bCs w:val="0"/>
          <w:sz w:val="28"/>
          <w:szCs w:val="28"/>
          <w:highlight w:val="none"/>
          <w:lang w:val="en-US" w:eastAsia="zh-CN"/>
        </w:rPr>
        <w:t>3</w:t>
      </w:r>
      <w:r>
        <w:rPr>
          <w:rFonts w:hint="default" w:ascii="宋体" w:hAnsi="宋体" w:eastAsia="宋体" w:cs="Times New Roman"/>
          <w:b w:val="0"/>
          <w:bCs w:val="0"/>
          <w:sz w:val="28"/>
          <w:szCs w:val="28"/>
          <w:highlight w:val="none"/>
          <w:lang w:val="en-US" w:eastAsia="zh-CN"/>
        </w:rPr>
        <w:t>、投标人认为有必要提供的其他证明材料（格式自拟）</w:t>
      </w:r>
    </w:p>
    <w:p w14:paraId="2EAAAF35">
      <w:pPr>
        <w:pStyle w:val="15"/>
        <w:shd w:val="clear" w:color="auto" w:fill="auto"/>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说明：1.复印件上应加盖本单位章（自然人投标的无需盖章，需要签字）。</w:t>
      </w:r>
    </w:p>
    <w:p w14:paraId="5B107ADD">
      <w:pPr>
        <w:pStyle w:val="15"/>
        <w:shd w:val="clear" w:color="auto" w:fill="auto"/>
        <w:tabs>
          <w:tab w:val="left" w:pos="5580"/>
        </w:tabs>
        <w:spacing w:line="360" w:lineRule="auto"/>
        <w:ind w:left="718" w:leftChars="342" w:firstLine="0" w:firstLineChars="0"/>
        <w:rPr>
          <w:rFonts w:hint="eastAsia" w:ascii="宋体" w:hAnsi="宋体" w:eastAsia="宋体" w:cs="宋体"/>
          <w:b/>
          <w:bCs/>
          <w:color w:val="auto"/>
          <w:sz w:val="36"/>
          <w:szCs w:val="36"/>
          <w:highlight w:val="none"/>
        </w:rPr>
      </w:pPr>
      <w:r>
        <w:rPr>
          <w:rFonts w:hint="eastAsia" w:ascii="宋体" w:hAnsi="宋体" w:eastAsia="宋体" w:cs="宋体"/>
          <w:b w:val="0"/>
          <w:bCs w:val="0"/>
          <w:color w:val="auto"/>
          <w:kern w:val="2"/>
          <w:sz w:val="24"/>
          <w:szCs w:val="20"/>
          <w:highlight w:val="none"/>
          <w:u w:val="none" w:color="000000"/>
          <w:lang w:val="en-US" w:eastAsia="zh-CN" w:bidi="ar-SA"/>
        </w:rPr>
        <w:t>2.（本项目不接受联合体）如果是联合体投标，联合体各方需提供的满足</w:t>
      </w:r>
      <w:r>
        <w:rPr>
          <w:rFonts w:hint="eastAsia" w:ascii="新宋体" w:hAnsi="新宋体" w:eastAsia="新宋体" w:cs="新宋体"/>
          <w:i w:val="0"/>
          <w:caps w:val="0"/>
          <w:color w:val="auto"/>
          <w:spacing w:val="0"/>
          <w:kern w:val="0"/>
          <w:sz w:val="24"/>
          <w:szCs w:val="24"/>
          <w:highlight w:val="none"/>
          <w:lang w:val="en-US" w:eastAsia="zh-CN"/>
        </w:rPr>
        <w:t>竞争性磋商</w:t>
      </w:r>
      <w:r>
        <w:rPr>
          <w:rFonts w:hint="eastAsia" w:ascii="宋体" w:hAnsi="宋体" w:eastAsia="宋体" w:cs="宋体"/>
          <w:b w:val="0"/>
          <w:bCs w:val="0"/>
          <w:color w:val="auto"/>
          <w:kern w:val="2"/>
          <w:sz w:val="24"/>
          <w:szCs w:val="20"/>
          <w:highlight w:val="none"/>
          <w:u w:val="none" w:color="000000"/>
          <w:lang w:val="en-US" w:eastAsia="zh-CN" w:bidi="ar-SA"/>
        </w:rPr>
        <w:t>文件要求的其他资格证明文件。</w:t>
      </w:r>
    </w:p>
    <w:p w14:paraId="72139F9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sectPr>
      <w:headerReference r:id="rId6" w:type="default"/>
      <w:footerReference r:id="rId7" w:type="default"/>
      <w:pgSz w:w="11906" w:h="16838"/>
      <w:pgMar w:top="1417" w:right="1361" w:bottom="1417" w:left="1361" w:header="1134"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_x000B__x000C_">
    <w:altName w:val="Courier New"/>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方正仿宋_GB2312">
    <w:panose1 w:val="02000000000000000000"/>
    <w:charset w:val="86"/>
    <w:family w:val="auto"/>
    <w:pitch w:val="default"/>
    <w:sig w:usb0="A00002BF" w:usb1="184F6CFA" w:usb2="00000012"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557B">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DD403">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06FDE">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0C50F">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70C50F">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E874">
    <w:pPr>
      <w:pStyle w:val="18"/>
      <w:pBdr>
        <w:bottom w:val="none" w:color="auto" w:sz="0" w:space="1"/>
      </w:pBdr>
      <w:ind w:left="5280" w:hanging="5280" w:hangingChars="2400"/>
      <w:rPr>
        <w:rFonts w:hint="default" w:eastAsia="宋体"/>
        <w:lang w:val="en-US" w:eastAsia="zh-CN"/>
      </w:rPr>
    </w:pPr>
    <w:r>
      <w:rPr>
        <w:rFonts w:hint="eastAsia" w:ascii="仿宋" w:hAnsi="仿宋" w:eastAsia="仿宋" w:cs="仿宋"/>
        <w:b w:val="0"/>
        <w:bCs w:val="0"/>
        <w:sz w:val="22"/>
        <w:szCs w:val="36"/>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5CC54">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B67502"/>
    <w:multiLevelType w:val="singleLevel"/>
    <w:tmpl w:val="C3B67502"/>
    <w:lvl w:ilvl="0" w:tentative="0">
      <w:start w:val="1"/>
      <w:numFmt w:val="decimal"/>
      <w:lvlText w:val="(%1)"/>
      <w:lvlJc w:val="left"/>
      <w:pPr>
        <w:tabs>
          <w:tab w:val="left" w:pos="312"/>
        </w:tabs>
      </w:pPr>
    </w:lvl>
  </w:abstractNum>
  <w:abstractNum w:abstractNumId="1">
    <w:nsid w:val="DCF445F0"/>
    <w:multiLevelType w:val="singleLevel"/>
    <w:tmpl w:val="DCF445F0"/>
    <w:lvl w:ilvl="0" w:tentative="0">
      <w:start w:val="6"/>
      <w:numFmt w:val="decimal"/>
      <w:lvlText w:val="%1."/>
      <w:lvlJc w:val="left"/>
      <w:pPr>
        <w:tabs>
          <w:tab w:val="left" w:pos="312"/>
        </w:tabs>
      </w:pPr>
    </w:lvl>
  </w:abstractNum>
  <w:abstractNum w:abstractNumId="2">
    <w:nsid w:val="00000000"/>
    <w:multiLevelType w:val="multilevel"/>
    <w:tmpl w:val="0000000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3">
    <w:nsid w:val="00000001"/>
    <w:multiLevelType w:val="singleLevel"/>
    <w:tmpl w:val="00000001"/>
    <w:lvl w:ilvl="0" w:tentative="0">
      <w:start w:val="1"/>
      <w:numFmt w:val="chineseCounting"/>
      <w:suff w:val="nothing"/>
      <w:lvlText w:val="%1、"/>
      <w:lvlJc w:val="left"/>
    </w:lvl>
  </w:abstractNum>
  <w:abstractNum w:abstractNumId="4">
    <w:nsid w:val="00000002"/>
    <w:multiLevelType w:val="multilevel"/>
    <w:tmpl w:val="00000002"/>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5">
    <w:nsid w:val="4533AF4D"/>
    <w:multiLevelType w:val="singleLevel"/>
    <w:tmpl w:val="4533AF4D"/>
    <w:lvl w:ilvl="0" w:tentative="0">
      <w:start w:val="1"/>
      <w:numFmt w:val="decimal"/>
      <w:pStyle w:val="16"/>
      <w:lvlText w:val="%1."/>
      <w:lvlJc w:val="left"/>
      <w:pPr>
        <w:tabs>
          <w:tab w:val="left" w:pos="2040"/>
        </w:tabs>
        <w:ind w:left="2040" w:hanging="36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1ZWMzYmVhOTE1NDRmZDc5Y2RmYmQ1NjEwMzBiNGYifQ=="/>
  </w:docVars>
  <w:rsids>
    <w:rsidRoot w:val="00000000"/>
    <w:rsid w:val="00726B2C"/>
    <w:rsid w:val="009B4E6A"/>
    <w:rsid w:val="012670EA"/>
    <w:rsid w:val="01D54D19"/>
    <w:rsid w:val="025F5928"/>
    <w:rsid w:val="02BA6D6B"/>
    <w:rsid w:val="02C92423"/>
    <w:rsid w:val="030A5F96"/>
    <w:rsid w:val="032C59CB"/>
    <w:rsid w:val="037C7838"/>
    <w:rsid w:val="042B48B0"/>
    <w:rsid w:val="04683FAF"/>
    <w:rsid w:val="05816D3C"/>
    <w:rsid w:val="059B1E55"/>
    <w:rsid w:val="05F63A97"/>
    <w:rsid w:val="064E67EE"/>
    <w:rsid w:val="07000291"/>
    <w:rsid w:val="07205265"/>
    <w:rsid w:val="07B10C79"/>
    <w:rsid w:val="07C66F31"/>
    <w:rsid w:val="07F27D26"/>
    <w:rsid w:val="090B3DF0"/>
    <w:rsid w:val="0A522D0B"/>
    <w:rsid w:val="0A8E4978"/>
    <w:rsid w:val="0B972584"/>
    <w:rsid w:val="0C9B0780"/>
    <w:rsid w:val="0CBB2DDD"/>
    <w:rsid w:val="0D605732"/>
    <w:rsid w:val="0D992E29"/>
    <w:rsid w:val="0DC31E02"/>
    <w:rsid w:val="0E0B2798"/>
    <w:rsid w:val="0E9F5AA7"/>
    <w:rsid w:val="0F951969"/>
    <w:rsid w:val="0FA45A92"/>
    <w:rsid w:val="0FAB5B3E"/>
    <w:rsid w:val="0FBC3147"/>
    <w:rsid w:val="10D1490E"/>
    <w:rsid w:val="11756DD4"/>
    <w:rsid w:val="12437AFC"/>
    <w:rsid w:val="12A7355D"/>
    <w:rsid w:val="12E52961"/>
    <w:rsid w:val="13496C75"/>
    <w:rsid w:val="13734FBC"/>
    <w:rsid w:val="140317FD"/>
    <w:rsid w:val="145923F1"/>
    <w:rsid w:val="14AC6DAA"/>
    <w:rsid w:val="14B54541"/>
    <w:rsid w:val="14FA10DA"/>
    <w:rsid w:val="153D72BB"/>
    <w:rsid w:val="1584682B"/>
    <w:rsid w:val="16303B4C"/>
    <w:rsid w:val="167678DF"/>
    <w:rsid w:val="16806AF2"/>
    <w:rsid w:val="17092996"/>
    <w:rsid w:val="17A032FB"/>
    <w:rsid w:val="17ED05CD"/>
    <w:rsid w:val="17FA5103"/>
    <w:rsid w:val="191E3A64"/>
    <w:rsid w:val="1A553467"/>
    <w:rsid w:val="1AB00FE7"/>
    <w:rsid w:val="1ACF6520"/>
    <w:rsid w:val="1AE1365C"/>
    <w:rsid w:val="1B0E2DEF"/>
    <w:rsid w:val="1B341A3A"/>
    <w:rsid w:val="1BAE234A"/>
    <w:rsid w:val="1C273FEB"/>
    <w:rsid w:val="1C5D5C5E"/>
    <w:rsid w:val="1C672639"/>
    <w:rsid w:val="1C7B2AD9"/>
    <w:rsid w:val="1C882160"/>
    <w:rsid w:val="1C8D59CF"/>
    <w:rsid w:val="1D1F510D"/>
    <w:rsid w:val="1D8B38F9"/>
    <w:rsid w:val="1DAD5FFC"/>
    <w:rsid w:val="1DF03AFD"/>
    <w:rsid w:val="1E3173A3"/>
    <w:rsid w:val="1E462178"/>
    <w:rsid w:val="1E4C6533"/>
    <w:rsid w:val="1F4F47FA"/>
    <w:rsid w:val="1F927F27"/>
    <w:rsid w:val="1FB0364E"/>
    <w:rsid w:val="1FB2006F"/>
    <w:rsid w:val="21535882"/>
    <w:rsid w:val="216B3AFE"/>
    <w:rsid w:val="22B365D8"/>
    <w:rsid w:val="22D004AE"/>
    <w:rsid w:val="232F5177"/>
    <w:rsid w:val="245F5B07"/>
    <w:rsid w:val="24EC1E2B"/>
    <w:rsid w:val="250C1FD0"/>
    <w:rsid w:val="267B5BC2"/>
    <w:rsid w:val="27AC0349"/>
    <w:rsid w:val="27EF66EA"/>
    <w:rsid w:val="2A1D799A"/>
    <w:rsid w:val="2A4414D1"/>
    <w:rsid w:val="2A6F7E54"/>
    <w:rsid w:val="2AB949A8"/>
    <w:rsid w:val="2B9E594C"/>
    <w:rsid w:val="2BDE3F9A"/>
    <w:rsid w:val="2BE12008"/>
    <w:rsid w:val="2C896FC4"/>
    <w:rsid w:val="2CCB2770"/>
    <w:rsid w:val="2CFE5640"/>
    <w:rsid w:val="2D7E3259"/>
    <w:rsid w:val="2DBE60CA"/>
    <w:rsid w:val="2DE52537"/>
    <w:rsid w:val="2E143B0E"/>
    <w:rsid w:val="2E2874D1"/>
    <w:rsid w:val="2EB744D4"/>
    <w:rsid w:val="2F5A237D"/>
    <w:rsid w:val="316C2512"/>
    <w:rsid w:val="326E14A6"/>
    <w:rsid w:val="32EB2FAE"/>
    <w:rsid w:val="330B11A1"/>
    <w:rsid w:val="338E0757"/>
    <w:rsid w:val="34110366"/>
    <w:rsid w:val="348E47AF"/>
    <w:rsid w:val="34CE205D"/>
    <w:rsid w:val="351F5D4F"/>
    <w:rsid w:val="36A22794"/>
    <w:rsid w:val="37DE3EDF"/>
    <w:rsid w:val="381A6C57"/>
    <w:rsid w:val="384751F1"/>
    <w:rsid w:val="38883C0B"/>
    <w:rsid w:val="38CB62E1"/>
    <w:rsid w:val="39211310"/>
    <w:rsid w:val="394A21F0"/>
    <w:rsid w:val="3950163F"/>
    <w:rsid w:val="39BE5EDC"/>
    <w:rsid w:val="39EA7CAC"/>
    <w:rsid w:val="3A976D7F"/>
    <w:rsid w:val="3B8345CB"/>
    <w:rsid w:val="3B8E2C18"/>
    <w:rsid w:val="3BD4119F"/>
    <w:rsid w:val="3C166BF1"/>
    <w:rsid w:val="3D06742D"/>
    <w:rsid w:val="3DB4291C"/>
    <w:rsid w:val="3EA370A9"/>
    <w:rsid w:val="3EB71A99"/>
    <w:rsid w:val="3EFE3E0F"/>
    <w:rsid w:val="3FC471B5"/>
    <w:rsid w:val="40093884"/>
    <w:rsid w:val="40490EEE"/>
    <w:rsid w:val="408D131B"/>
    <w:rsid w:val="41051855"/>
    <w:rsid w:val="41247A5B"/>
    <w:rsid w:val="41911D83"/>
    <w:rsid w:val="423604FB"/>
    <w:rsid w:val="42404F08"/>
    <w:rsid w:val="42665581"/>
    <w:rsid w:val="42AC04F6"/>
    <w:rsid w:val="42D01C48"/>
    <w:rsid w:val="42E06CB8"/>
    <w:rsid w:val="43914740"/>
    <w:rsid w:val="43E462A6"/>
    <w:rsid w:val="44AB7B4E"/>
    <w:rsid w:val="450E54C7"/>
    <w:rsid w:val="461A78E6"/>
    <w:rsid w:val="470E1780"/>
    <w:rsid w:val="473F1817"/>
    <w:rsid w:val="480706A9"/>
    <w:rsid w:val="482D40E4"/>
    <w:rsid w:val="48C90054"/>
    <w:rsid w:val="48D42189"/>
    <w:rsid w:val="48E17284"/>
    <w:rsid w:val="494B11B7"/>
    <w:rsid w:val="4B2C6AD7"/>
    <w:rsid w:val="4BC06985"/>
    <w:rsid w:val="4BED6EE0"/>
    <w:rsid w:val="4C8C1137"/>
    <w:rsid w:val="4C95727A"/>
    <w:rsid w:val="4DAF24C1"/>
    <w:rsid w:val="4DDF4583"/>
    <w:rsid w:val="4E04568A"/>
    <w:rsid w:val="4E5752B5"/>
    <w:rsid w:val="4E5F1791"/>
    <w:rsid w:val="4E69037A"/>
    <w:rsid w:val="4FB355BA"/>
    <w:rsid w:val="4FFC2ABD"/>
    <w:rsid w:val="500E1F40"/>
    <w:rsid w:val="51325E4F"/>
    <w:rsid w:val="51555A52"/>
    <w:rsid w:val="52C87EB8"/>
    <w:rsid w:val="533D7674"/>
    <w:rsid w:val="536270DB"/>
    <w:rsid w:val="53DB6E8D"/>
    <w:rsid w:val="55A10391"/>
    <w:rsid w:val="55BD4A9D"/>
    <w:rsid w:val="563B5030"/>
    <w:rsid w:val="57DF2089"/>
    <w:rsid w:val="598A0DCA"/>
    <w:rsid w:val="599E22B6"/>
    <w:rsid w:val="5A731410"/>
    <w:rsid w:val="5AFC7188"/>
    <w:rsid w:val="5B2A713A"/>
    <w:rsid w:val="5B673A98"/>
    <w:rsid w:val="5BEE03FD"/>
    <w:rsid w:val="5C40389C"/>
    <w:rsid w:val="5D5C7A80"/>
    <w:rsid w:val="5E1F1741"/>
    <w:rsid w:val="5EAF7AFC"/>
    <w:rsid w:val="5ECE3876"/>
    <w:rsid w:val="5F506DA6"/>
    <w:rsid w:val="5F5E2F7D"/>
    <w:rsid w:val="5FD60361"/>
    <w:rsid w:val="609509F2"/>
    <w:rsid w:val="61E617C3"/>
    <w:rsid w:val="62031318"/>
    <w:rsid w:val="62492414"/>
    <w:rsid w:val="62FD0BCE"/>
    <w:rsid w:val="633640E0"/>
    <w:rsid w:val="636649C5"/>
    <w:rsid w:val="636743C6"/>
    <w:rsid w:val="64033FC2"/>
    <w:rsid w:val="64463AF2"/>
    <w:rsid w:val="64502F80"/>
    <w:rsid w:val="647B1BF1"/>
    <w:rsid w:val="64AE60D7"/>
    <w:rsid w:val="64DA124F"/>
    <w:rsid w:val="650F67D5"/>
    <w:rsid w:val="65B15B2C"/>
    <w:rsid w:val="65EB1922"/>
    <w:rsid w:val="65FB46E6"/>
    <w:rsid w:val="66276157"/>
    <w:rsid w:val="67670EBA"/>
    <w:rsid w:val="67BC6C68"/>
    <w:rsid w:val="67E42FEE"/>
    <w:rsid w:val="683A2EDF"/>
    <w:rsid w:val="68B43ADD"/>
    <w:rsid w:val="68F03ABC"/>
    <w:rsid w:val="691B1D52"/>
    <w:rsid w:val="69F8147B"/>
    <w:rsid w:val="6A4316AC"/>
    <w:rsid w:val="6AA87672"/>
    <w:rsid w:val="6ACA155E"/>
    <w:rsid w:val="6AE368FC"/>
    <w:rsid w:val="6B0058C9"/>
    <w:rsid w:val="6B3B04F7"/>
    <w:rsid w:val="6B8C0D41"/>
    <w:rsid w:val="6BB243A2"/>
    <w:rsid w:val="6BE06E9A"/>
    <w:rsid w:val="6C5917E0"/>
    <w:rsid w:val="6C824C01"/>
    <w:rsid w:val="6CD62F24"/>
    <w:rsid w:val="6CF3094C"/>
    <w:rsid w:val="6D0C00A4"/>
    <w:rsid w:val="6D45564C"/>
    <w:rsid w:val="6D47244C"/>
    <w:rsid w:val="6D561607"/>
    <w:rsid w:val="6D5D6899"/>
    <w:rsid w:val="6D9143F6"/>
    <w:rsid w:val="6D987188"/>
    <w:rsid w:val="6D990E2A"/>
    <w:rsid w:val="6DE75249"/>
    <w:rsid w:val="6DEE1649"/>
    <w:rsid w:val="6DF40E20"/>
    <w:rsid w:val="6DFD41FB"/>
    <w:rsid w:val="6EC407F2"/>
    <w:rsid w:val="6EE04779"/>
    <w:rsid w:val="6F184A7E"/>
    <w:rsid w:val="6F554EBD"/>
    <w:rsid w:val="709128FE"/>
    <w:rsid w:val="709A3F00"/>
    <w:rsid w:val="70A251FA"/>
    <w:rsid w:val="714D1E91"/>
    <w:rsid w:val="716360A0"/>
    <w:rsid w:val="71CC1E85"/>
    <w:rsid w:val="729C3F60"/>
    <w:rsid w:val="730170F3"/>
    <w:rsid w:val="73965F9C"/>
    <w:rsid w:val="73CB0288"/>
    <w:rsid w:val="74B932F3"/>
    <w:rsid w:val="74EB4BD7"/>
    <w:rsid w:val="751E4A61"/>
    <w:rsid w:val="758D7B90"/>
    <w:rsid w:val="75FF087E"/>
    <w:rsid w:val="765B136C"/>
    <w:rsid w:val="77823DB1"/>
    <w:rsid w:val="7849395D"/>
    <w:rsid w:val="78747EB2"/>
    <w:rsid w:val="78B10728"/>
    <w:rsid w:val="792E3438"/>
    <w:rsid w:val="799D06A3"/>
    <w:rsid w:val="7A144516"/>
    <w:rsid w:val="7B527202"/>
    <w:rsid w:val="7B54754B"/>
    <w:rsid w:val="7B5B0730"/>
    <w:rsid w:val="7B6830BF"/>
    <w:rsid w:val="7BA4768F"/>
    <w:rsid w:val="7BDA58A8"/>
    <w:rsid w:val="7DCC1471"/>
    <w:rsid w:val="7EEA0AA6"/>
    <w:rsid w:val="7F191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4">
    <w:name w:val="heading 1"/>
    <w:basedOn w:val="1"/>
    <w:next w:val="1"/>
    <w:qFormat/>
    <w:uiPriority w:val="0"/>
    <w:pPr>
      <w:keepNext/>
      <w:keepLines/>
      <w:spacing w:beforeLines="0" w:beforeAutospacing="0" w:afterLines="0" w:afterAutospacing="0" w:line="360" w:lineRule="auto"/>
      <w:jc w:val="center"/>
      <w:outlineLvl w:val="0"/>
    </w:pPr>
    <w:rPr>
      <w:rFonts w:ascii="Times New Roman" w:hAnsi="Times New Roman" w:eastAsia="宋体"/>
      <w:b/>
      <w:kern w:val="44"/>
      <w:sz w:val="44"/>
    </w:rPr>
  </w:style>
  <w:style w:type="paragraph" w:styleId="5">
    <w:name w:val="heading 2"/>
    <w:basedOn w:val="1"/>
    <w:next w:val="1"/>
    <w:qFormat/>
    <w:uiPriority w:val="0"/>
    <w:pPr>
      <w:keepNext/>
      <w:widowControl w:val="0"/>
      <w:spacing w:line="200" w:lineRule="exact"/>
      <w:jc w:val="center"/>
      <w:outlineLvl w:val="1"/>
    </w:pPr>
    <w:rPr>
      <w:rFonts w:ascii="仿宋" w:hAnsi="宋体" w:eastAsia="仿宋" w:cs="Times New Roman"/>
      <w:b/>
      <w:kern w:val="0"/>
      <w:sz w:val="20"/>
      <w:lang w:val="en-US" w:eastAsia="zh-CN" w:bidi="ar-SA"/>
    </w:rPr>
  </w:style>
  <w:style w:type="paragraph" w:styleId="6">
    <w:name w:val="heading 3"/>
    <w:basedOn w:val="1"/>
    <w:next w:val="1"/>
    <w:unhideWhenUsed/>
    <w:qFormat/>
    <w:uiPriority w:val="0"/>
    <w:pPr>
      <w:keepNext/>
      <w:keepLines/>
      <w:spacing w:beforeLines="0" w:beforeAutospacing="0" w:afterLines="0" w:afterAutospacing="0" w:line="240" w:lineRule="auto"/>
      <w:jc w:val="center"/>
      <w:outlineLvl w:val="2"/>
    </w:pPr>
    <w:rPr>
      <w:rFonts w:ascii="Times New Roman" w:hAnsi="Times New Roman" w:eastAsia="宋体"/>
      <w:b/>
      <w:sz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8">
    <w:name w:val="heading 5"/>
    <w:basedOn w:val="1"/>
    <w:next w:val="1"/>
    <w:qFormat/>
    <w:uiPriority w:val="0"/>
    <w:pPr>
      <w:keepNext/>
      <w:keepLines/>
      <w:spacing w:before="280" w:after="290" w:line="376" w:lineRule="auto"/>
      <w:outlineLvl w:val="4"/>
    </w:pPr>
    <w:rPr>
      <w:b/>
      <w:bCs/>
      <w:sz w:val="28"/>
      <w:szCs w:val="28"/>
    </w:rPr>
  </w:style>
  <w:style w:type="character" w:default="1" w:styleId="30">
    <w:name w:val="Default Paragraph Font"/>
    <w:qFormat/>
    <w:uiPriority w:val="0"/>
  </w:style>
  <w:style w:type="table" w:default="1" w:styleId="28">
    <w:name w:val="Normal Table"/>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_Style 2"/>
    <w:next w:val="1"/>
    <w:qFormat/>
    <w:uiPriority w:val="0"/>
    <w:pPr>
      <w:widowControl w:val="0"/>
      <w:ind w:firstLine="200" w:firstLineChars="200"/>
      <w:jc w:val="both"/>
    </w:pPr>
    <w:rPr>
      <w:rFonts w:ascii="Calibri" w:hAnsi="Calibri" w:eastAsia="宋体" w:cs="Times New Roman"/>
      <w:kern w:val="2"/>
      <w:sz w:val="28"/>
      <w:szCs w:val="22"/>
      <w:lang w:val="en-US" w:eastAsia="zh-CN" w:bidi="ar-SA"/>
    </w:rPr>
  </w:style>
  <w:style w:type="paragraph" w:styleId="9">
    <w:name w:val="Normal Indent"/>
    <w:basedOn w:val="1"/>
    <w:next w:val="1"/>
    <w:qFormat/>
    <w:uiPriority w:val="0"/>
    <w:pPr>
      <w:widowControl w:val="0"/>
      <w:adjustRightInd w:val="0"/>
      <w:spacing w:line="360" w:lineRule="atLeast"/>
      <w:ind w:firstLine="482"/>
      <w:jc w:val="both"/>
      <w:textAlignment w:val="baseline"/>
    </w:pPr>
    <w:rPr>
      <w:rFonts w:ascii="Times New Roman" w:hAnsi="Times New Roman" w:eastAsia="宋体" w:cs="Times New Roman"/>
      <w:kern w:val="0"/>
      <w:sz w:val="24"/>
      <w:szCs w:val="20"/>
      <w:lang w:val="en-US" w:eastAsia="zh-CN" w:bidi="ar-SA"/>
    </w:rPr>
  </w:style>
  <w:style w:type="paragraph" w:styleId="10">
    <w:name w:val="toa heading"/>
    <w:next w:val="1"/>
    <w:qFormat/>
    <w:uiPriority w:val="0"/>
    <w:pPr>
      <w:widowControl w:val="0"/>
      <w:autoSpaceDE w:val="0"/>
      <w:autoSpaceDN w:val="0"/>
      <w:adjustRightInd w:val="0"/>
      <w:snapToGrid w:val="0"/>
      <w:spacing w:before="120" w:line="360" w:lineRule="auto"/>
      <w:jc w:val="both"/>
    </w:pPr>
    <w:rPr>
      <w:rFonts w:ascii="Arial" w:hAnsi="Arial" w:eastAsia="宋体" w:cs="Times New Roman"/>
      <w:snapToGrid w:val="0"/>
      <w:color w:val="000000"/>
      <w:kern w:val="0"/>
      <w:sz w:val="21"/>
      <w:szCs w:val="20"/>
      <w:lang w:val="en-US" w:eastAsia="zh-CN" w:bidi="ar-SA"/>
    </w:rPr>
  </w:style>
  <w:style w:type="paragraph" w:styleId="11">
    <w:name w:val="annotation text"/>
    <w:basedOn w:val="1"/>
    <w:qFormat/>
    <w:uiPriority w:val="0"/>
    <w:pPr>
      <w:jc w:val="left"/>
    </w:pPr>
  </w:style>
  <w:style w:type="paragraph" w:styleId="12">
    <w:name w:val="Body Text Indent"/>
    <w:basedOn w:val="1"/>
    <w:next w:val="1"/>
    <w:qFormat/>
    <w:uiPriority w:val="0"/>
    <w:pPr>
      <w:widowControl w:val="0"/>
      <w:spacing w:line="420" w:lineRule="exact"/>
      <w:ind w:firstLine="480" w:firstLineChars="200"/>
      <w:jc w:val="both"/>
    </w:pPr>
    <w:rPr>
      <w:rFonts w:ascii="宋体" w:hAnsi="宋体" w:eastAsia="宋体" w:cs="Times New Roman"/>
      <w:kern w:val="0"/>
      <w:sz w:val="24"/>
      <w:lang w:val="en-US" w:eastAsia="zh-CN" w:bidi="ar-SA"/>
    </w:rPr>
  </w:style>
  <w:style w:type="paragraph" w:styleId="13">
    <w:name w:val="toc 5"/>
    <w:basedOn w:val="1"/>
    <w:next w:val="1"/>
    <w:qFormat/>
    <w:uiPriority w:val="0"/>
    <w:pPr>
      <w:ind w:left="1680" w:leftChars="800"/>
    </w:pPr>
  </w:style>
  <w:style w:type="paragraph" w:styleId="14">
    <w:name w:val="toc 3"/>
    <w:basedOn w:val="1"/>
    <w:next w:val="1"/>
    <w:qFormat/>
    <w:uiPriority w:val="0"/>
    <w:pPr>
      <w:ind w:left="840" w:leftChars="400"/>
    </w:pPr>
  </w:style>
  <w:style w:type="paragraph" w:styleId="15">
    <w:name w:val="Plain Text"/>
    <w:basedOn w:val="1"/>
    <w:next w:val="16"/>
    <w:qFormat/>
    <w:uiPriority w:val="0"/>
    <w:pPr>
      <w:widowControl w:val="0"/>
      <w:jc w:val="both"/>
    </w:pPr>
    <w:rPr>
      <w:rFonts w:ascii="宋体" w:hAnsi="Times New Roman" w:eastAsia="宋体" w:cs="Times New Roman"/>
      <w:color w:val="000000"/>
      <w:kern w:val="2"/>
      <w:sz w:val="21"/>
      <w:szCs w:val="20"/>
      <w:u w:val="none" w:color="000000"/>
      <w:lang w:val="en-US" w:eastAsia="zh-CN" w:bidi="ar-SA"/>
    </w:rPr>
  </w:style>
  <w:style w:type="paragraph" w:styleId="16">
    <w:name w:val="List Number 5"/>
    <w:basedOn w:val="1"/>
    <w:qFormat/>
    <w:uiPriority w:val="0"/>
    <w:pPr>
      <w:numPr>
        <w:ilvl w:val="0"/>
        <w:numId w:val="1"/>
      </w:numPr>
    </w:p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4"/>
    <w:basedOn w:val="1"/>
    <w:next w:val="1"/>
    <w:qFormat/>
    <w:uiPriority w:val="0"/>
    <w:pPr>
      <w:ind w:left="1260" w:leftChars="600"/>
    </w:pPr>
  </w:style>
  <w:style w:type="paragraph" w:styleId="20">
    <w:name w:val="List"/>
    <w:basedOn w:val="1"/>
    <w:qFormat/>
    <w:uiPriority w:val="0"/>
    <w:pPr>
      <w:ind w:left="200" w:hanging="200" w:hangingChars="200"/>
    </w:pPr>
  </w:style>
  <w:style w:type="paragraph" w:styleId="21">
    <w:name w:val="footnote text"/>
    <w:basedOn w:val="1"/>
    <w:next w:val="2"/>
    <w:qFormat/>
    <w:uiPriority w:val="0"/>
    <w:pPr>
      <w:widowControl w:val="0"/>
      <w:adjustRightInd w:val="0"/>
      <w:spacing w:line="315" w:lineRule="atLeast"/>
      <w:jc w:val="both"/>
      <w:textAlignment w:val="baseline"/>
    </w:pPr>
    <w:rPr>
      <w:rFonts w:ascii="宋体" w:hAnsi="宋体" w:eastAsia="宋体" w:cs="Times New Roman"/>
      <w:kern w:val="2"/>
      <w:sz w:val="18"/>
      <w:szCs w:val="18"/>
      <w:lang w:val="en-US" w:eastAsia="zh-CN" w:bidi="ar-SA"/>
    </w:rPr>
  </w:style>
  <w:style w:type="paragraph" w:styleId="22">
    <w:name w:val="toc 6"/>
    <w:basedOn w:val="1"/>
    <w:next w:val="1"/>
    <w:qFormat/>
    <w:uiPriority w:val="0"/>
    <w:pPr>
      <w:ind w:left="2100" w:leftChars="1000"/>
    </w:pPr>
  </w:style>
  <w:style w:type="paragraph" w:styleId="23">
    <w:name w:val="index 7"/>
    <w:basedOn w:val="1"/>
    <w:next w:val="1"/>
    <w:qFormat/>
    <w:uiPriority w:val="0"/>
    <w:pPr>
      <w:widowControl w:val="0"/>
      <w:autoSpaceDE/>
      <w:autoSpaceDN/>
      <w:adjustRightInd/>
      <w:ind w:left="1200" w:leftChars="1200"/>
      <w:jc w:val="both"/>
    </w:pPr>
    <w:rPr>
      <w:rFonts w:ascii="Times New Roman" w:hAnsi="Times New Roman" w:eastAsia="宋体" w:cs="Times New Roman"/>
      <w:color w:val="auto"/>
      <w:kern w:val="2"/>
      <w:sz w:val="21"/>
      <w:szCs w:val="24"/>
      <w:lang w:val="en-US" w:eastAsia="zh-CN" w:bidi="ar-SA"/>
    </w:rPr>
  </w:style>
  <w:style w:type="paragraph" w:styleId="24">
    <w:name w:val="Body Text 2"/>
    <w:basedOn w:val="1"/>
    <w:qFormat/>
    <w:uiPriority w:val="0"/>
    <w:pPr>
      <w:tabs>
        <w:tab w:val="left" w:pos="0"/>
      </w:tabs>
      <w:spacing w:line="400" w:lineRule="atLeast"/>
    </w:pPr>
    <w:rPr>
      <w:rFonts w:ascii="Arial" w:hAnsi="Arial"/>
      <w:color w:val="000000"/>
    </w:rPr>
  </w:style>
  <w:style w:type="paragraph" w:styleId="25">
    <w:name w:val="Normal (Web)"/>
    <w:basedOn w:val="1"/>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26">
    <w:name w:val="Body Text First Indent"/>
    <w:basedOn w:val="2"/>
    <w:next w:val="22"/>
    <w:qFormat/>
    <w:uiPriority w:val="0"/>
    <w:pPr>
      <w:spacing w:line="312" w:lineRule="auto"/>
      <w:ind w:firstLine="420"/>
    </w:pPr>
  </w:style>
  <w:style w:type="paragraph" w:styleId="27">
    <w:name w:val="Body Text First Indent 2"/>
    <w:basedOn w:val="12"/>
    <w:unhideWhenUsed/>
    <w:qFormat/>
    <w:uiPriority w:val="99"/>
    <w:pPr>
      <w:widowControl w:val="0"/>
      <w:spacing w:after="120" w:line="240" w:lineRule="auto"/>
      <w:ind w:left="420" w:leftChars="200" w:firstLine="420" w:firstLineChars="200"/>
      <w:jc w:val="both"/>
    </w:pPr>
    <w:rPr>
      <w:rFonts w:ascii="宋体" w:hAnsi="宋体" w:eastAsia="宋体" w:cs="宋体"/>
      <w:kern w:val="0"/>
      <w:sz w:val="21"/>
      <w:szCs w:val="21"/>
      <w:lang w:val="en-US" w:eastAsia="zh-CN" w:bidi="ar-SA"/>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Hyperlink"/>
    <w:basedOn w:val="30"/>
    <w:qFormat/>
    <w:uiPriority w:val="0"/>
    <w:rPr>
      <w:color w:val="0000FF"/>
      <w:u w:val="none"/>
    </w:rPr>
  </w:style>
  <w:style w:type="paragraph" w:customStyle="1" w:styleId="34">
    <w:name w:val="目录 53"/>
    <w:basedOn w:val="1"/>
    <w:next w:val="1"/>
    <w:qFormat/>
    <w:uiPriority w:val="99"/>
    <w:pPr>
      <w:ind w:left="840"/>
    </w:pPr>
    <w:rPr>
      <w:sz w:val="18"/>
    </w:rPr>
  </w:style>
  <w:style w:type="paragraph" w:customStyle="1" w:styleId="35">
    <w:name w:val="样式 样式 左侧:  2 字符 + 左侧:  0.85 厘米 首行缩进:  2 字符1"/>
    <w:basedOn w:val="1"/>
    <w:qFormat/>
    <w:uiPriority w:val="0"/>
    <w:pPr>
      <w:ind w:left="482" w:firstLine="200" w:firstLineChars="200"/>
    </w:pPr>
    <w:rPr>
      <w:szCs w:val="20"/>
    </w:rPr>
  </w:style>
  <w:style w:type="paragraph" w:customStyle="1" w:styleId="36">
    <w:name w:val="Default1"/>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37">
    <w:name w:val="No Spacing"/>
    <w:basedOn w:val="1"/>
    <w:qFormat/>
    <w:uiPriority w:val="0"/>
    <w:pPr>
      <w:widowControl w:val="0"/>
      <w:jc w:val="both"/>
    </w:pPr>
    <w:rPr>
      <w:rFonts w:ascii="Times New Roman" w:hAnsi="Times New Roman" w:eastAsia="Times New Roman" w:cs="Times New Roman"/>
      <w:kern w:val="2"/>
      <w:sz w:val="21"/>
      <w:lang w:val="en-US" w:eastAsia="zh-CN" w:bidi="ar-SA"/>
    </w:rPr>
  </w:style>
  <w:style w:type="paragraph" w:customStyle="1" w:styleId="38">
    <w:name w:val="缺省文本"/>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9">
    <w:name w:val="正文缩进1"/>
    <w:qFormat/>
    <w:uiPriority w:val="0"/>
    <w:pPr>
      <w:widowControl w:val="0"/>
      <w:autoSpaceDE w:val="0"/>
      <w:autoSpaceDN w:val="0"/>
      <w:adjustRightInd w:val="0"/>
      <w:ind w:firstLine="420"/>
      <w:jc w:val="left"/>
    </w:pPr>
    <w:rPr>
      <w:rFonts w:ascii="宋体" w:hAnsi="Times New Roman" w:eastAsia="宋体" w:cs="Times New Roman"/>
      <w:kern w:val="0"/>
      <w:sz w:val="24"/>
      <w:szCs w:val="20"/>
      <w:lang w:val="en-US" w:eastAsia="zh-CN" w:bidi="ar-SA"/>
    </w:rPr>
  </w:style>
  <w:style w:type="paragraph" w:customStyle="1" w:styleId="40">
    <w:name w:val="纯文本1"/>
    <w:qFormat/>
    <w:uiPriority w:val="0"/>
    <w:pPr>
      <w:widowControl w:val="0"/>
      <w:jc w:val="both"/>
    </w:pPr>
    <w:rPr>
      <w:rFonts w:ascii="宋体" w:hAnsi="Courier New" w:eastAsia="宋体" w:cs="Times New Roman"/>
      <w:kern w:val="0"/>
      <w:sz w:val="20"/>
      <w:szCs w:val="20"/>
      <w:lang w:val="en-US" w:eastAsia="zh-CN" w:bidi="ar-SA"/>
    </w:rPr>
  </w:style>
  <w:style w:type="paragraph" w:customStyle="1" w:styleId="41">
    <w:name w:val="Table Text"/>
    <w:basedOn w:val="1"/>
    <w:semiHidden/>
    <w:qFormat/>
    <w:uiPriority w:val="0"/>
    <w:rPr>
      <w:rFonts w:ascii="仿宋" w:hAnsi="仿宋" w:eastAsia="仿宋" w:cs="仿宋"/>
      <w:sz w:val="28"/>
      <w:szCs w:val="28"/>
      <w:lang w:val="en-US" w:eastAsia="en-US" w:bidi="ar-SA"/>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正文_6"/>
    <w:basedOn w:val="4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正文_7"/>
    <w:basedOn w:val="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8"/>
    <w:basedOn w:val="46"/>
    <w:qFormat/>
    <w:uiPriority w:val="0"/>
    <w:rPr>
      <w:rFonts w:cs="Calibri"/>
      <w:szCs w:val="21"/>
    </w:rPr>
  </w:style>
  <w:style w:type="paragraph" w:customStyle="1" w:styleId="46">
    <w:name w:val="正文_3"/>
    <w:basedOn w:val="47"/>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
    <w:name w:val="Normal"/>
    <w:qFormat/>
    <w:uiPriority w:val="0"/>
    <w:rPr>
      <w:rFonts w:ascii="Times New Roman" w:hAnsi="Times New Roman" w:eastAsia="Times New Roman" w:cs="Times New Roman"/>
      <w:sz w:val="24"/>
      <w:szCs w:val="24"/>
      <w:lang w:bidi="ar-SA"/>
    </w:rPr>
  </w:style>
  <w:style w:type="paragraph" w:customStyle="1" w:styleId="48">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
    <w:name w:val="Normal_9"/>
    <w:qFormat/>
    <w:uiPriority w:val="0"/>
    <w:rPr>
      <w:rFonts w:ascii="黑体" w:hAnsi="黑体" w:eastAsia="黑体" w:cs="Times New Roman"/>
      <w:b/>
      <w:sz w:val="32"/>
      <w:szCs w:val="24"/>
      <w:lang w:bidi="ar-SA"/>
    </w:rPr>
  </w:style>
  <w:style w:type="paragraph" w:customStyle="1" w:styleId="50">
    <w:name w:val="无间隔1"/>
    <w:qFormat/>
    <w:uiPriority w:val="0"/>
    <w:pPr>
      <w:widowControl w:val="0"/>
      <w:jc w:val="center"/>
    </w:pPr>
    <w:rPr>
      <w:rFonts w:ascii="宋体" w:hAnsi="Calibri" w:eastAsia="宋体" w:cs="Times New Roman"/>
      <w:kern w:val="2"/>
      <w:sz w:val="24"/>
      <w:szCs w:val="22"/>
      <w:lang w:val="en-US" w:eastAsia="zh-CN" w:bidi="ar-SA"/>
    </w:rPr>
  </w:style>
  <w:style w:type="paragraph" w:customStyle="1" w:styleId="51">
    <w:name w:val="无间隔2"/>
    <w:qFormat/>
    <w:uiPriority w:val="1"/>
    <w:pPr>
      <w:widowControl w:val="0"/>
      <w:jc w:val="both"/>
    </w:pPr>
    <w:rPr>
      <w:rFonts w:ascii="Calibri" w:hAnsi="Calibri" w:eastAsia="Times New Roman" w:cs="Times New Roman"/>
      <w:kern w:val="2"/>
      <w:sz w:val="21"/>
      <w:lang w:val="en-US" w:eastAsia="zh-CN" w:bidi="ar-SA"/>
    </w:rPr>
  </w:style>
  <w:style w:type="paragraph" w:customStyle="1" w:styleId="52">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53">
    <w:name w:val="_Style 6"/>
    <w:basedOn w:val="4"/>
    <w:next w:val="1"/>
    <w:qFormat/>
    <w:uiPriority w:val="0"/>
    <w:pPr>
      <w:tabs>
        <w:tab w:val="left" w:pos="540"/>
      </w:tabs>
      <w:outlineLvl w:val="9"/>
    </w:pPr>
  </w:style>
  <w:style w:type="paragraph" w:customStyle="1" w:styleId="54">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
    <w:name w:val="正文文本_0"/>
    <w:basedOn w:val="44"/>
    <w:qFormat/>
    <w:uiPriority w:val="0"/>
    <w:pPr>
      <w:spacing w:after="120"/>
    </w:pPr>
    <w:rPr>
      <w:rFonts w:ascii="Calibri" w:hAnsi="Calibri" w:eastAsia="宋体"/>
    </w:rPr>
  </w:style>
  <w:style w:type="paragraph" w:customStyle="1" w:styleId="56">
    <w:name w:val="正文_4"/>
    <w:basedOn w:val="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5"/>
    <w:basedOn w:val="43"/>
    <w:qFormat/>
    <w:uiPriority w:val="0"/>
  </w:style>
  <w:style w:type="paragraph" w:customStyle="1" w:styleId="58">
    <w:name w:val="WPS Plain"/>
    <w:qFormat/>
    <w:uiPriority w:val="0"/>
    <w:rPr>
      <w:rFonts w:ascii="Times New Roman" w:hAnsi="Times New Roman" w:eastAsia="宋体" w:cs="Times New Roman"/>
      <w:sz w:val="20"/>
      <w:szCs w:val="20"/>
      <w:lang w:val="en-US" w:eastAsia="zh-CN" w:bidi="ar-SA"/>
    </w:rPr>
  </w:style>
  <w:style w:type="paragraph" w:customStyle="1" w:styleId="59">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60">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109</Words>
  <Characters>150</Characters>
  <Paragraphs>2385</Paragraphs>
  <TotalTime>346</TotalTime>
  <ScaleCrop>false</ScaleCrop>
  <LinksUpToDate>false</LinksUpToDate>
  <CharactersWithSpaces>173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2024-08-16T04:01:00Z</dcterms:created>
  <dc:creator>舍得。</dc:creator>
  <cp:lastModifiedBy>上官莫愁</cp:lastModifiedBy>
  <cp:lastPrinted>2026-10-19T03:08:00Z</cp:lastPrinted>
  <dcterms:modified xsi:type="dcterms:W3CDTF">2026-11-02T09:21:40Z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AE284B00715A4CC898D04A60E91EAF88_13</vt:lpwstr>
  </property>
  <property fmtid="{D5CDD505-2E9C-101B-9397-08002B2CF9AE}" pid="4" name="KSOTemplateDocerSaveRecord">
    <vt:lpwstr>eyJoZGlkIjoiNTQ5ODg5YjIxM2JkYWNhM2YzNzZiOGY2OWJlNTYxYTMiLCJ1c2VySWQiOiI5NTE3NjE5NzYifQ==</vt:lpwstr>
  </property>
</Properties>
</file>