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658269">
      <w:pPr>
        <w:keepNext w:val="0"/>
        <w:keepLines w:val="0"/>
        <w:pageBreakBefore w:val="0"/>
        <w:shd w:val="clear" w:color="auto" w:fill="auto"/>
        <w:kinsoku/>
        <w:wordWrap/>
        <w:overflowPunct/>
        <w:topLinePunct w:val="0"/>
        <w:autoSpaceDE/>
        <w:autoSpaceDN/>
        <w:bidi w:val="0"/>
        <w:adjustRightInd/>
        <w:snapToGrid/>
        <w:spacing w:line="480" w:lineRule="exact"/>
        <w:ind w:firstLine="361" w:firstLineChars="150"/>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 xml:space="preserve">一、项目概述 </w:t>
      </w:r>
    </w:p>
    <w:p w14:paraId="4F595766">
      <w:pPr>
        <w:keepNext w:val="0"/>
        <w:keepLines w:val="0"/>
        <w:pageBreakBefore w:val="0"/>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拟通过竟争性磋商方式确定一家监理公司为伊尔克什坦口岸H986双向通道建设项目(原址)（监理）</w:t>
      </w:r>
      <w:bookmarkStart w:id="0" w:name="_GoBack"/>
      <w:bookmarkEnd w:id="0"/>
      <w:r>
        <w:rPr>
          <w:rFonts w:hint="eastAsia" w:ascii="仿宋" w:hAnsi="仿宋" w:eastAsia="仿宋" w:cs="仿宋"/>
          <w:color w:val="auto"/>
          <w:sz w:val="24"/>
          <w:szCs w:val="24"/>
          <w:highlight w:val="none"/>
          <w:lang w:val="en-US" w:eastAsia="zh-CN"/>
        </w:rPr>
        <w:t xml:space="preserve">。 </w:t>
      </w:r>
    </w:p>
    <w:p w14:paraId="7EDF84B3">
      <w:pPr>
        <w:keepNext w:val="0"/>
        <w:keepLines w:val="0"/>
        <w:pageBreakBefore w:val="0"/>
        <w:shd w:val="clear" w:color="auto" w:fill="auto"/>
        <w:kinsoku/>
        <w:wordWrap/>
        <w:overflowPunct/>
        <w:topLinePunct w:val="0"/>
        <w:autoSpaceDE/>
        <w:autoSpaceDN/>
        <w:bidi w:val="0"/>
        <w:adjustRightInd/>
        <w:snapToGrid/>
        <w:spacing w:line="480" w:lineRule="exact"/>
        <w:ind w:firstLine="361" w:firstLineChars="150"/>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 xml:space="preserve">二、 服务内容、服务地点、服务要求等 </w:t>
      </w:r>
    </w:p>
    <w:p w14:paraId="30B4289E">
      <w:pPr>
        <w:keepNext w:val="0"/>
        <w:keepLines w:val="0"/>
        <w:pageBreakBefore w:val="0"/>
        <w:shd w:val="clear" w:color="auto" w:fill="auto"/>
        <w:kinsoku/>
        <w:wordWrap/>
        <w:overflowPunct/>
        <w:topLinePunct w:val="0"/>
        <w:autoSpaceDE/>
        <w:autoSpaceDN/>
        <w:bidi w:val="0"/>
        <w:adjustRightInd/>
        <w:snapToGrid/>
        <w:spacing w:line="480" w:lineRule="exact"/>
        <w:ind w:firstLine="360" w:firstLineChars="15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(一)服务内容 </w:t>
      </w:r>
    </w:p>
    <w:p w14:paraId="260472DE">
      <w:pPr>
        <w:keepNext w:val="0"/>
        <w:keepLines w:val="0"/>
        <w:pageBreakBefore w:val="0"/>
        <w:shd w:val="clear" w:color="auto" w:fill="auto"/>
        <w:kinsoku/>
        <w:wordWrap/>
        <w:overflowPunct/>
        <w:topLinePunct w:val="0"/>
        <w:autoSpaceDE/>
        <w:autoSpaceDN/>
        <w:bidi w:val="0"/>
        <w:adjustRightInd/>
        <w:snapToGrid/>
        <w:spacing w:line="480" w:lineRule="exact"/>
        <w:ind w:firstLine="360" w:firstLineChars="15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对本项目施工进行全过程监理。</w:t>
      </w:r>
    </w:p>
    <w:p w14:paraId="27B57696">
      <w:pPr>
        <w:keepNext w:val="0"/>
        <w:keepLines w:val="0"/>
        <w:pageBreakBefore w:val="0"/>
        <w:numPr>
          <w:ilvl w:val="0"/>
          <w:numId w:val="0"/>
        </w:numPr>
        <w:kinsoku/>
        <w:wordWrap/>
        <w:overflowPunct/>
        <w:topLinePunct w:val="0"/>
        <w:autoSpaceDE/>
        <w:autoSpaceDN/>
        <w:bidi w:val="0"/>
        <w:adjustRightInd/>
        <w:snapToGrid/>
        <w:spacing w:line="480" w:lineRule="exact"/>
        <w:ind w:firstLine="240" w:firstLineChars="1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根据</w:t>
      </w:r>
      <w:r>
        <w:rPr>
          <w:rFonts w:hint="eastAsia" w:ascii="仿宋" w:hAnsi="仿宋" w:eastAsia="仿宋" w:cs="仿宋"/>
          <w:b/>
          <w:bCs/>
          <w:i w:val="0"/>
          <w:iCs w:val="0"/>
          <w:caps w:val="0"/>
          <w:color w:val="auto"/>
          <w:spacing w:val="0"/>
          <w:sz w:val="24"/>
          <w:szCs w:val="24"/>
        </w:rPr>
        <w:t>伊尔克什坦口岸H986双向通道建设项目（原址）</w:t>
      </w:r>
      <w:r>
        <w:rPr>
          <w:rFonts w:hint="eastAsia" w:ascii="仿宋" w:hAnsi="仿宋" w:eastAsia="仿宋" w:cs="仿宋"/>
          <w:color w:val="auto"/>
          <w:sz w:val="24"/>
          <w:szCs w:val="24"/>
          <w:highlight w:val="none"/>
          <w:lang w:val="en-US" w:eastAsia="zh-CN"/>
        </w:rPr>
        <w:t xml:space="preserve">，实际监理工程的范围与所监理工程施工合同所涵盖的工程范围一致，依照法律规定、工程建设标准、勘察设计文件及合同等要求，在施工阶段对建设工程质量、进度、造价进行控制，对合同、信息进行管理，对工程建设相关方的关系进行协调，并履行建设工程安全生产管理法定职责的服务活动。 </w:t>
      </w:r>
    </w:p>
    <w:p w14:paraId="3637BEE6">
      <w:pPr>
        <w:keepNext w:val="0"/>
        <w:keepLines w:val="0"/>
        <w:pageBreakBefore w:val="0"/>
        <w:numPr>
          <w:ilvl w:val="0"/>
          <w:numId w:val="0"/>
        </w:numPr>
        <w:kinsoku/>
        <w:wordWrap/>
        <w:overflowPunct/>
        <w:topLinePunct w:val="0"/>
        <w:autoSpaceDE/>
        <w:autoSpaceDN/>
        <w:bidi w:val="0"/>
        <w:adjustRightInd/>
        <w:snapToGrid/>
        <w:spacing w:line="480" w:lineRule="exact"/>
        <w:ind w:firstLine="240" w:firstLineChars="1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（二）服务地点</w:t>
      </w:r>
    </w:p>
    <w:p w14:paraId="05A28126">
      <w:pPr>
        <w:keepNext w:val="0"/>
        <w:keepLines w:val="0"/>
        <w:pageBreakBefore w:val="0"/>
        <w:numPr>
          <w:ilvl w:val="0"/>
          <w:numId w:val="0"/>
        </w:numPr>
        <w:kinsoku/>
        <w:wordWrap/>
        <w:overflowPunct/>
        <w:topLinePunct w:val="0"/>
        <w:autoSpaceDE/>
        <w:autoSpaceDN/>
        <w:bidi w:val="0"/>
        <w:adjustRightInd/>
        <w:snapToGrid/>
        <w:spacing w:line="480" w:lineRule="exact"/>
        <w:ind w:firstLine="240" w:firstLineChars="100"/>
        <w:textAlignment w:val="auto"/>
        <w:rPr>
          <w:rFonts w:hint="default" w:ascii="仿宋" w:hAnsi="仿宋" w:eastAsia="仿宋" w:cs="仿宋"/>
          <w:color w:val="auto"/>
          <w:sz w:val="24"/>
          <w:szCs w:val="24"/>
          <w:highlight w:val="none"/>
          <w:lang w:val="en-US" w:eastAsia="zh-CN"/>
        </w:rPr>
      </w:pPr>
      <w:r>
        <w:rPr>
          <w:rFonts w:hint="default" w:ascii="仿宋" w:hAnsi="仿宋" w:eastAsia="仿宋" w:cs="仿宋"/>
          <w:color w:val="auto"/>
          <w:sz w:val="24"/>
          <w:szCs w:val="24"/>
          <w:highlight w:val="none"/>
          <w:lang w:val="en-US" w:eastAsia="zh-CN"/>
        </w:rPr>
        <w:t>伊尔克什坦口岸（采购单位指定地点）</w:t>
      </w:r>
    </w:p>
    <w:p w14:paraId="5EA4B6DB">
      <w:pPr>
        <w:keepNext w:val="0"/>
        <w:keepLines w:val="0"/>
        <w:pageBreakBefore w:val="0"/>
        <w:shd w:val="clear" w:color="auto" w:fill="auto"/>
        <w:kinsoku/>
        <w:wordWrap/>
        <w:overflowPunct/>
        <w:topLinePunct w:val="0"/>
        <w:autoSpaceDE/>
        <w:autoSpaceDN/>
        <w:bidi w:val="0"/>
        <w:adjustRightInd/>
        <w:snapToGrid/>
        <w:spacing w:line="480" w:lineRule="exact"/>
        <w:ind w:firstLine="360" w:firstLineChars="15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（二）服务质量要求 </w:t>
      </w:r>
    </w:p>
    <w:p w14:paraId="62ED2AD4">
      <w:pPr>
        <w:keepNext w:val="0"/>
        <w:keepLines w:val="0"/>
        <w:pageBreakBefore w:val="0"/>
        <w:shd w:val="clear" w:color="auto" w:fill="auto"/>
        <w:kinsoku/>
        <w:wordWrap/>
        <w:overflowPunct/>
        <w:topLinePunct w:val="0"/>
        <w:autoSpaceDE/>
        <w:autoSpaceDN/>
        <w:bidi w:val="0"/>
        <w:adjustRightInd/>
        <w:snapToGrid/>
        <w:spacing w:line="480" w:lineRule="exact"/>
        <w:ind w:firstLine="360" w:firstLineChars="15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服务</w:t>
      </w:r>
      <w:r>
        <w:rPr>
          <w:rFonts w:hint="eastAsia" w:ascii="仿宋" w:hAnsi="仿宋" w:eastAsia="仿宋" w:cs="仿宋"/>
          <w:color w:val="auto"/>
          <w:sz w:val="24"/>
          <w:szCs w:val="24"/>
          <w:highlight w:val="none"/>
        </w:rPr>
        <w:t>期限：</w:t>
      </w:r>
      <w:r>
        <w:rPr>
          <w:rFonts w:hint="eastAsia" w:ascii="仿宋" w:hAnsi="仿宋" w:eastAsia="仿宋" w:cs="仿宋"/>
          <w:color w:val="auto"/>
          <w:sz w:val="24"/>
          <w:szCs w:val="24"/>
          <w:highlight w:val="none"/>
          <w:lang w:val="en-US" w:eastAsia="zh-CN"/>
        </w:rPr>
        <w:t>监理单位服务期限为中标通知书日起至项目达到规定国家的质量保修期之日止。在工程完工后向我单位提交完整的监理资料（纸质版和电子版）。监理服务周期到期后，因该工程需要监理人继续提供服务的，监理服务报酬不予增加。</w:t>
      </w:r>
    </w:p>
    <w:p w14:paraId="06137830">
      <w:pPr>
        <w:keepNext w:val="0"/>
        <w:keepLines w:val="0"/>
        <w:pageBreakBefore w:val="0"/>
        <w:shd w:val="clear" w:color="auto" w:fill="auto"/>
        <w:kinsoku/>
        <w:wordWrap/>
        <w:overflowPunct/>
        <w:topLinePunct w:val="0"/>
        <w:autoSpaceDE/>
        <w:autoSpaceDN/>
        <w:bidi w:val="0"/>
        <w:adjustRightInd/>
        <w:snapToGrid/>
        <w:spacing w:line="480" w:lineRule="exact"/>
        <w:ind w:firstLine="360" w:firstLineChars="15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2、成交通知书发出后在</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日内签订政府采购合同，若第一成交人拒绝签订政府采购合同，将取消成交资格，应当承担相应的法律责任。采购人可以按照评审报告推荐的成交候选人名单排序，确定下一候选人为成交人，也可以重新开展政府采购活动。</w:t>
      </w:r>
    </w:p>
    <w:p w14:paraId="2D944555">
      <w:pPr>
        <w:keepNext w:val="0"/>
        <w:keepLines w:val="0"/>
        <w:pageBreakBefore w:val="0"/>
        <w:shd w:val="clear" w:color="auto" w:fill="auto"/>
        <w:kinsoku/>
        <w:wordWrap/>
        <w:overflowPunct/>
        <w:topLinePunct w:val="0"/>
        <w:autoSpaceDE/>
        <w:autoSpaceDN/>
        <w:bidi w:val="0"/>
        <w:adjustRightInd/>
        <w:snapToGrid/>
        <w:spacing w:line="480" w:lineRule="exact"/>
        <w:ind w:firstLine="360" w:firstLineChars="15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rPr>
        <w:t>3、</w:t>
      </w:r>
      <w:r>
        <w:rPr>
          <w:rFonts w:hint="eastAsia" w:ascii="仿宋" w:hAnsi="仿宋" w:eastAsia="仿宋" w:cs="仿宋"/>
          <w:b w:val="0"/>
          <w:bCs w:val="0"/>
          <w:color w:val="auto"/>
          <w:sz w:val="24"/>
          <w:szCs w:val="24"/>
          <w:highlight w:val="none"/>
          <w:lang w:val="en-US" w:eastAsia="zh-CN"/>
        </w:rPr>
        <w:t>人员要求：本项目要求配备人员为1名总监理工程师；1名市政公用工程专业监理工程师；1名机电安装监理工程师；1名安全生产管理专业监理工程师；1名土建专业监理工程师。3名现场监理员。</w:t>
      </w:r>
      <w:r>
        <w:rPr>
          <w:rFonts w:hint="eastAsia" w:ascii="仿宋" w:hAnsi="仿宋" w:eastAsia="仿宋" w:cs="仿宋"/>
          <w:b w:val="0"/>
          <w:bCs w:val="0"/>
          <w:color w:val="auto"/>
          <w:sz w:val="24"/>
          <w:szCs w:val="24"/>
          <w:highlight w:val="none"/>
        </w:rPr>
        <w:t>监理工程师在投标单位注册</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 xml:space="preserve">总监理工程师已在其他 </w:t>
      </w:r>
      <w:r>
        <w:rPr>
          <w:rFonts w:hint="eastAsia" w:ascii="仿宋" w:hAnsi="仿宋" w:eastAsia="仿宋" w:cs="仿宋"/>
          <w:b w:val="0"/>
          <w:bCs w:val="0"/>
          <w:color w:val="auto"/>
          <w:sz w:val="24"/>
          <w:szCs w:val="24"/>
          <w:highlight w:val="none"/>
          <w:lang w:val="en-US" w:eastAsia="zh-CN"/>
        </w:rPr>
        <w:t>1</w:t>
      </w:r>
      <w:r>
        <w:rPr>
          <w:rFonts w:hint="eastAsia" w:ascii="仿宋" w:hAnsi="仿宋" w:eastAsia="仿宋" w:cs="仿宋"/>
          <w:b w:val="0"/>
          <w:bCs w:val="0"/>
          <w:color w:val="auto"/>
          <w:sz w:val="24"/>
          <w:szCs w:val="24"/>
          <w:highlight w:val="none"/>
        </w:rPr>
        <w:t>个未竣工验收的建设工程项目中担任总监理工程师，拟担任本招标工程的总监理工程师时，有原建设单位同意的书面资料。</w:t>
      </w:r>
      <w:r>
        <w:rPr>
          <w:rFonts w:hint="eastAsia" w:ascii="仿宋" w:hAnsi="仿宋" w:eastAsia="仿宋" w:cs="仿宋"/>
          <w:b w:val="0"/>
          <w:bCs w:val="0"/>
          <w:color w:val="auto"/>
          <w:sz w:val="24"/>
          <w:szCs w:val="24"/>
          <w:highlight w:val="none"/>
          <w:lang w:val="en-US" w:eastAsia="zh-CN"/>
        </w:rPr>
        <w:t>专业监理工程师</w:t>
      </w:r>
      <w:r>
        <w:rPr>
          <w:rFonts w:hint="eastAsia" w:ascii="仿宋" w:hAnsi="仿宋" w:eastAsia="仿宋" w:cs="仿宋"/>
          <w:b w:val="0"/>
          <w:bCs w:val="0"/>
          <w:color w:val="auto"/>
          <w:sz w:val="24"/>
          <w:szCs w:val="24"/>
          <w:highlight w:val="none"/>
        </w:rPr>
        <w:t xml:space="preserve">未在 </w:t>
      </w:r>
      <w:r>
        <w:rPr>
          <w:rFonts w:hint="eastAsia" w:ascii="仿宋" w:hAnsi="仿宋" w:eastAsia="仿宋" w:cs="仿宋"/>
          <w:b w:val="0"/>
          <w:bCs w:val="0"/>
          <w:color w:val="auto"/>
          <w:sz w:val="24"/>
          <w:szCs w:val="24"/>
          <w:highlight w:val="none"/>
          <w:lang w:val="en-US" w:eastAsia="zh-CN"/>
        </w:rPr>
        <w:t>2</w:t>
      </w:r>
      <w:r>
        <w:rPr>
          <w:rFonts w:hint="eastAsia" w:ascii="仿宋" w:hAnsi="仿宋" w:eastAsia="仿宋" w:cs="仿宋"/>
          <w:b w:val="0"/>
          <w:bCs w:val="0"/>
          <w:color w:val="auto"/>
          <w:sz w:val="24"/>
          <w:szCs w:val="24"/>
          <w:highlight w:val="none"/>
        </w:rPr>
        <w:t>个</w:t>
      </w:r>
      <w:r>
        <w:rPr>
          <w:rFonts w:hint="eastAsia" w:ascii="仿宋" w:hAnsi="仿宋" w:eastAsia="仿宋" w:cs="仿宋"/>
          <w:b w:val="0"/>
          <w:bCs w:val="0"/>
          <w:color w:val="auto"/>
          <w:sz w:val="24"/>
          <w:szCs w:val="24"/>
          <w:highlight w:val="none"/>
          <w:lang w:val="en-US" w:eastAsia="zh-CN"/>
        </w:rPr>
        <w:t>及</w:t>
      </w:r>
      <w:r>
        <w:rPr>
          <w:rFonts w:hint="eastAsia" w:ascii="仿宋" w:hAnsi="仿宋" w:eastAsia="仿宋" w:cs="仿宋"/>
          <w:b w:val="0"/>
          <w:bCs w:val="0"/>
          <w:color w:val="auto"/>
          <w:sz w:val="24"/>
          <w:szCs w:val="24"/>
          <w:highlight w:val="none"/>
        </w:rPr>
        <w:t>以上尚未竣工验收的建设工程项目中担任</w:t>
      </w:r>
      <w:r>
        <w:rPr>
          <w:rFonts w:hint="eastAsia" w:ascii="仿宋" w:hAnsi="仿宋" w:eastAsia="仿宋" w:cs="仿宋"/>
          <w:b w:val="0"/>
          <w:bCs w:val="0"/>
          <w:color w:val="auto"/>
          <w:sz w:val="24"/>
          <w:szCs w:val="24"/>
          <w:highlight w:val="none"/>
          <w:lang w:val="en-US" w:eastAsia="zh-CN"/>
        </w:rPr>
        <w:t>专业监理工程师</w:t>
      </w:r>
      <w:r>
        <w:rPr>
          <w:rFonts w:hint="eastAsia" w:ascii="仿宋" w:hAnsi="仿宋" w:eastAsia="仿宋" w:cs="仿宋"/>
          <w:b w:val="0"/>
          <w:bCs w:val="0"/>
          <w:color w:val="auto"/>
          <w:sz w:val="24"/>
          <w:szCs w:val="24"/>
          <w:highlight w:val="none"/>
        </w:rPr>
        <w:t>。监理员同时具备监理培训证书和初级及以上职称证书。（以上人员需在新疆建设云平台备案</w:t>
      </w:r>
      <w:r>
        <w:rPr>
          <w:rFonts w:hint="eastAsia" w:ascii="仿宋" w:hAnsi="仿宋" w:eastAsia="仿宋" w:cs="仿宋"/>
          <w:b w:val="0"/>
          <w:bCs w:val="0"/>
          <w:color w:val="auto"/>
          <w:sz w:val="24"/>
          <w:szCs w:val="24"/>
          <w:highlight w:val="none"/>
          <w:lang w:val="en-US" w:eastAsia="zh-CN"/>
        </w:rPr>
        <w:t>，并在本单位缴纳社保。以上人员可高职低配，不可低职高配）</w:t>
      </w:r>
    </w:p>
    <w:p w14:paraId="57C2EC0A">
      <w:pPr>
        <w:keepNext w:val="0"/>
        <w:keepLines w:val="0"/>
        <w:pageBreakBefore w:val="0"/>
        <w:shd w:val="clear" w:color="auto" w:fill="auto"/>
        <w:kinsoku/>
        <w:wordWrap/>
        <w:overflowPunct/>
        <w:topLinePunct w:val="0"/>
        <w:autoSpaceDE/>
        <w:autoSpaceDN/>
        <w:bidi w:val="0"/>
        <w:adjustRightInd/>
        <w:snapToGrid/>
        <w:spacing w:line="480" w:lineRule="exact"/>
        <w:ind w:firstLine="360" w:firstLineChars="15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质量要求：</w:t>
      </w:r>
      <w:r>
        <w:rPr>
          <w:rFonts w:hint="eastAsia" w:ascii="仿宋" w:hAnsi="仿宋" w:eastAsia="仿宋" w:cs="仿宋"/>
          <w:color w:val="auto"/>
          <w:sz w:val="24"/>
          <w:szCs w:val="24"/>
          <w:highlight w:val="none"/>
        </w:rPr>
        <w:t>监理实施过程中严格执行国家、 自治区的各项规范、标准、规定。监理公司与招标人签订监理合同后，按照《建设工程监理规范》</w:t>
      </w:r>
      <w:r>
        <w:rPr>
          <w:rFonts w:hint="eastAsia" w:ascii="仿宋" w:hAnsi="仿宋" w:eastAsia="仿宋" w:cs="仿宋"/>
          <w:color w:val="auto"/>
          <w:sz w:val="24"/>
          <w:szCs w:val="24"/>
          <w:highlight w:val="none"/>
          <w:lang w:val="en-US" w:eastAsia="zh-CN"/>
        </w:rPr>
        <w:t>（GB/T50319-2013）</w:t>
      </w:r>
      <w:r>
        <w:rPr>
          <w:rFonts w:hint="eastAsia" w:ascii="仿宋" w:hAnsi="仿宋" w:eastAsia="仿宋" w:cs="仿宋"/>
          <w:color w:val="auto"/>
          <w:sz w:val="24"/>
          <w:szCs w:val="24"/>
          <w:highlight w:val="none"/>
        </w:rPr>
        <w:t>的要求编制监理规划。</w:t>
      </w:r>
    </w:p>
    <w:p w14:paraId="51EBB087">
      <w:pPr>
        <w:keepNext w:val="0"/>
        <w:keepLines w:val="0"/>
        <w:pageBreakBefore w:val="0"/>
        <w:shd w:val="clear" w:color="auto" w:fill="auto"/>
        <w:kinsoku/>
        <w:wordWrap/>
        <w:overflowPunct/>
        <w:topLinePunct w:val="0"/>
        <w:autoSpaceDE/>
        <w:autoSpaceDN/>
        <w:bidi w:val="0"/>
        <w:adjustRightInd/>
        <w:snapToGrid/>
        <w:spacing w:line="480" w:lineRule="exact"/>
        <w:ind w:firstLine="360" w:firstLineChars="15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、监理工作内容：</w:t>
      </w:r>
    </w:p>
    <w:p w14:paraId="48FFA53E">
      <w:pPr>
        <w:keepNext w:val="0"/>
        <w:keepLines w:val="0"/>
        <w:pageBreakBefore w:val="0"/>
        <w:kinsoku/>
        <w:wordWrap/>
        <w:overflowPunct/>
        <w:topLinePunct w:val="0"/>
        <w:autoSpaceDE/>
        <w:autoSpaceDN/>
        <w:bidi w:val="0"/>
        <w:adjustRightInd/>
        <w:snapToGrid/>
        <w:spacing w:line="480" w:lineRule="exact"/>
        <w:ind w:left="0" w:leftChars="0" w:firstLine="420" w:firstLineChars="175"/>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施工前认真审阅工程设计图纸、设计说明，就工程设计图纸中的问题与建设单位及设计院工程师沟通，充分理解建设单位意图和设计思想，提出合理化建议，对工程功能及系统组成做到全面、深入的了解和掌握。</w:t>
      </w:r>
    </w:p>
    <w:p w14:paraId="6255ECAA">
      <w:pPr>
        <w:keepNext w:val="0"/>
        <w:keepLines w:val="0"/>
        <w:pageBreakBefore w:val="0"/>
        <w:kinsoku/>
        <w:wordWrap/>
        <w:overflowPunct/>
        <w:topLinePunct w:val="0"/>
        <w:autoSpaceDE/>
        <w:autoSpaceDN/>
        <w:bidi w:val="0"/>
        <w:adjustRightInd/>
        <w:snapToGrid/>
        <w:spacing w:line="480" w:lineRule="exact"/>
        <w:ind w:left="0" w:leftChars="0" w:firstLine="420" w:firstLineChars="175"/>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认真审核施工组织设计（施工方案）、质量保证措施和安全技术措施，施工现场的布置、劳动人安排，工具材料准备、预制</w:t>
      </w:r>
      <w:r>
        <w:rPr>
          <w:rFonts w:hint="eastAsia" w:ascii="仿宋" w:hAnsi="仿宋" w:eastAsia="仿宋" w:cs="仿宋"/>
          <w:color w:val="auto"/>
          <w:sz w:val="24"/>
          <w:szCs w:val="24"/>
          <w:lang w:val="en-US" w:eastAsia="zh-CN"/>
        </w:rPr>
        <w:t>成</w:t>
      </w:r>
      <w:r>
        <w:rPr>
          <w:rFonts w:hint="eastAsia" w:ascii="仿宋" w:hAnsi="仿宋" w:eastAsia="仿宋" w:cs="仿宋"/>
          <w:color w:val="auto"/>
          <w:sz w:val="24"/>
          <w:szCs w:val="24"/>
        </w:rPr>
        <w:t>、半成品的生产等，确保工程质量符合设计和规范与工程建设总进度。</w:t>
      </w:r>
    </w:p>
    <w:p w14:paraId="584B44B7">
      <w:pPr>
        <w:keepNext w:val="0"/>
        <w:keepLines w:val="0"/>
        <w:pageBreakBefore w:val="0"/>
        <w:kinsoku/>
        <w:wordWrap/>
        <w:overflowPunct/>
        <w:topLinePunct w:val="0"/>
        <w:autoSpaceDE/>
        <w:autoSpaceDN/>
        <w:bidi w:val="0"/>
        <w:adjustRightInd/>
        <w:snapToGrid/>
        <w:spacing w:line="480" w:lineRule="exact"/>
        <w:ind w:left="0" w:leftChars="0" w:firstLine="420" w:firstLineChars="175"/>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参加由建设单位主持的图纸会审和设计交底会议；协助建设方组织设计图纸会审工作，作好图纸设计交底，使总承包商及全体施工管理人员了解工程设计意图和要求。</w:t>
      </w:r>
    </w:p>
    <w:p w14:paraId="13D4006A">
      <w:pPr>
        <w:keepNext w:val="0"/>
        <w:keepLines w:val="0"/>
        <w:pageBreakBefore w:val="0"/>
        <w:kinsoku/>
        <w:wordWrap/>
        <w:overflowPunct/>
        <w:topLinePunct w:val="0"/>
        <w:autoSpaceDE/>
        <w:autoSpaceDN/>
        <w:bidi w:val="0"/>
        <w:adjustRightInd/>
        <w:snapToGrid/>
        <w:spacing w:line="480" w:lineRule="exact"/>
        <w:ind w:left="0" w:leftChars="0" w:firstLine="420" w:firstLineChars="175"/>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rPr>
        <w:t xml:space="preserve">督促总承包单位认真做好作业前的技术交底，使每个施工人员清楚各自工作的具体要求。 </w:t>
      </w:r>
    </w:p>
    <w:p w14:paraId="5B74D616">
      <w:pPr>
        <w:keepNext w:val="0"/>
        <w:keepLines w:val="0"/>
        <w:pageBreakBefore w:val="0"/>
        <w:kinsoku/>
        <w:wordWrap/>
        <w:overflowPunct/>
        <w:topLinePunct w:val="0"/>
        <w:autoSpaceDE/>
        <w:autoSpaceDN/>
        <w:bidi w:val="0"/>
        <w:adjustRightInd/>
        <w:snapToGrid/>
        <w:spacing w:line="480" w:lineRule="exact"/>
        <w:ind w:left="0" w:leftChars="0" w:firstLine="420" w:firstLineChars="175"/>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5.</w:t>
      </w:r>
      <w:r>
        <w:rPr>
          <w:rFonts w:hint="eastAsia" w:ascii="仿宋" w:hAnsi="仿宋" w:eastAsia="仿宋" w:cs="仿宋"/>
          <w:color w:val="auto"/>
          <w:sz w:val="24"/>
          <w:szCs w:val="24"/>
        </w:rPr>
        <w:t>对各专项系统的主要设备、器材，监理工程师要亲自监督校验调整，掌握系统设备的详细资料、消除隐患。</w:t>
      </w:r>
    </w:p>
    <w:p w14:paraId="7ABE7BEB">
      <w:pPr>
        <w:keepNext w:val="0"/>
        <w:keepLines w:val="0"/>
        <w:pageBreakBefore w:val="0"/>
        <w:kinsoku/>
        <w:wordWrap/>
        <w:overflowPunct/>
        <w:topLinePunct w:val="0"/>
        <w:autoSpaceDE/>
        <w:autoSpaceDN/>
        <w:bidi w:val="0"/>
        <w:adjustRightInd/>
        <w:snapToGrid/>
        <w:spacing w:line="480" w:lineRule="exact"/>
        <w:ind w:left="0" w:leftChars="0" w:firstLine="420" w:firstLineChars="175"/>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6.收到设计文件后编制监理规划，并在第一次工地会议7天前报建设单位，</w:t>
      </w:r>
      <w:r>
        <w:rPr>
          <w:rFonts w:hint="eastAsia" w:ascii="仿宋" w:hAnsi="仿宋" w:eastAsia="仿宋" w:cs="仿宋"/>
          <w:color w:val="auto"/>
          <w:sz w:val="24"/>
          <w:szCs w:val="24"/>
        </w:rPr>
        <w:t>根据有关规定和监理工作需要，编制监理实施细则</w:t>
      </w:r>
      <w:r>
        <w:rPr>
          <w:rFonts w:hint="eastAsia" w:ascii="仿宋" w:hAnsi="仿宋" w:eastAsia="仿宋" w:cs="仿宋"/>
          <w:color w:val="auto"/>
          <w:sz w:val="24"/>
          <w:szCs w:val="24"/>
          <w:lang w:eastAsia="zh-CN"/>
        </w:rPr>
        <w:t>。</w:t>
      </w:r>
    </w:p>
    <w:p w14:paraId="1DE19F68">
      <w:pPr>
        <w:keepNext w:val="0"/>
        <w:keepLines w:val="0"/>
        <w:pageBreakBefore w:val="0"/>
        <w:kinsoku/>
        <w:wordWrap/>
        <w:overflowPunct/>
        <w:topLinePunct w:val="0"/>
        <w:autoSpaceDE/>
        <w:autoSpaceDN/>
        <w:bidi w:val="0"/>
        <w:adjustRightInd/>
        <w:snapToGrid/>
        <w:spacing w:line="480" w:lineRule="exact"/>
        <w:ind w:left="0" w:leftChars="0" w:firstLine="420" w:firstLineChars="175"/>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7.</w:t>
      </w:r>
      <w:r>
        <w:rPr>
          <w:rFonts w:hint="eastAsia" w:ascii="仿宋" w:hAnsi="仿宋" w:eastAsia="仿宋" w:cs="仿宋"/>
          <w:color w:val="auto"/>
          <w:sz w:val="24"/>
          <w:szCs w:val="24"/>
        </w:rPr>
        <w:t>参加由建设单位主持的第一次工地会议；主持监理例会并根据工程需要主持或参加专题会议</w:t>
      </w:r>
      <w:r>
        <w:rPr>
          <w:rFonts w:hint="eastAsia" w:ascii="仿宋" w:hAnsi="仿宋" w:eastAsia="仿宋" w:cs="仿宋"/>
          <w:color w:val="auto"/>
          <w:sz w:val="24"/>
          <w:szCs w:val="24"/>
          <w:lang w:eastAsia="zh-CN"/>
        </w:rPr>
        <w:t>。</w:t>
      </w:r>
    </w:p>
    <w:p w14:paraId="739EBB8F">
      <w:pPr>
        <w:keepNext w:val="0"/>
        <w:keepLines w:val="0"/>
        <w:pageBreakBefore w:val="0"/>
        <w:kinsoku/>
        <w:wordWrap/>
        <w:overflowPunct/>
        <w:topLinePunct w:val="0"/>
        <w:autoSpaceDE/>
        <w:autoSpaceDN/>
        <w:bidi w:val="0"/>
        <w:adjustRightInd/>
        <w:snapToGrid/>
        <w:spacing w:line="480" w:lineRule="exact"/>
        <w:ind w:left="0" w:leftChars="0" w:firstLine="420" w:firstLineChars="175"/>
        <w:textAlignment w:val="auto"/>
        <w:rPr>
          <w:rFonts w:hint="eastAsia" w:ascii="仿宋" w:hAnsi="仿宋" w:eastAsia="仿宋" w:cs="仿宋"/>
          <w:color w:val="auto"/>
          <w:spacing w:val="-8"/>
          <w:sz w:val="24"/>
          <w:szCs w:val="24"/>
        </w:rPr>
      </w:pPr>
      <w:r>
        <w:rPr>
          <w:rFonts w:hint="eastAsia" w:ascii="仿宋" w:hAnsi="仿宋" w:eastAsia="仿宋" w:cs="仿宋"/>
          <w:color w:val="auto"/>
          <w:sz w:val="24"/>
          <w:szCs w:val="24"/>
          <w:lang w:val="en-US" w:eastAsia="zh-CN"/>
        </w:rPr>
        <w:t>8.</w:t>
      </w:r>
      <w:r>
        <w:rPr>
          <w:rFonts w:hint="eastAsia" w:ascii="仿宋" w:hAnsi="仿宋" w:eastAsia="仿宋" w:cs="仿宋"/>
          <w:color w:val="auto"/>
          <w:spacing w:val="-8"/>
          <w:sz w:val="24"/>
          <w:szCs w:val="24"/>
        </w:rPr>
        <w:t>检查施工单位工程质量、安全生产管理制度及组织机构和人员资格</w:t>
      </w:r>
      <w:r>
        <w:rPr>
          <w:rFonts w:hint="eastAsia" w:ascii="仿宋" w:hAnsi="仿宋" w:eastAsia="仿宋" w:cs="仿宋"/>
          <w:color w:val="auto"/>
          <w:spacing w:val="-8"/>
          <w:sz w:val="24"/>
          <w:szCs w:val="24"/>
          <w:lang w:eastAsia="zh-CN"/>
        </w:rPr>
        <w:t>及</w:t>
      </w:r>
      <w:r>
        <w:rPr>
          <w:rFonts w:hint="eastAsia" w:ascii="仿宋" w:hAnsi="仿宋" w:eastAsia="仿宋" w:cs="仿宋"/>
          <w:color w:val="auto"/>
          <w:sz w:val="24"/>
          <w:szCs w:val="24"/>
        </w:rPr>
        <w:t>专职安全生产管理人员的配备情况</w:t>
      </w:r>
      <w:r>
        <w:rPr>
          <w:rFonts w:hint="eastAsia" w:ascii="仿宋" w:hAnsi="仿宋" w:eastAsia="仿宋" w:cs="仿宋"/>
          <w:color w:val="auto"/>
          <w:sz w:val="24"/>
          <w:szCs w:val="24"/>
          <w:lang w:eastAsia="zh-CN"/>
        </w:rPr>
        <w:t>。</w:t>
      </w:r>
    </w:p>
    <w:p w14:paraId="308E26A8">
      <w:pPr>
        <w:keepNext w:val="0"/>
        <w:keepLines w:val="0"/>
        <w:pageBreakBefore w:val="0"/>
        <w:kinsoku/>
        <w:wordWrap/>
        <w:overflowPunct/>
        <w:topLinePunct w:val="0"/>
        <w:autoSpaceDE/>
        <w:autoSpaceDN/>
        <w:bidi w:val="0"/>
        <w:adjustRightInd/>
        <w:snapToGrid/>
        <w:spacing w:line="480" w:lineRule="exact"/>
        <w:ind w:left="0" w:leftChars="0" w:firstLine="420" w:firstLineChars="175"/>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9.</w:t>
      </w:r>
      <w:r>
        <w:rPr>
          <w:rFonts w:hint="eastAsia" w:ascii="仿宋" w:hAnsi="仿宋" w:eastAsia="仿宋" w:cs="仿宋"/>
          <w:color w:val="auto"/>
          <w:sz w:val="24"/>
          <w:szCs w:val="24"/>
        </w:rPr>
        <w:t>审查施工单位提交的施工进度计划，核查施工单位对施工进度计划的调整</w:t>
      </w:r>
      <w:r>
        <w:rPr>
          <w:rFonts w:hint="eastAsia" w:ascii="仿宋" w:hAnsi="仿宋" w:eastAsia="仿宋" w:cs="仿宋"/>
          <w:color w:val="auto"/>
          <w:sz w:val="24"/>
          <w:szCs w:val="24"/>
          <w:lang w:eastAsia="zh-CN"/>
        </w:rPr>
        <w:t>。</w:t>
      </w:r>
    </w:p>
    <w:p w14:paraId="3A324DF9">
      <w:pPr>
        <w:keepNext w:val="0"/>
        <w:keepLines w:val="0"/>
        <w:pageBreakBefore w:val="0"/>
        <w:kinsoku/>
        <w:wordWrap/>
        <w:overflowPunct/>
        <w:topLinePunct w:val="0"/>
        <w:autoSpaceDE/>
        <w:autoSpaceDN/>
        <w:bidi w:val="0"/>
        <w:adjustRightInd/>
        <w:snapToGrid/>
        <w:spacing w:line="480" w:lineRule="exact"/>
        <w:ind w:left="0" w:leftChars="0" w:firstLine="420" w:firstLineChars="175"/>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w:t>
      </w:r>
      <w:r>
        <w:rPr>
          <w:rFonts w:hint="eastAsia" w:ascii="仿宋" w:hAnsi="仿宋" w:eastAsia="仿宋" w:cs="仿宋"/>
          <w:color w:val="auto"/>
          <w:sz w:val="24"/>
          <w:szCs w:val="24"/>
          <w:lang w:val="en-US" w:eastAsia="zh-CN"/>
        </w:rPr>
        <w:t>0.</w:t>
      </w:r>
      <w:r>
        <w:rPr>
          <w:rFonts w:hint="eastAsia" w:ascii="仿宋" w:hAnsi="仿宋" w:eastAsia="仿宋" w:cs="仿宋"/>
          <w:color w:val="auto"/>
          <w:sz w:val="24"/>
          <w:szCs w:val="24"/>
        </w:rPr>
        <w:t>审查工程开工条件，对条件具备的签发开工令</w:t>
      </w:r>
      <w:r>
        <w:rPr>
          <w:rFonts w:hint="eastAsia" w:ascii="仿宋" w:hAnsi="仿宋" w:eastAsia="仿宋" w:cs="仿宋"/>
          <w:color w:val="auto"/>
          <w:sz w:val="24"/>
          <w:szCs w:val="24"/>
          <w:lang w:eastAsia="zh-CN"/>
        </w:rPr>
        <w:t>。</w:t>
      </w:r>
    </w:p>
    <w:p w14:paraId="1323DA0E">
      <w:pPr>
        <w:keepNext w:val="0"/>
        <w:keepLines w:val="0"/>
        <w:pageBreakBefore w:val="0"/>
        <w:kinsoku/>
        <w:wordWrap/>
        <w:overflowPunct/>
        <w:topLinePunct w:val="0"/>
        <w:autoSpaceDE/>
        <w:autoSpaceDN/>
        <w:bidi w:val="0"/>
        <w:adjustRightInd/>
        <w:snapToGrid/>
        <w:spacing w:line="480" w:lineRule="exact"/>
        <w:ind w:left="0" w:leftChars="0" w:firstLine="420" w:firstLineChars="175"/>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w:t>
      </w: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审查施工单位报送的工程材料、构配件、设备质量证明文件的有效性和符合性，并按规定对用于工程的材料采取平行检验或见证取样方式进行抽检</w:t>
      </w:r>
      <w:r>
        <w:rPr>
          <w:rFonts w:hint="eastAsia" w:ascii="仿宋" w:hAnsi="仿宋" w:eastAsia="仿宋" w:cs="仿宋"/>
          <w:color w:val="auto"/>
          <w:sz w:val="24"/>
          <w:szCs w:val="24"/>
          <w:lang w:eastAsia="zh-CN"/>
        </w:rPr>
        <w:t>。</w:t>
      </w:r>
    </w:p>
    <w:p w14:paraId="5B0AAE16">
      <w:pPr>
        <w:keepNext w:val="0"/>
        <w:keepLines w:val="0"/>
        <w:pageBreakBefore w:val="0"/>
        <w:kinsoku/>
        <w:wordWrap/>
        <w:overflowPunct/>
        <w:topLinePunct w:val="0"/>
        <w:autoSpaceDE/>
        <w:autoSpaceDN/>
        <w:bidi w:val="0"/>
        <w:adjustRightInd/>
        <w:snapToGrid/>
        <w:spacing w:line="480" w:lineRule="exact"/>
        <w:ind w:left="0" w:leftChars="0" w:firstLine="420" w:firstLineChars="175"/>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12.</w:t>
      </w:r>
      <w:r>
        <w:rPr>
          <w:rFonts w:hint="eastAsia" w:ascii="仿宋" w:hAnsi="仿宋" w:eastAsia="仿宋" w:cs="仿宋"/>
          <w:color w:val="auto"/>
          <w:sz w:val="24"/>
          <w:szCs w:val="24"/>
        </w:rPr>
        <w:t>审核施工单位提交的工程款支付申请，签发或出具工程款支付证书，并报委托人审核、批准</w:t>
      </w:r>
      <w:r>
        <w:rPr>
          <w:rFonts w:hint="eastAsia" w:ascii="仿宋" w:hAnsi="仿宋" w:eastAsia="仿宋" w:cs="仿宋"/>
          <w:color w:val="auto"/>
          <w:sz w:val="24"/>
          <w:szCs w:val="24"/>
          <w:lang w:eastAsia="zh-CN"/>
        </w:rPr>
        <w:t>。</w:t>
      </w:r>
    </w:p>
    <w:p w14:paraId="0FEC06F9">
      <w:pPr>
        <w:keepNext w:val="0"/>
        <w:keepLines w:val="0"/>
        <w:pageBreakBefore w:val="0"/>
        <w:kinsoku/>
        <w:wordWrap/>
        <w:overflowPunct/>
        <w:topLinePunct w:val="0"/>
        <w:autoSpaceDE/>
        <w:autoSpaceDN/>
        <w:bidi w:val="0"/>
        <w:adjustRightInd/>
        <w:snapToGrid/>
        <w:spacing w:line="480" w:lineRule="exact"/>
        <w:ind w:left="0" w:leftChars="0" w:firstLine="420" w:firstLineChars="175"/>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13.</w:t>
      </w:r>
      <w:r>
        <w:rPr>
          <w:rFonts w:hint="eastAsia" w:ascii="仿宋" w:hAnsi="仿宋" w:eastAsia="仿宋" w:cs="仿宋"/>
          <w:color w:val="auto"/>
          <w:sz w:val="24"/>
          <w:szCs w:val="24"/>
        </w:rPr>
        <w:t>在巡视、旁站和检验过程中，发现工程质量、施工安全存在事故隐患的，要求施工单位整改并报建设单位</w:t>
      </w:r>
      <w:r>
        <w:rPr>
          <w:rFonts w:hint="eastAsia" w:ascii="仿宋" w:hAnsi="仿宋" w:eastAsia="仿宋" w:cs="仿宋"/>
          <w:color w:val="auto"/>
          <w:sz w:val="24"/>
          <w:szCs w:val="24"/>
          <w:lang w:eastAsia="zh-CN"/>
        </w:rPr>
        <w:t>。</w:t>
      </w:r>
    </w:p>
    <w:p w14:paraId="131A3259">
      <w:pPr>
        <w:keepNext w:val="0"/>
        <w:keepLines w:val="0"/>
        <w:pageBreakBefore w:val="0"/>
        <w:kinsoku/>
        <w:wordWrap/>
        <w:overflowPunct/>
        <w:topLinePunct w:val="0"/>
        <w:autoSpaceDE/>
        <w:autoSpaceDN/>
        <w:bidi w:val="0"/>
        <w:adjustRightInd/>
        <w:snapToGrid/>
        <w:spacing w:line="480" w:lineRule="exact"/>
        <w:ind w:left="0" w:leftChars="0" w:firstLine="420" w:firstLineChars="175"/>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14.</w:t>
      </w:r>
      <w:r>
        <w:rPr>
          <w:rFonts w:hint="eastAsia" w:ascii="仿宋" w:hAnsi="仿宋" w:eastAsia="仿宋" w:cs="仿宋"/>
          <w:color w:val="auto"/>
          <w:sz w:val="24"/>
          <w:szCs w:val="24"/>
        </w:rPr>
        <w:t>经建设单位同意，签发工程暂停令和复工令</w:t>
      </w:r>
      <w:r>
        <w:rPr>
          <w:rFonts w:hint="eastAsia" w:ascii="仿宋" w:hAnsi="仿宋" w:eastAsia="仿宋" w:cs="仿宋"/>
          <w:color w:val="auto"/>
          <w:sz w:val="24"/>
          <w:szCs w:val="24"/>
          <w:lang w:eastAsia="zh-CN"/>
        </w:rPr>
        <w:t>。</w:t>
      </w:r>
    </w:p>
    <w:p w14:paraId="7FA4233E">
      <w:pPr>
        <w:keepNext w:val="0"/>
        <w:keepLines w:val="0"/>
        <w:pageBreakBefore w:val="0"/>
        <w:kinsoku/>
        <w:wordWrap/>
        <w:overflowPunct/>
        <w:topLinePunct w:val="0"/>
        <w:autoSpaceDE/>
        <w:autoSpaceDN/>
        <w:bidi w:val="0"/>
        <w:adjustRightInd/>
        <w:snapToGrid/>
        <w:spacing w:line="480" w:lineRule="exact"/>
        <w:ind w:left="0" w:leftChars="0" w:firstLine="420" w:firstLineChars="175"/>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15.</w:t>
      </w:r>
      <w:r>
        <w:rPr>
          <w:rFonts w:hint="eastAsia" w:ascii="仿宋" w:hAnsi="仿宋" w:eastAsia="仿宋" w:cs="仿宋"/>
          <w:color w:val="auto"/>
          <w:sz w:val="24"/>
          <w:szCs w:val="24"/>
        </w:rPr>
        <w:t>验收隐蔽工程、分部分项工程</w:t>
      </w:r>
      <w:r>
        <w:rPr>
          <w:rFonts w:hint="eastAsia" w:ascii="仿宋" w:hAnsi="仿宋" w:eastAsia="仿宋" w:cs="仿宋"/>
          <w:color w:val="auto"/>
          <w:sz w:val="24"/>
          <w:szCs w:val="24"/>
          <w:lang w:eastAsia="zh-CN"/>
        </w:rPr>
        <w:t>。</w:t>
      </w:r>
    </w:p>
    <w:p w14:paraId="013F6D26">
      <w:pPr>
        <w:keepNext w:val="0"/>
        <w:keepLines w:val="0"/>
        <w:pageBreakBefore w:val="0"/>
        <w:kinsoku/>
        <w:wordWrap/>
        <w:overflowPunct/>
        <w:topLinePunct w:val="0"/>
        <w:autoSpaceDE/>
        <w:autoSpaceDN/>
        <w:bidi w:val="0"/>
        <w:adjustRightInd/>
        <w:snapToGrid/>
        <w:spacing w:line="480" w:lineRule="exact"/>
        <w:ind w:left="0" w:leftChars="0" w:firstLine="420" w:firstLineChars="175"/>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16.</w:t>
      </w:r>
      <w:r>
        <w:rPr>
          <w:rFonts w:hint="eastAsia" w:ascii="仿宋" w:hAnsi="仿宋" w:eastAsia="仿宋" w:cs="仿宋"/>
          <w:color w:val="auto"/>
          <w:sz w:val="24"/>
          <w:szCs w:val="24"/>
        </w:rPr>
        <w:t>审查施工单位提交的工程变更申请，协调处理施工进度调整、费用索赔、合同争议等事项</w:t>
      </w:r>
      <w:r>
        <w:rPr>
          <w:rFonts w:hint="eastAsia" w:ascii="仿宋" w:hAnsi="仿宋" w:eastAsia="仿宋" w:cs="仿宋"/>
          <w:color w:val="auto"/>
          <w:sz w:val="24"/>
          <w:szCs w:val="24"/>
          <w:lang w:eastAsia="zh-CN"/>
        </w:rPr>
        <w:t>。</w:t>
      </w:r>
    </w:p>
    <w:p w14:paraId="63D4E9E6">
      <w:pPr>
        <w:keepNext w:val="0"/>
        <w:keepLines w:val="0"/>
        <w:pageBreakBefore w:val="0"/>
        <w:kinsoku/>
        <w:wordWrap/>
        <w:overflowPunct/>
        <w:topLinePunct w:val="0"/>
        <w:autoSpaceDE/>
        <w:autoSpaceDN/>
        <w:bidi w:val="0"/>
        <w:adjustRightInd/>
        <w:snapToGrid/>
        <w:spacing w:line="480" w:lineRule="exact"/>
        <w:ind w:left="0" w:leftChars="0" w:firstLine="420" w:firstLineChars="175"/>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17.</w:t>
      </w:r>
      <w:r>
        <w:rPr>
          <w:rFonts w:hint="eastAsia" w:ascii="仿宋" w:hAnsi="仿宋" w:eastAsia="仿宋" w:cs="仿宋"/>
          <w:color w:val="auto"/>
          <w:sz w:val="24"/>
          <w:szCs w:val="24"/>
        </w:rPr>
        <w:t>审查施工单位提交的竣工验收申请，编写工程质量评估报告</w:t>
      </w:r>
      <w:r>
        <w:rPr>
          <w:rFonts w:hint="eastAsia" w:ascii="仿宋" w:hAnsi="仿宋" w:eastAsia="仿宋" w:cs="仿宋"/>
          <w:color w:val="auto"/>
          <w:sz w:val="24"/>
          <w:szCs w:val="24"/>
          <w:lang w:eastAsia="zh-CN"/>
        </w:rPr>
        <w:t>。</w:t>
      </w:r>
    </w:p>
    <w:p w14:paraId="2DBF720A">
      <w:pPr>
        <w:keepNext w:val="0"/>
        <w:keepLines w:val="0"/>
        <w:pageBreakBefore w:val="0"/>
        <w:kinsoku/>
        <w:wordWrap/>
        <w:overflowPunct/>
        <w:topLinePunct w:val="0"/>
        <w:autoSpaceDE/>
        <w:autoSpaceDN/>
        <w:bidi w:val="0"/>
        <w:adjustRightInd/>
        <w:snapToGrid/>
        <w:spacing w:line="480" w:lineRule="exact"/>
        <w:ind w:left="0" w:leftChars="0" w:firstLine="420" w:firstLineChars="175"/>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18.</w:t>
      </w:r>
      <w:r>
        <w:rPr>
          <w:rFonts w:hint="eastAsia" w:ascii="仿宋" w:hAnsi="仿宋" w:eastAsia="仿宋" w:cs="仿宋"/>
          <w:color w:val="auto"/>
          <w:sz w:val="24"/>
          <w:szCs w:val="24"/>
        </w:rPr>
        <w:t>参加工程竣工验收，签署竣工验收意见</w:t>
      </w:r>
      <w:r>
        <w:rPr>
          <w:rFonts w:hint="eastAsia" w:ascii="仿宋" w:hAnsi="仿宋" w:eastAsia="仿宋" w:cs="仿宋"/>
          <w:color w:val="auto"/>
          <w:sz w:val="24"/>
          <w:szCs w:val="24"/>
          <w:lang w:eastAsia="zh-CN"/>
        </w:rPr>
        <w:t>。</w:t>
      </w:r>
    </w:p>
    <w:p w14:paraId="2F36BB55">
      <w:pPr>
        <w:keepNext w:val="0"/>
        <w:keepLines w:val="0"/>
        <w:pageBreakBefore w:val="0"/>
        <w:kinsoku/>
        <w:wordWrap/>
        <w:overflowPunct/>
        <w:topLinePunct w:val="0"/>
        <w:autoSpaceDE/>
        <w:autoSpaceDN/>
        <w:bidi w:val="0"/>
        <w:adjustRightInd/>
        <w:snapToGrid/>
        <w:spacing w:line="480" w:lineRule="exact"/>
        <w:ind w:left="0" w:leftChars="0" w:firstLine="420" w:firstLineChars="175"/>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19.</w:t>
      </w:r>
      <w:r>
        <w:rPr>
          <w:rFonts w:hint="eastAsia" w:ascii="仿宋" w:hAnsi="仿宋" w:eastAsia="仿宋" w:cs="仿宋"/>
          <w:color w:val="auto"/>
          <w:sz w:val="24"/>
          <w:szCs w:val="24"/>
        </w:rPr>
        <w:t>审查施工单位提交的竣工结算申请并报建设单位</w:t>
      </w:r>
      <w:r>
        <w:rPr>
          <w:rFonts w:hint="eastAsia" w:ascii="仿宋" w:hAnsi="仿宋" w:eastAsia="仿宋" w:cs="仿宋"/>
          <w:color w:val="auto"/>
          <w:sz w:val="24"/>
          <w:szCs w:val="24"/>
          <w:lang w:eastAsia="zh-CN"/>
        </w:rPr>
        <w:t>。</w:t>
      </w:r>
    </w:p>
    <w:p w14:paraId="2D3E6C59">
      <w:pPr>
        <w:keepNext w:val="0"/>
        <w:keepLines w:val="0"/>
        <w:pageBreakBefore w:val="0"/>
        <w:kinsoku/>
        <w:wordWrap/>
        <w:overflowPunct/>
        <w:topLinePunct w:val="0"/>
        <w:autoSpaceDE/>
        <w:autoSpaceDN/>
        <w:bidi w:val="0"/>
        <w:adjustRightInd/>
        <w:snapToGrid/>
        <w:spacing w:line="480" w:lineRule="exact"/>
        <w:ind w:left="0" w:leftChars="0" w:firstLine="420" w:firstLineChars="175"/>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w:t>
      </w:r>
      <w:r>
        <w:rPr>
          <w:rFonts w:hint="eastAsia" w:ascii="仿宋" w:hAnsi="仿宋" w:eastAsia="仿宋" w:cs="仿宋"/>
          <w:color w:val="auto"/>
          <w:sz w:val="24"/>
          <w:szCs w:val="24"/>
          <w:lang w:val="en-US" w:eastAsia="zh-CN"/>
        </w:rPr>
        <w:t>0.</w:t>
      </w:r>
      <w:r>
        <w:rPr>
          <w:rFonts w:hint="eastAsia" w:ascii="仿宋" w:hAnsi="仿宋" w:eastAsia="仿宋" w:cs="仿宋"/>
          <w:color w:val="auto"/>
          <w:sz w:val="24"/>
          <w:szCs w:val="24"/>
        </w:rPr>
        <w:t>编制、整理工程监理归档文件并报建设单位。</w:t>
      </w:r>
    </w:p>
    <w:p w14:paraId="1434393E">
      <w:pPr>
        <w:keepNext w:val="0"/>
        <w:keepLines w:val="0"/>
        <w:pageBreakBefore w:val="0"/>
        <w:shd w:val="clear" w:color="auto" w:fill="auto"/>
        <w:kinsoku/>
        <w:wordWrap/>
        <w:overflowPunct/>
        <w:topLinePunct w:val="0"/>
        <w:autoSpaceDE/>
        <w:autoSpaceDN/>
        <w:bidi w:val="0"/>
        <w:adjustRightInd/>
        <w:snapToGrid/>
        <w:spacing w:line="480" w:lineRule="exact"/>
        <w:ind w:firstLine="360" w:firstLineChars="15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、监理机构职责：监理单位公正、独立、自主地开展监理工作，维护建设单位和承包单位的合法权益。承接本工程的监理业务后未经建设单位同意不得分包。</w:t>
      </w:r>
      <w:r>
        <w:rPr>
          <w:rFonts w:hint="eastAsia" w:ascii="仿宋" w:hAnsi="仿宋" w:eastAsia="仿宋" w:cs="仿宋"/>
          <w:color w:val="auto"/>
          <w:sz w:val="24"/>
          <w:szCs w:val="24"/>
          <w:highlight w:val="none"/>
          <w:lang w:val="en-US" w:eastAsia="zh-CN"/>
        </w:rPr>
        <w:t xml:space="preserve"> </w:t>
      </w:r>
    </w:p>
    <w:p w14:paraId="32BC7627">
      <w:pPr>
        <w:keepNext w:val="0"/>
        <w:keepLines w:val="0"/>
        <w:pageBreakBefore w:val="0"/>
        <w:shd w:val="clear" w:color="auto" w:fill="auto"/>
        <w:kinsoku/>
        <w:wordWrap/>
        <w:overflowPunct/>
        <w:topLinePunct w:val="0"/>
        <w:autoSpaceDE/>
        <w:autoSpaceDN/>
        <w:bidi w:val="0"/>
        <w:adjustRightInd/>
        <w:snapToGrid/>
        <w:spacing w:line="480" w:lineRule="exact"/>
        <w:ind w:firstLine="360" w:firstLineChars="15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lang w:val="zh-CN"/>
        </w:rPr>
        <w:t>监理人在履行本合同的义务期间</w:t>
      </w:r>
      <w:r>
        <w:rPr>
          <w:rFonts w:hint="eastAsia" w:ascii="仿宋" w:hAnsi="仿宋" w:eastAsia="仿宋" w:cs="仿宋"/>
          <w:color w:val="auto"/>
          <w:sz w:val="24"/>
          <w:szCs w:val="24"/>
          <w:highlight w:val="none"/>
          <w:lang w:val="en-US" w:eastAsia="zh-CN"/>
        </w:rPr>
        <w:t>需提供监理日志、旁站记录、总监巡视记录、安全巡视记录、质量巡视记录、月报、会议记录等资料。监理人直至服务结束后，需按甲方要求提供以上等资料。</w:t>
      </w:r>
    </w:p>
    <w:p w14:paraId="7F3227D2">
      <w:pPr>
        <w:keepNext w:val="0"/>
        <w:keepLines w:val="0"/>
        <w:pageBreakBefore w:val="0"/>
        <w:shd w:val="clear" w:color="auto" w:fill="auto"/>
        <w:kinsoku/>
        <w:wordWrap/>
        <w:overflowPunct/>
        <w:topLinePunct w:val="0"/>
        <w:autoSpaceDE/>
        <w:autoSpaceDN/>
        <w:bidi w:val="0"/>
        <w:adjustRightInd/>
        <w:snapToGrid/>
        <w:spacing w:line="480" w:lineRule="exact"/>
        <w:ind w:firstLine="361" w:firstLineChars="150"/>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 xml:space="preserve">三、成果要求 </w:t>
      </w:r>
    </w:p>
    <w:p w14:paraId="0661CF08">
      <w:pPr>
        <w:keepNext w:val="0"/>
        <w:keepLines w:val="0"/>
        <w:pageBreakBefore w:val="0"/>
        <w:shd w:val="clear" w:color="auto" w:fill="auto"/>
        <w:kinsoku/>
        <w:wordWrap/>
        <w:overflowPunct/>
        <w:topLinePunct w:val="0"/>
        <w:autoSpaceDE/>
        <w:autoSpaceDN/>
        <w:bidi w:val="0"/>
        <w:adjustRightInd/>
        <w:snapToGrid/>
        <w:spacing w:line="480" w:lineRule="exact"/>
        <w:ind w:firstLine="360" w:firstLineChars="15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1.每月第3日前向甲方提供上一个月份的监理月报一份。 </w:t>
      </w:r>
    </w:p>
    <w:p w14:paraId="5C0CF672">
      <w:pPr>
        <w:keepNext w:val="0"/>
        <w:keepLines w:val="0"/>
        <w:pageBreakBefore w:val="0"/>
        <w:shd w:val="clear" w:color="auto" w:fill="auto"/>
        <w:kinsoku/>
        <w:wordWrap/>
        <w:overflowPunct/>
        <w:topLinePunct w:val="0"/>
        <w:autoSpaceDE/>
        <w:autoSpaceDN/>
        <w:bidi w:val="0"/>
        <w:adjustRightInd/>
        <w:snapToGrid/>
        <w:spacing w:line="480" w:lineRule="exact"/>
        <w:ind w:firstLine="360" w:firstLineChars="15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2.工程竣工验收30天内向甲方提供完整的装订成册后的监理资料一份。 </w:t>
      </w:r>
    </w:p>
    <w:p w14:paraId="0570B6C4">
      <w:pPr>
        <w:keepNext w:val="0"/>
        <w:keepLines w:val="0"/>
        <w:pageBreakBefore w:val="0"/>
        <w:shd w:val="clear" w:color="auto" w:fill="auto"/>
        <w:kinsoku/>
        <w:wordWrap/>
        <w:overflowPunct/>
        <w:topLinePunct w:val="0"/>
        <w:autoSpaceDE/>
        <w:autoSpaceDN/>
        <w:bidi w:val="0"/>
        <w:adjustRightInd/>
        <w:snapToGrid/>
        <w:spacing w:line="480" w:lineRule="exact"/>
        <w:ind w:firstLine="361" w:firstLineChars="150"/>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 xml:space="preserve">四 、时间要求 </w:t>
      </w:r>
    </w:p>
    <w:p w14:paraId="714F2EA8">
      <w:pPr>
        <w:keepNext w:val="0"/>
        <w:keepLines w:val="0"/>
        <w:pageBreakBefore w:val="0"/>
        <w:shd w:val="clear" w:color="auto" w:fill="auto"/>
        <w:kinsoku/>
        <w:wordWrap/>
        <w:overflowPunct/>
        <w:topLinePunct w:val="0"/>
        <w:autoSpaceDE/>
        <w:autoSpaceDN/>
        <w:bidi w:val="0"/>
        <w:adjustRightInd/>
        <w:snapToGrid/>
        <w:spacing w:line="480" w:lineRule="exact"/>
        <w:ind w:firstLine="360" w:firstLineChars="15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监理单位服务期限为中标通知书日起至项目达到规定国家的质量保修期之日止。在工程完工后向我单位提交完整的监理资料（纸质版和电子版）。监理服务周期到期后，因该工程需要监理人继续提供服务的，监理服务报酬不予增加。 </w:t>
      </w:r>
    </w:p>
    <w:p w14:paraId="48E87561">
      <w:pPr>
        <w:keepNext w:val="0"/>
        <w:keepLines w:val="0"/>
        <w:pageBreakBefore w:val="0"/>
        <w:shd w:val="clear" w:color="auto" w:fill="auto"/>
        <w:kinsoku/>
        <w:wordWrap/>
        <w:overflowPunct/>
        <w:topLinePunct w:val="0"/>
        <w:autoSpaceDE/>
        <w:autoSpaceDN/>
        <w:bidi w:val="0"/>
        <w:adjustRightInd/>
        <w:snapToGrid/>
        <w:spacing w:line="480" w:lineRule="exact"/>
        <w:ind w:firstLine="361" w:firstLineChars="150"/>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 xml:space="preserve">五、 付款方式 </w:t>
      </w:r>
    </w:p>
    <w:p w14:paraId="1FDDC1A7">
      <w:pPr>
        <w:keepNext w:val="0"/>
        <w:keepLines w:val="0"/>
        <w:pageBreakBefore w:val="0"/>
        <w:shd w:val="clear" w:color="auto" w:fill="auto"/>
        <w:kinsoku/>
        <w:wordWrap/>
        <w:overflowPunct/>
        <w:topLinePunct w:val="0"/>
        <w:autoSpaceDE/>
        <w:autoSpaceDN/>
        <w:bidi w:val="0"/>
        <w:adjustRightInd/>
        <w:snapToGrid/>
        <w:spacing w:line="480" w:lineRule="exact"/>
        <w:ind w:firstLine="360" w:firstLineChars="15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按照工程进度支付监理费，工程完成60%时，支付合同价款的50%；工程完成竣工验收监理资料提交后支付合同价款的100%。（最终甲乙双方签订合同为准）</w:t>
      </w:r>
    </w:p>
    <w:p w14:paraId="78F09C95">
      <w:pPr>
        <w:keepNext w:val="0"/>
        <w:keepLines w:val="0"/>
        <w:pageBreakBefore w:val="0"/>
        <w:shd w:val="clear" w:color="auto" w:fill="auto"/>
        <w:kinsoku/>
        <w:wordWrap/>
        <w:overflowPunct/>
        <w:topLinePunct w:val="0"/>
        <w:autoSpaceDE/>
        <w:autoSpaceDN/>
        <w:bidi w:val="0"/>
        <w:adjustRightInd/>
        <w:snapToGrid/>
        <w:spacing w:line="480" w:lineRule="exact"/>
        <w:ind w:firstLine="361" w:firstLineChars="15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六、其他</w:t>
      </w:r>
    </w:p>
    <w:p w14:paraId="119A43F2">
      <w:pPr>
        <w:keepNext w:val="0"/>
        <w:keepLines w:val="0"/>
        <w:pageBreakBefore w:val="0"/>
        <w:shd w:val="clear" w:color="auto" w:fill="auto"/>
        <w:kinsoku/>
        <w:wordWrap/>
        <w:overflowPunct/>
        <w:topLinePunct w:val="0"/>
        <w:autoSpaceDE/>
        <w:autoSpaceDN/>
        <w:bidi w:val="0"/>
        <w:adjustRightInd/>
        <w:snapToGrid/>
        <w:spacing w:line="480" w:lineRule="exact"/>
        <w:ind w:firstLine="360" w:firstLineChars="15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1、投标人必须在投标文件中对以上条款和服务承诺逐条明确列出，承诺内容必须达到本篇及公开采购文件其他条款的要求。</w:t>
      </w:r>
    </w:p>
    <w:p w14:paraId="7D71F1B6">
      <w:pPr>
        <w:keepNext w:val="0"/>
        <w:keepLines w:val="0"/>
        <w:pageBreakBefore w:val="0"/>
        <w:shd w:val="clear" w:color="auto" w:fill="auto"/>
        <w:kinsoku/>
        <w:wordWrap/>
        <w:overflowPunct/>
        <w:topLinePunct w:val="0"/>
        <w:autoSpaceDE/>
        <w:autoSpaceDN/>
        <w:bidi w:val="0"/>
        <w:adjustRightInd/>
        <w:snapToGrid/>
        <w:spacing w:line="480" w:lineRule="exact"/>
        <w:ind w:firstLine="360" w:firstLineChars="150"/>
        <w:textAlignment w:val="auto"/>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sz w:val="24"/>
          <w:szCs w:val="24"/>
          <w:highlight w:val="none"/>
          <w:lang w:val="en-US" w:eastAsia="zh-CN"/>
        </w:rPr>
        <w:t>2、其他未尽事宜由供需双方在采购合同中详细约定。</w:t>
      </w:r>
    </w:p>
    <w:p w14:paraId="40AC4113">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left"/>
        <w:textAlignment w:val="auto"/>
        <w:outlineLvl w:val="0"/>
        <w:rPr>
          <w:rFonts w:hint="eastAsia" w:ascii="仿宋" w:hAnsi="仿宋" w:eastAsia="仿宋" w:cs="仿宋"/>
          <w:b w:val="0"/>
          <w:bCs/>
          <w:color w:val="auto"/>
          <w:sz w:val="24"/>
          <w:szCs w:val="24"/>
          <w:highlight w:val="none"/>
          <w:lang w:eastAsia="zh-CN"/>
        </w:rPr>
      </w:pPr>
    </w:p>
    <w:p w14:paraId="76F10964">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left"/>
        <w:textAlignment w:val="auto"/>
        <w:outlineLvl w:val="0"/>
        <w:rPr>
          <w:rFonts w:hint="eastAsia" w:ascii="仿宋" w:hAnsi="仿宋" w:eastAsia="仿宋" w:cs="仿宋"/>
          <w:b w:val="0"/>
          <w:bCs/>
          <w:color w:val="auto"/>
          <w:sz w:val="24"/>
          <w:szCs w:val="24"/>
          <w:highlight w:val="none"/>
          <w:lang w:eastAsia="zh-CN"/>
        </w:rPr>
      </w:pPr>
    </w:p>
    <w:p w14:paraId="58C9C808">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left"/>
        <w:textAlignment w:val="auto"/>
        <w:outlineLvl w:val="0"/>
        <w:rPr>
          <w:rFonts w:hint="eastAsia" w:ascii="仿宋" w:hAnsi="仿宋" w:eastAsia="仿宋" w:cs="仿宋"/>
          <w:b w:val="0"/>
          <w:bCs/>
          <w:color w:val="auto"/>
          <w:sz w:val="24"/>
          <w:szCs w:val="24"/>
          <w:highlight w:val="none"/>
          <w:lang w:eastAsia="zh-CN"/>
        </w:rPr>
      </w:pPr>
    </w:p>
    <w:p w14:paraId="2A085ACB">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left"/>
        <w:textAlignment w:val="auto"/>
        <w:outlineLvl w:val="0"/>
        <w:rPr>
          <w:rFonts w:hint="eastAsia" w:ascii="仿宋" w:hAnsi="仿宋" w:eastAsia="仿宋" w:cs="仿宋"/>
          <w:b w:val="0"/>
          <w:bCs/>
          <w:color w:val="auto"/>
          <w:sz w:val="24"/>
          <w:szCs w:val="24"/>
          <w:highlight w:val="none"/>
          <w:lang w:eastAsia="zh-CN"/>
        </w:rPr>
      </w:pPr>
    </w:p>
    <w:p w14:paraId="1732B41B">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left"/>
        <w:textAlignment w:val="auto"/>
        <w:outlineLvl w:val="0"/>
        <w:rPr>
          <w:rFonts w:hint="eastAsia" w:ascii="仿宋" w:hAnsi="仿宋" w:eastAsia="仿宋" w:cs="仿宋"/>
          <w:b w:val="0"/>
          <w:bCs/>
          <w:color w:val="auto"/>
          <w:sz w:val="24"/>
          <w:szCs w:val="24"/>
          <w:highlight w:val="none"/>
          <w:lang w:eastAsia="zh-CN"/>
        </w:rPr>
      </w:pPr>
    </w:p>
    <w:p w14:paraId="24EB2360">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left"/>
        <w:textAlignment w:val="auto"/>
        <w:outlineLvl w:val="0"/>
        <w:rPr>
          <w:rFonts w:hint="eastAsia" w:ascii="仿宋" w:hAnsi="仿宋" w:eastAsia="仿宋" w:cs="仿宋"/>
          <w:b w:val="0"/>
          <w:bCs/>
          <w:color w:val="auto"/>
          <w:sz w:val="24"/>
          <w:szCs w:val="24"/>
          <w:highlight w:val="none"/>
          <w:lang w:eastAsia="zh-CN"/>
        </w:rPr>
      </w:pPr>
    </w:p>
    <w:p w14:paraId="2BE1BD0C">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left"/>
        <w:textAlignment w:val="auto"/>
        <w:outlineLvl w:val="0"/>
        <w:rPr>
          <w:rFonts w:hint="eastAsia" w:ascii="仿宋" w:hAnsi="仿宋" w:eastAsia="仿宋" w:cs="仿宋"/>
          <w:b w:val="0"/>
          <w:bCs/>
          <w:color w:val="auto"/>
          <w:sz w:val="24"/>
          <w:szCs w:val="24"/>
          <w:highlight w:val="none"/>
          <w:lang w:eastAsia="zh-CN"/>
        </w:rPr>
      </w:pPr>
    </w:p>
    <w:p w14:paraId="6DC21061">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left"/>
        <w:textAlignment w:val="auto"/>
        <w:outlineLvl w:val="0"/>
        <w:rPr>
          <w:rFonts w:hint="eastAsia" w:ascii="仿宋" w:hAnsi="仿宋" w:eastAsia="仿宋" w:cs="仿宋"/>
          <w:b w:val="0"/>
          <w:bCs/>
          <w:color w:val="auto"/>
          <w:sz w:val="24"/>
          <w:szCs w:val="24"/>
          <w:highlight w:val="none"/>
          <w:lang w:eastAsia="zh-CN"/>
        </w:rPr>
      </w:pPr>
    </w:p>
    <w:p w14:paraId="33BCC31C">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left"/>
        <w:textAlignment w:val="auto"/>
        <w:outlineLvl w:val="0"/>
        <w:rPr>
          <w:rFonts w:hint="eastAsia" w:ascii="仿宋" w:hAnsi="仿宋" w:eastAsia="仿宋" w:cs="仿宋"/>
          <w:b w:val="0"/>
          <w:bCs/>
          <w:color w:val="auto"/>
          <w:sz w:val="24"/>
          <w:szCs w:val="24"/>
          <w:highlight w:val="none"/>
          <w:lang w:eastAsia="zh-CN"/>
        </w:rPr>
      </w:pPr>
    </w:p>
    <w:p w14:paraId="50336D0C">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left"/>
        <w:textAlignment w:val="auto"/>
        <w:outlineLvl w:val="0"/>
        <w:rPr>
          <w:rFonts w:hint="eastAsia" w:ascii="仿宋" w:hAnsi="仿宋" w:eastAsia="仿宋" w:cs="仿宋"/>
          <w:b w:val="0"/>
          <w:bCs/>
          <w:color w:val="auto"/>
          <w:sz w:val="24"/>
          <w:szCs w:val="24"/>
          <w:highlight w:val="none"/>
          <w:lang w:eastAsia="zh-CN"/>
        </w:rPr>
      </w:pPr>
    </w:p>
    <w:p w14:paraId="0A1BD6BB">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left"/>
        <w:textAlignment w:val="auto"/>
        <w:outlineLvl w:val="0"/>
        <w:rPr>
          <w:rFonts w:hint="eastAsia" w:ascii="仿宋" w:hAnsi="仿宋" w:eastAsia="仿宋" w:cs="仿宋"/>
          <w:b w:val="0"/>
          <w:bCs/>
          <w:color w:val="auto"/>
          <w:sz w:val="24"/>
          <w:szCs w:val="24"/>
          <w:highlight w:val="none"/>
          <w:lang w:eastAsia="zh-CN"/>
        </w:rPr>
      </w:pPr>
    </w:p>
    <w:p w14:paraId="08A60BE7">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left"/>
        <w:textAlignment w:val="auto"/>
        <w:outlineLvl w:val="0"/>
        <w:rPr>
          <w:rFonts w:hint="eastAsia" w:ascii="仿宋" w:hAnsi="仿宋" w:eastAsia="仿宋" w:cs="仿宋"/>
          <w:b w:val="0"/>
          <w:bCs/>
          <w:color w:val="auto"/>
          <w:sz w:val="24"/>
          <w:szCs w:val="24"/>
          <w:highlight w:val="none"/>
          <w:lang w:eastAsia="zh-CN"/>
        </w:rPr>
      </w:pPr>
    </w:p>
    <w:p w14:paraId="2ADB15CA">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left"/>
        <w:textAlignment w:val="auto"/>
        <w:outlineLvl w:val="0"/>
        <w:rPr>
          <w:rFonts w:hint="eastAsia" w:ascii="仿宋" w:hAnsi="仿宋" w:eastAsia="仿宋" w:cs="仿宋"/>
          <w:b w:val="0"/>
          <w:bCs/>
          <w:color w:val="auto"/>
          <w:sz w:val="24"/>
          <w:szCs w:val="24"/>
          <w:highlight w:val="none"/>
          <w:lang w:eastAsia="zh-CN"/>
        </w:rPr>
      </w:pPr>
    </w:p>
    <w:p w14:paraId="47DC80E1">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left"/>
        <w:textAlignment w:val="auto"/>
        <w:outlineLvl w:val="0"/>
        <w:rPr>
          <w:rFonts w:hint="eastAsia" w:ascii="仿宋" w:hAnsi="仿宋" w:eastAsia="仿宋" w:cs="仿宋"/>
          <w:b w:val="0"/>
          <w:bCs/>
          <w:color w:val="auto"/>
          <w:sz w:val="24"/>
          <w:szCs w:val="24"/>
          <w:highlight w:val="none"/>
          <w:lang w:eastAsia="zh-CN"/>
        </w:rPr>
      </w:pPr>
    </w:p>
    <w:p w14:paraId="3A8DD2DF">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left"/>
        <w:textAlignment w:val="auto"/>
        <w:outlineLvl w:val="0"/>
        <w:rPr>
          <w:rFonts w:hint="eastAsia" w:ascii="仿宋" w:hAnsi="仿宋" w:eastAsia="仿宋" w:cs="仿宋"/>
          <w:b w:val="0"/>
          <w:bCs/>
          <w:color w:val="auto"/>
          <w:sz w:val="24"/>
          <w:szCs w:val="24"/>
          <w:highlight w:val="none"/>
          <w:lang w:eastAsia="zh-CN"/>
        </w:rPr>
      </w:pPr>
    </w:p>
    <w:p w14:paraId="2C20A2A2">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left"/>
        <w:textAlignment w:val="auto"/>
        <w:outlineLvl w:val="0"/>
        <w:rPr>
          <w:rFonts w:hint="eastAsia" w:ascii="仿宋" w:hAnsi="仿宋" w:eastAsia="仿宋" w:cs="仿宋"/>
          <w:b w:val="0"/>
          <w:bCs/>
          <w:color w:val="auto"/>
          <w:sz w:val="24"/>
          <w:szCs w:val="24"/>
          <w:highlight w:val="none"/>
          <w:lang w:eastAsia="zh-CN"/>
        </w:rPr>
      </w:pPr>
    </w:p>
    <w:p w14:paraId="3FE29227">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left"/>
        <w:textAlignment w:val="auto"/>
        <w:outlineLvl w:val="0"/>
        <w:rPr>
          <w:rFonts w:hint="eastAsia" w:ascii="仿宋" w:hAnsi="仿宋" w:eastAsia="仿宋" w:cs="仿宋"/>
          <w:b w:val="0"/>
          <w:bCs/>
          <w:color w:val="auto"/>
          <w:sz w:val="24"/>
          <w:szCs w:val="24"/>
          <w:highlight w:val="none"/>
          <w:lang w:eastAsia="zh-CN"/>
        </w:rPr>
      </w:pPr>
    </w:p>
    <w:p w14:paraId="6B67ABBC">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left"/>
        <w:textAlignment w:val="auto"/>
        <w:outlineLvl w:val="0"/>
        <w:rPr>
          <w:rFonts w:hint="eastAsia" w:ascii="仿宋" w:hAnsi="仿宋" w:eastAsia="仿宋" w:cs="仿宋"/>
          <w:b w:val="0"/>
          <w:bCs/>
          <w:color w:val="auto"/>
          <w:sz w:val="24"/>
          <w:szCs w:val="24"/>
          <w:highlight w:val="none"/>
          <w:lang w:eastAsia="zh-CN"/>
        </w:rPr>
      </w:pPr>
    </w:p>
    <w:p w14:paraId="3263B4AB">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0"/>
        <w:rPr>
          <w:rFonts w:hint="eastAsia" w:ascii="仿宋" w:hAnsi="仿宋" w:eastAsia="仿宋" w:cs="仿宋"/>
          <w:b/>
          <w:color w:val="auto"/>
          <w:sz w:val="30"/>
          <w:szCs w:val="30"/>
          <w:highlight w:val="none"/>
          <w:lang w:eastAsia="zh-CN"/>
        </w:rPr>
      </w:pPr>
    </w:p>
    <w:p w14:paraId="01BA1C08">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0"/>
        <w:rPr>
          <w:rFonts w:hint="eastAsia" w:ascii="仿宋" w:hAnsi="仿宋" w:eastAsia="仿宋" w:cs="仿宋"/>
          <w:b/>
          <w:color w:val="auto"/>
          <w:sz w:val="30"/>
          <w:szCs w:val="30"/>
          <w:highlight w:val="none"/>
          <w:lang w:eastAsia="zh-CN"/>
        </w:rPr>
      </w:pPr>
    </w:p>
    <w:p w14:paraId="602A759E">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CC6DD4"/>
    <w:rsid w:val="27E849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2194</Words>
  <Characters>2257</Characters>
  <Lines>0</Lines>
  <Paragraphs>0</Paragraphs>
  <TotalTime>0</TotalTime>
  <ScaleCrop>false</ScaleCrop>
  <LinksUpToDate>false</LinksUpToDate>
  <CharactersWithSpaces>2277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2026-11-05T05:15:00Z</dcterms:created>
  <dc:creator>Administrator</dc:creator>
  <cp:lastModifiedBy>【25】双双</cp:lastModifiedBy>
  <dcterms:modified xsi:type="dcterms:W3CDTF">2026-11-05T02:05:48Z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eyJoZGlkIjoiZWQ3ZWU5YjE0NzI5OTQyOTVkY2EyMTk2YjczOWIxMTgiLCJ1c2VySWQiOiI0NzAyMDMxMzQifQ==</vt:lpwstr>
  </property>
  <property fmtid="{D5CDD505-2E9C-101B-9397-08002B2CF9AE}" pid="4" name="ICV">
    <vt:lpwstr>F38B79DB1C624B238071FD97AFCC6CA0_12</vt:lpwstr>
  </property>
</Properties>
</file>