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F7895">
      <w:pPr>
        <w:pStyle w:val="28"/>
        <w:spacing w:line="360" w:lineRule="auto"/>
        <w:ind w:firstLine="0" w:firstLineChars="0"/>
        <w:jc w:val="center"/>
        <w:rPr>
          <w:rFonts w:hint="eastAsia" w:ascii="仿宋" w:hAnsi="仿宋" w:eastAsia="仿宋" w:cs="仿宋"/>
          <w:b/>
          <w:bCs/>
          <w:color w:val="auto"/>
          <w:sz w:val="40"/>
          <w:szCs w:val="28"/>
          <w:highlight w:val="none"/>
          <w:lang w:eastAsia="zh-CN"/>
        </w:rPr>
      </w:pPr>
      <w:bookmarkStart w:id="0" w:name="_Toc519111259"/>
      <w:r>
        <w:rPr>
          <w:rFonts w:hint="eastAsia" w:ascii="仿宋" w:hAnsi="仿宋" w:eastAsia="仿宋" w:cs="仿宋"/>
          <w:b/>
          <w:bCs/>
          <w:color w:val="auto"/>
          <w:sz w:val="40"/>
          <w:szCs w:val="28"/>
          <w:highlight w:val="none"/>
          <w:lang w:eastAsia="zh-CN"/>
        </w:rPr>
        <w:t>露天矿挖机-矿卡智能交互与协同装载关键技术研究项目</w:t>
      </w:r>
    </w:p>
    <w:p w14:paraId="65575904">
      <w:pPr>
        <w:spacing w:line="360" w:lineRule="auto"/>
        <w:jc w:val="center"/>
        <w:rPr>
          <w:rFonts w:hint="eastAsia" w:ascii="仿宋" w:hAnsi="仿宋" w:eastAsia="仿宋" w:cs="仿宋"/>
          <w:b/>
          <w:bCs/>
          <w:color w:val="auto"/>
          <w:sz w:val="40"/>
          <w:szCs w:val="28"/>
          <w:highlight w:val="none"/>
          <w:lang w:val="en-US" w:eastAsia="zh-CN"/>
        </w:rPr>
      </w:pPr>
    </w:p>
    <w:p w14:paraId="09FFCFC7">
      <w:pPr>
        <w:spacing w:line="360" w:lineRule="auto"/>
        <w:jc w:val="center"/>
        <w:rPr>
          <w:rFonts w:hint="eastAsia" w:ascii="仿宋" w:hAnsi="仿宋" w:eastAsia="仿宋" w:cs="仿宋"/>
          <w:color w:val="auto"/>
          <w:sz w:val="22"/>
          <w:szCs w:val="22"/>
          <w:highlight w:val="none"/>
        </w:rPr>
      </w:pPr>
      <w:r>
        <w:rPr>
          <w:rFonts w:hint="eastAsia" w:ascii="仿宋" w:hAnsi="仿宋" w:eastAsia="仿宋" w:cs="仿宋"/>
          <w:b/>
          <w:bCs/>
          <w:color w:val="auto"/>
          <w:sz w:val="40"/>
          <w:szCs w:val="28"/>
          <w:highlight w:val="none"/>
          <w:lang w:val="en-US" w:eastAsia="zh-CN"/>
        </w:rPr>
        <w:t>备案</w:t>
      </w:r>
      <w:r>
        <w:rPr>
          <w:rFonts w:hint="eastAsia" w:ascii="仿宋" w:hAnsi="仿宋" w:eastAsia="仿宋" w:cs="仿宋"/>
          <w:b/>
          <w:bCs/>
          <w:color w:val="auto"/>
          <w:sz w:val="40"/>
          <w:szCs w:val="28"/>
          <w:highlight w:val="none"/>
        </w:rPr>
        <w:t>编号：</w:t>
      </w:r>
      <w:r>
        <w:rPr>
          <w:rFonts w:hint="eastAsia" w:ascii="仿宋" w:hAnsi="仿宋" w:eastAsia="仿宋" w:cs="仿宋"/>
          <w:b/>
          <w:bCs/>
          <w:color w:val="auto"/>
          <w:sz w:val="40"/>
          <w:szCs w:val="28"/>
          <w:highlight w:val="none"/>
          <w:lang w:eastAsia="zh-CN"/>
        </w:rPr>
        <w:t>2026-1010-104204</w:t>
      </w:r>
    </w:p>
    <w:p w14:paraId="35D2B326">
      <w:pPr>
        <w:spacing w:line="360" w:lineRule="auto"/>
        <w:rPr>
          <w:rFonts w:hint="eastAsia" w:ascii="仿宋" w:hAnsi="仿宋" w:eastAsia="仿宋" w:cs="仿宋"/>
          <w:color w:val="auto"/>
          <w:sz w:val="22"/>
          <w:szCs w:val="22"/>
          <w:highlight w:val="none"/>
        </w:rPr>
      </w:pPr>
    </w:p>
    <w:p w14:paraId="6F2F98EF">
      <w:pPr>
        <w:spacing w:line="360" w:lineRule="auto"/>
        <w:rPr>
          <w:rFonts w:hint="eastAsia" w:ascii="仿宋" w:hAnsi="仿宋" w:eastAsia="仿宋" w:cs="仿宋"/>
          <w:color w:val="auto"/>
          <w:sz w:val="22"/>
          <w:szCs w:val="22"/>
          <w:highlight w:val="none"/>
        </w:rPr>
      </w:pPr>
    </w:p>
    <w:p w14:paraId="100B0AC1">
      <w:pPr>
        <w:pStyle w:val="28"/>
        <w:spacing w:line="360" w:lineRule="auto"/>
        <w:ind w:firstLine="0" w:firstLineChars="0"/>
        <w:rPr>
          <w:rFonts w:hint="eastAsia" w:ascii="仿宋" w:hAnsi="仿宋" w:eastAsia="仿宋" w:cs="仿宋"/>
          <w:color w:val="auto"/>
          <w:sz w:val="22"/>
          <w:szCs w:val="18"/>
          <w:highlight w:val="none"/>
        </w:rPr>
      </w:pPr>
    </w:p>
    <w:p w14:paraId="12A84065">
      <w:pPr>
        <w:spacing w:line="360" w:lineRule="auto"/>
        <w:rPr>
          <w:rFonts w:hint="eastAsia" w:ascii="仿宋" w:hAnsi="仿宋" w:eastAsia="仿宋" w:cs="仿宋"/>
          <w:color w:val="auto"/>
          <w:sz w:val="22"/>
          <w:szCs w:val="22"/>
          <w:highlight w:val="none"/>
        </w:rPr>
      </w:pPr>
    </w:p>
    <w:p w14:paraId="176DCAAA">
      <w:pPr>
        <w:spacing w:line="360" w:lineRule="auto"/>
        <w:rPr>
          <w:rFonts w:hint="eastAsia" w:ascii="仿宋" w:hAnsi="仿宋" w:eastAsia="仿宋" w:cs="仿宋"/>
          <w:color w:val="auto"/>
          <w:sz w:val="22"/>
          <w:szCs w:val="22"/>
          <w:highlight w:val="none"/>
        </w:rPr>
      </w:pPr>
    </w:p>
    <w:p w14:paraId="6C89273A">
      <w:pPr>
        <w:spacing w:line="360" w:lineRule="auto"/>
        <w:rPr>
          <w:rFonts w:hint="eastAsia" w:ascii="仿宋" w:hAnsi="仿宋" w:eastAsia="仿宋" w:cs="仿宋"/>
          <w:color w:val="auto"/>
          <w:sz w:val="22"/>
          <w:szCs w:val="22"/>
          <w:highlight w:val="none"/>
        </w:rPr>
      </w:pPr>
    </w:p>
    <w:p w14:paraId="37BA5E1D">
      <w:pPr>
        <w:spacing w:line="360" w:lineRule="auto"/>
        <w:rPr>
          <w:rFonts w:hint="eastAsia" w:ascii="仿宋" w:hAnsi="仿宋" w:eastAsia="仿宋" w:cs="仿宋"/>
          <w:color w:val="auto"/>
          <w:sz w:val="22"/>
          <w:szCs w:val="22"/>
          <w:highlight w:val="none"/>
        </w:rPr>
      </w:pPr>
    </w:p>
    <w:p w14:paraId="5BBB1198">
      <w:pPr>
        <w:pStyle w:val="28"/>
        <w:spacing w:line="360" w:lineRule="auto"/>
        <w:ind w:firstLine="431"/>
        <w:rPr>
          <w:rFonts w:hint="eastAsia" w:ascii="仿宋" w:hAnsi="仿宋" w:eastAsia="仿宋" w:cs="仿宋"/>
          <w:color w:val="auto"/>
          <w:sz w:val="22"/>
          <w:szCs w:val="18"/>
          <w:highlight w:val="none"/>
        </w:rPr>
      </w:pPr>
    </w:p>
    <w:p w14:paraId="329EE92F">
      <w:pPr>
        <w:spacing w:line="360" w:lineRule="auto"/>
        <w:jc w:val="center"/>
        <w:rPr>
          <w:rFonts w:hint="eastAsia" w:ascii="仿宋" w:hAnsi="仿宋" w:eastAsia="仿宋" w:cs="仿宋"/>
          <w:b/>
          <w:bCs/>
          <w:color w:val="auto"/>
          <w:sz w:val="260"/>
          <w:szCs w:val="96"/>
          <w:highlight w:val="none"/>
        </w:rPr>
      </w:pPr>
      <w:r>
        <w:rPr>
          <w:rFonts w:hint="eastAsia" w:ascii="仿宋" w:hAnsi="仿宋" w:eastAsia="仿宋" w:cs="仿宋"/>
          <w:b/>
          <w:bCs/>
          <w:color w:val="auto"/>
          <w:sz w:val="44"/>
          <w:szCs w:val="44"/>
          <w:highlight w:val="none"/>
        </w:rPr>
        <w:t>招 标 文 件</w:t>
      </w:r>
    </w:p>
    <w:p w14:paraId="1564784F">
      <w:pPr>
        <w:spacing w:line="360" w:lineRule="auto"/>
        <w:rPr>
          <w:rFonts w:hint="eastAsia" w:ascii="仿宋" w:hAnsi="仿宋" w:eastAsia="仿宋" w:cs="仿宋"/>
          <w:b/>
          <w:bCs/>
          <w:color w:val="auto"/>
          <w:sz w:val="22"/>
          <w:szCs w:val="22"/>
          <w:highlight w:val="none"/>
        </w:rPr>
      </w:pPr>
    </w:p>
    <w:p w14:paraId="4A682612">
      <w:pPr>
        <w:spacing w:line="360" w:lineRule="auto"/>
        <w:rPr>
          <w:rFonts w:hint="eastAsia" w:ascii="仿宋" w:hAnsi="仿宋" w:eastAsia="仿宋" w:cs="仿宋"/>
          <w:b/>
          <w:bCs/>
          <w:color w:val="auto"/>
          <w:sz w:val="22"/>
          <w:szCs w:val="22"/>
          <w:highlight w:val="none"/>
        </w:rPr>
      </w:pPr>
    </w:p>
    <w:p w14:paraId="1AF6DD90">
      <w:pPr>
        <w:spacing w:line="360" w:lineRule="auto"/>
        <w:rPr>
          <w:rFonts w:hint="eastAsia" w:ascii="仿宋" w:hAnsi="仿宋" w:eastAsia="仿宋" w:cs="仿宋"/>
          <w:b/>
          <w:bCs/>
          <w:color w:val="auto"/>
          <w:sz w:val="22"/>
          <w:szCs w:val="22"/>
          <w:highlight w:val="none"/>
        </w:rPr>
      </w:pPr>
    </w:p>
    <w:p w14:paraId="490DC6A1">
      <w:pPr>
        <w:spacing w:line="360" w:lineRule="auto"/>
        <w:rPr>
          <w:rFonts w:hint="eastAsia" w:ascii="仿宋" w:hAnsi="仿宋" w:eastAsia="仿宋" w:cs="仿宋"/>
          <w:b/>
          <w:bCs/>
          <w:color w:val="auto"/>
          <w:sz w:val="22"/>
          <w:szCs w:val="22"/>
          <w:highlight w:val="none"/>
        </w:rPr>
      </w:pPr>
    </w:p>
    <w:p w14:paraId="1889634C">
      <w:pPr>
        <w:spacing w:line="360" w:lineRule="auto"/>
        <w:rPr>
          <w:rFonts w:hint="eastAsia" w:ascii="仿宋" w:hAnsi="仿宋" w:eastAsia="仿宋" w:cs="仿宋"/>
          <w:b/>
          <w:bCs/>
          <w:color w:val="auto"/>
          <w:sz w:val="22"/>
          <w:szCs w:val="22"/>
          <w:highlight w:val="none"/>
        </w:rPr>
      </w:pPr>
    </w:p>
    <w:p w14:paraId="69B31D85">
      <w:pPr>
        <w:spacing w:line="360" w:lineRule="auto"/>
        <w:rPr>
          <w:rFonts w:hint="eastAsia" w:ascii="仿宋" w:hAnsi="仿宋" w:eastAsia="仿宋" w:cs="仿宋"/>
          <w:b/>
          <w:bCs/>
          <w:color w:val="auto"/>
          <w:sz w:val="22"/>
          <w:szCs w:val="22"/>
          <w:highlight w:val="none"/>
        </w:rPr>
      </w:pPr>
    </w:p>
    <w:p w14:paraId="0756E6E6">
      <w:pPr>
        <w:spacing w:line="360" w:lineRule="auto"/>
        <w:rPr>
          <w:rFonts w:hint="eastAsia" w:ascii="仿宋" w:hAnsi="仿宋" w:eastAsia="仿宋" w:cs="仿宋"/>
          <w:b/>
          <w:bCs/>
          <w:color w:val="auto"/>
          <w:sz w:val="22"/>
          <w:szCs w:val="22"/>
          <w:highlight w:val="none"/>
        </w:rPr>
      </w:pPr>
    </w:p>
    <w:p w14:paraId="60236004">
      <w:pPr>
        <w:spacing w:line="360" w:lineRule="auto"/>
        <w:rPr>
          <w:rFonts w:hint="eastAsia" w:ascii="仿宋" w:hAnsi="仿宋" w:eastAsia="仿宋" w:cs="仿宋"/>
          <w:b/>
          <w:bCs/>
          <w:color w:val="auto"/>
          <w:sz w:val="22"/>
          <w:szCs w:val="22"/>
          <w:highlight w:val="none"/>
        </w:rPr>
      </w:pPr>
    </w:p>
    <w:p w14:paraId="31E40FA0">
      <w:pPr>
        <w:spacing w:line="360" w:lineRule="auto"/>
        <w:jc w:val="both"/>
        <w:rPr>
          <w:rFonts w:hint="eastAsia" w:ascii="仿宋" w:hAnsi="仿宋" w:eastAsia="仿宋" w:cs="仿宋"/>
          <w:b/>
          <w:bCs/>
          <w:color w:val="auto"/>
          <w:sz w:val="22"/>
          <w:szCs w:val="22"/>
          <w:highlight w:val="none"/>
        </w:rPr>
      </w:pPr>
    </w:p>
    <w:p w14:paraId="15383BCD">
      <w:pPr>
        <w:spacing w:line="360" w:lineRule="auto"/>
        <w:jc w:val="center"/>
        <w:rPr>
          <w:rFonts w:hint="eastAsia" w:ascii="仿宋" w:hAnsi="仿宋" w:eastAsia="仿宋" w:cs="仿宋"/>
          <w:b/>
          <w:bCs/>
          <w:color w:val="auto"/>
          <w:sz w:val="22"/>
          <w:szCs w:val="22"/>
          <w:highlight w:val="none"/>
        </w:rPr>
      </w:pPr>
    </w:p>
    <w:p w14:paraId="77B8706B">
      <w:pPr>
        <w:spacing w:line="360" w:lineRule="auto"/>
        <w:jc w:val="cente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rPr>
        <w:t>招标人：</w:t>
      </w:r>
      <w:r>
        <w:rPr>
          <w:rFonts w:hint="eastAsia" w:ascii="仿宋" w:hAnsi="仿宋" w:eastAsia="仿宋" w:cs="仿宋"/>
          <w:b/>
          <w:bCs/>
          <w:color w:val="auto"/>
          <w:sz w:val="28"/>
          <w:szCs w:val="28"/>
          <w:highlight w:val="none"/>
          <w:lang w:eastAsia="zh-CN"/>
        </w:rPr>
        <w:t>新疆智能装备研究院</w:t>
      </w:r>
    </w:p>
    <w:p w14:paraId="21B5FE1A">
      <w:pPr>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招标代理机构：新疆泽一项目管理有限公司</w:t>
      </w:r>
    </w:p>
    <w:p w14:paraId="5DE1E836">
      <w:pPr>
        <w:spacing w:line="360" w:lineRule="auto"/>
        <w:jc w:val="cente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二零二六年</w:t>
      </w:r>
      <w:r>
        <w:rPr>
          <w:rFonts w:hint="eastAsia" w:ascii="仿宋" w:hAnsi="仿宋" w:eastAsia="仿宋" w:cs="仿宋"/>
          <w:b/>
          <w:bCs/>
          <w:color w:val="auto"/>
          <w:sz w:val="28"/>
          <w:szCs w:val="28"/>
          <w:highlight w:val="none"/>
          <w:lang w:val="en-US" w:eastAsia="zh-CN"/>
        </w:rPr>
        <w:t>十</w:t>
      </w:r>
      <w:r>
        <w:rPr>
          <w:rFonts w:hint="eastAsia" w:ascii="仿宋" w:hAnsi="仿宋" w:eastAsia="仿宋" w:cs="仿宋"/>
          <w:b/>
          <w:bCs/>
          <w:color w:val="auto"/>
          <w:sz w:val="28"/>
          <w:szCs w:val="28"/>
          <w:highlight w:val="none"/>
          <w:lang w:eastAsia="zh-CN"/>
        </w:rPr>
        <w:t>月</w:t>
      </w:r>
    </w:p>
    <w:p w14:paraId="3E96455F">
      <w:pPr>
        <w:spacing w:line="360" w:lineRule="auto"/>
        <w:rPr>
          <w:rFonts w:hint="eastAsia" w:ascii="仿宋" w:hAnsi="仿宋" w:eastAsia="仿宋" w:cs="仿宋"/>
          <w:b/>
          <w:bCs/>
          <w:color w:val="auto"/>
          <w:sz w:val="24"/>
          <w:szCs w:val="24"/>
          <w:highlight w:val="none"/>
        </w:rPr>
        <w:sectPr>
          <w:headerReference r:id="rId6" w:type="first"/>
          <w:headerReference r:id="rId5" w:type="default"/>
          <w:pgSz w:w="11906" w:h="16838"/>
          <w:pgMar w:top="1440" w:right="1797" w:bottom="1440" w:left="1797" w:header="851" w:footer="992" w:gutter="0"/>
          <w:pgNumType w:fmt="decimal" w:start="1"/>
          <w:cols w:space="720" w:num="1"/>
          <w:titlePg/>
          <w:docGrid w:type="lines" w:linePitch="312" w:charSpace="0"/>
        </w:sectPr>
      </w:pPr>
      <w:r>
        <w:rPr>
          <w:rFonts w:hint="eastAsia" w:ascii="仿宋" w:hAnsi="仿宋" w:eastAsia="仿宋" w:cs="仿宋"/>
          <w:b/>
          <w:bCs/>
          <w:color w:val="auto"/>
          <w:sz w:val="24"/>
          <w:szCs w:val="24"/>
          <w:highlight w:val="none"/>
        </w:rPr>
        <w:br w:type="page"/>
      </w:r>
    </w:p>
    <w:p w14:paraId="25F01A9D">
      <w:pPr>
        <w:rPr>
          <w:rFonts w:hint="eastAsia" w:ascii="仿宋" w:hAnsi="仿宋" w:eastAsia="仿宋" w:cs="仿宋"/>
          <w:color w:val="auto"/>
          <w:sz w:val="22"/>
          <w:szCs w:val="22"/>
          <w:highlight w:val="none"/>
        </w:rPr>
      </w:pPr>
    </w:p>
    <w:p w14:paraId="0739CF5B">
      <w:pPr>
        <w:pageBreakBefore/>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公开招标文件</w:t>
      </w:r>
    </w:p>
    <w:p w14:paraId="4FD49320">
      <w:pPr>
        <w:pStyle w:val="28"/>
        <w:spacing w:line="360" w:lineRule="auto"/>
        <w:rPr>
          <w:rFonts w:hint="eastAsia" w:ascii="仿宋" w:hAnsi="仿宋" w:eastAsia="仿宋" w:cs="仿宋"/>
          <w:color w:val="auto"/>
          <w:sz w:val="28"/>
          <w:szCs w:val="28"/>
          <w:highlight w:val="none"/>
        </w:rPr>
      </w:pPr>
    </w:p>
    <w:p w14:paraId="64715B85">
      <w:pPr>
        <w:pStyle w:val="28"/>
        <w:spacing w:line="360" w:lineRule="auto"/>
        <w:ind w:firstLine="431"/>
        <w:rPr>
          <w:rFonts w:hint="eastAsia" w:ascii="仿宋" w:hAnsi="仿宋" w:eastAsia="仿宋" w:cs="仿宋"/>
          <w:color w:val="auto"/>
          <w:sz w:val="28"/>
          <w:szCs w:val="28"/>
          <w:highlight w:val="none"/>
        </w:rPr>
      </w:pPr>
    </w:p>
    <w:p w14:paraId="61E997BF">
      <w:pPr>
        <w:spacing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lang w:eastAsia="zh-CN"/>
        </w:rPr>
        <w:t>露天矿挖机-矿卡智能交互与协同装载关键技术研究项目</w:t>
      </w:r>
    </w:p>
    <w:p w14:paraId="5AAAA072">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招标人（公章）：</w:t>
      </w:r>
      <w:r>
        <w:rPr>
          <w:rFonts w:hint="eastAsia" w:ascii="仿宋" w:hAnsi="仿宋" w:eastAsia="仿宋" w:cs="仿宋"/>
          <w:color w:val="auto"/>
          <w:sz w:val="28"/>
          <w:szCs w:val="28"/>
          <w:highlight w:val="none"/>
          <w:lang w:eastAsia="zh-CN"/>
        </w:rPr>
        <w:t>新疆智能装备研究院</w:t>
      </w:r>
      <w:r>
        <w:rPr>
          <w:rFonts w:hint="eastAsia" w:ascii="仿宋" w:hAnsi="仿宋" w:eastAsia="仿宋" w:cs="仿宋"/>
          <w:color w:val="auto"/>
          <w:sz w:val="28"/>
          <w:szCs w:val="28"/>
          <w:highlight w:val="none"/>
        </w:rPr>
        <w:t xml:space="preserve"> </w:t>
      </w:r>
    </w:p>
    <w:p w14:paraId="5EDA0D3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法定代表人或授权委托人（签章）：</w:t>
      </w:r>
    </w:p>
    <w:p w14:paraId="6E3A65C6">
      <w:pPr>
        <w:spacing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联系人：</w:t>
      </w:r>
      <w:r>
        <w:rPr>
          <w:rFonts w:hint="eastAsia" w:ascii="仿宋" w:hAnsi="仿宋" w:eastAsia="仿宋" w:cs="仿宋"/>
          <w:color w:val="auto"/>
          <w:sz w:val="28"/>
          <w:szCs w:val="28"/>
          <w:highlight w:val="none"/>
          <w:lang w:eastAsia="zh-CN"/>
        </w:rPr>
        <w:t>李笑霖</w:t>
      </w:r>
    </w:p>
    <w:p w14:paraId="515F58DC">
      <w:pPr>
        <w:spacing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lang w:eastAsia="zh-CN"/>
        </w:rPr>
        <w:t xml:space="preserve">16670700857 </w:t>
      </w:r>
    </w:p>
    <w:p w14:paraId="51E0DA8B">
      <w:pPr>
        <w:pStyle w:val="28"/>
        <w:spacing w:line="360" w:lineRule="auto"/>
        <w:ind w:firstLine="431"/>
        <w:rPr>
          <w:rFonts w:hint="eastAsia" w:ascii="仿宋" w:hAnsi="仿宋" w:eastAsia="仿宋" w:cs="仿宋"/>
          <w:color w:val="auto"/>
          <w:sz w:val="28"/>
          <w:szCs w:val="28"/>
          <w:highlight w:val="none"/>
        </w:rPr>
      </w:pPr>
    </w:p>
    <w:p w14:paraId="0EDEB1D9">
      <w:pPr>
        <w:pStyle w:val="28"/>
        <w:spacing w:line="360" w:lineRule="auto"/>
        <w:ind w:left="0" w:leftChars="0" w:firstLine="0" w:firstLineChars="0"/>
        <w:rPr>
          <w:rFonts w:hint="eastAsia" w:ascii="仿宋" w:hAnsi="仿宋" w:eastAsia="仿宋" w:cs="仿宋"/>
          <w:color w:val="auto"/>
          <w:sz w:val="28"/>
          <w:szCs w:val="28"/>
          <w:highlight w:val="none"/>
        </w:rPr>
      </w:pPr>
    </w:p>
    <w:p w14:paraId="70D5A405">
      <w:pPr>
        <w:pStyle w:val="28"/>
        <w:spacing w:line="360" w:lineRule="auto"/>
        <w:ind w:left="0" w:leftChars="0" w:firstLine="0" w:firstLineChars="0"/>
        <w:rPr>
          <w:rFonts w:hint="eastAsia" w:ascii="仿宋" w:hAnsi="仿宋" w:eastAsia="仿宋" w:cs="仿宋"/>
          <w:color w:val="auto"/>
          <w:sz w:val="28"/>
          <w:szCs w:val="28"/>
          <w:highlight w:val="none"/>
        </w:rPr>
      </w:pPr>
    </w:p>
    <w:p w14:paraId="39E98AF8">
      <w:pPr>
        <w:pStyle w:val="28"/>
        <w:spacing w:line="360" w:lineRule="auto"/>
        <w:ind w:firstLine="431"/>
        <w:rPr>
          <w:rFonts w:hint="eastAsia" w:ascii="仿宋" w:hAnsi="仿宋" w:eastAsia="仿宋" w:cs="仿宋"/>
          <w:color w:val="auto"/>
          <w:sz w:val="28"/>
          <w:szCs w:val="28"/>
          <w:highlight w:val="none"/>
        </w:rPr>
      </w:pPr>
    </w:p>
    <w:p w14:paraId="6961957C">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招标代理（公章）：新疆泽一项目管理有限公司</w:t>
      </w:r>
    </w:p>
    <w:p w14:paraId="5FB0B1D4">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法定代表人（签字或盖章）：</w:t>
      </w:r>
    </w:p>
    <w:p w14:paraId="18A2EE8E">
      <w:pPr>
        <w:spacing w:before="62" w:beforeLines="20" w:line="360" w:lineRule="auto"/>
        <w:ind w:left="660" w:hanging="843" w:hangingChars="3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联系人：李凤娇、</w:t>
      </w:r>
      <w:r>
        <w:rPr>
          <w:rFonts w:hint="eastAsia" w:ascii="仿宋" w:hAnsi="仿宋" w:eastAsia="仿宋" w:cs="仿宋"/>
          <w:color w:val="auto"/>
          <w:sz w:val="28"/>
          <w:szCs w:val="28"/>
          <w:highlight w:val="none"/>
          <w:lang w:eastAsia="zh-CN"/>
        </w:rPr>
        <w:t>陈文文、</w:t>
      </w:r>
      <w:r>
        <w:rPr>
          <w:rFonts w:hint="eastAsia" w:ascii="仿宋" w:hAnsi="仿宋" w:eastAsia="仿宋" w:cs="仿宋"/>
          <w:color w:val="auto"/>
          <w:sz w:val="28"/>
          <w:szCs w:val="28"/>
          <w:highlight w:val="none"/>
          <w:lang w:val="en-US" w:eastAsia="zh-CN"/>
        </w:rPr>
        <w:t>蒋可生</w:t>
      </w:r>
    </w:p>
    <w:p w14:paraId="783698E4">
      <w:p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电话：15886806770、</w:t>
      </w:r>
      <w:r>
        <w:rPr>
          <w:rFonts w:hint="eastAsia" w:ascii="仿宋" w:hAnsi="仿宋" w:eastAsia="仿宋" w:cs="仿宋"/>
          <w:color w:val="auto"/>
          <w:sz w:val="28"/>
          <w:szCs w:val="28"/>
          <w:highlight w:val="none"/>
          <w:lang w:eastAsia="zh-CN"/>
        </w:rPr>
        <w:t>15899323131、</w:t>
      </w:r>
      <w:r>
        <w:rPr>
          <w:rFonts w:hint="eastAsia" w:ascii="仿宋" w:hAnsi="仿宋" w:eastAsia="仿宋" w:cs="仿宋"/>
          <w:color w:val="auto"/>
          <w:sz w:val="28"/>
          <w:szCs w:val="28"/>
          <w:highlight w:val="none"/>
          <w:lang w:val="en-US" w:eastAsia="zh-CN"/>
        </w:rPr>
        <w:t>15739417539</w:t>
      </w:r>
    </w:p>
    <w:p w14:paraId="372C4EE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联系地址：</w:t>
      </w:r>
      <w:r>
        <w:rPr>
          <w:rFonts w:hint="eastAsia" w:ascii="仿宋" w:hAnsi="仿宋" w:eastAsia="仿宋" w:cs="仿宋"/>
          <w:color w:val="auto"/>
          <w:sz w:val="28"/>
          <w:szCs w:val="28"/>
          <w:highlight w:val="none"/>
          <w:lang w:eastAsia="zh-CN"/>
        </w:rPr>
        <w:t>新疆阿克苏地区阿克苏市幸福南路6号锦程·玫瑰园小区1#2#楼401商铺</w:t>
      </w:r>
      <w:r>
        <w:rPr>
          <w:rFonts w:hint="eastAsia" w:ascii="仿宋" w:hAnsi="仿宋" w:eastAsia="仿宋" w:cs="仿宋"/>
          <w:bCs/>
          <w:color w:val="auto"/>
          <w:sz w:val="28"/>
          <w:szCs w:val="28"/>
          <w:highlight w:val="none"/>
        </w:rPr>
        <w:t xml:space="preserve"> </w:t>
      </w:r>
    </w:p>
    <w:p w14:paraId="29BA42C7">
      <w:pPr>
        <w:pStyle w:val="39"/>
        <w:spacing w:line="360" w:lineRule="auto"/>
        <w:rPr>
          <w:rFonts w:hint="eastAsia" w:ascii="仿宋" w:hAnsi="仿宋" w:eastAsia="仿宋" w:cs="仿宋"/>
          <w:color w:val="auto"/>
          <w:sz w:val="28"/>
          <w:szCs w:val="28"/>
          <w:highlight w:val="none"/>
        </w:rPr>
      </w:pPr>
    </w:p>
    <w:p w14:paraId="72B04ABB">
      <w:pPr>
        <w:pStyle w:val="39"/>
        <w:spacing w:line="360" w:lineRule="auto"/>
        <w:rPr>
          <w:rFonts w:hint="eastAsia" w:ascii="仿宋" w:hAnsi="仿宋" w:eastAsia="仿宋" w:cs="仿宋"/>
          <w:color w:val="auto"/>
          <w:sz w:val="28"/>
          <w:szCs w:val="28"/>
          <w:highlight w:val="none"/>
        </w:rPr>
      </w:pPr>
    </w:p>
    <w:p w14:paraId="69A08B61">
      <w:pPr>
        <w:pStyle w:val="39"/>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p>
    <w:p w14:paraId="4F100631">
      <w:pPr>
        <w:pStyle w:val="39"/>
        <w:rPr>
          <w:rFonts w:hint="eastAsia" w:ascii="仿宋" w:hAnsi="仿宋" w:eastAsia="仿宋" w:cs="仿宋"/>
          <w:color w:val="auto"/>
          <w:sz w:val="22"/>
          <w:szCs w:val="22"/>
          <w:highlight w:val="none"/>
        </w:rPr>
      </w:pPr>
    </w:p>
    <w:p w14:paraId="54B531E0">
      <w:pPr>
        <w:pStyle w:val="39"/>
        <w:rPr>
          <w:rFonts w:hint="eastAsia" w:ascii="仿宋" w:hAnsi="仿宋" w:eastAsia="仿宋" w:cs="仿宋"/>
          <w:color w:val="auto"/>
          <w:sz w:val="22"/>
          <w:szCs w:val="22"/>
          <w:highlight w:val="none"/>
        </w:rPr>
      </w:pPr>
    </w:p>
    <w:p w14:paraId="464747B9">
      <w:pPr>
        <w:pStyle w:val="39"/>
        <w:jc w:val="center"/>
        <w:rPr>
          <w:rFonts w:hint="eastAsia" w:ascii="仿宋" w:hAnsi="仿宋" w:eastAsia="仿宋" w:cs="仿宋"/>
          <w:color w:val="auto"/>
          <w:sz w:val="22"/>
          <w:szCs w:val="22"/>
          <w:highlight w:val="none"/>
        </w:rPr>
      </w:pPr>
    </w:p>
    <w:p w14:paraId="791D6831">
      <w:pPr>
        <w:tabs>
          <w:tab w:val="right" w:leader="dot" w:pos="8302"/>
        </w:tabs>
        <w:jc w:val="center"/>
        <w:rPr>
          <w:rFonts w:hint="eastAsia" w:ascii="仿宋" w:hAnsi="仿宋" w:eastAsia="仿宋" w:cs="仿宋"/>
          <w:color w:val="auto"/>
          <w:sz w:val="22"/>
          <w:szCs w:val="18"/>
          <w:highlight w:val="none"/>
        </w:rPr>
      </w:pPr>
      <w:r>
        <w:rPr>
          <w:rFonts w:hint="eastAsia" w:ascii="仿宋" w:hAnsi="仿宋" w:eastAsia="仿宋" w:cs="仿宋"/>
          <w:color w:val="auto"/>
          <w:sz w:val="24"/>
          <w:szCs w:val="40"/>
          <w:highlight w:val="none"/>
          <w:lang w:val="zh-CN" w:eastAsia="zh-CN" w:bidi="ar-SA"/>
        </w:rPr>
        <w:t>目 录</w:t>
      </w:r>
    </w:p>
    <w:p w14:paraId="1E71DEEE">
      <w:pPr>
        <w:pStyle w:val="18"/>
        <w:tabs>
          <w:tab w:val="right" w:leader="dot" w:pos="9014"/>
          <w:tab w:val="clear" w:pos="8302"/>
        </w:tabs>
        <w:rPr>
          <w:color w:val="auto"/>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color w:val="auto"/>
          <w:highlight w:val="none"/>
        </w:rPr>
        <w:instrText xml:space="preserve"> HYPERLINK \l _Toc25097 </w:instrText>
      </w:r>
      <w:r>
        <w:rPr>
          <w:color w:val="auto"/>
          <w:highlight w:val="none"/>
        </w:rPr>
        <w:fldChar w:fldCharType="separate"/>
      </w:r>
      <w:r>
        <w:rPr>
          <w:rFonts w:hint="eastAsia" w:ascii="仿宋" w:hAnsi="仿宋" w:eastAsia="仿宋" w:cs="仿宋"/>
          <w:bCs/>
          <w:color w:val="auto"/>
          <w:szCs w:val="28"/>
          <w:highlight w:val="none"/>
        </w:rPr>
        <w:t>第一部分  招标公告</w:t>
      </w:r>
      <w:r>
        <w:rPr>
          <w:color w:val="auto"/>
          <w:highlight w:val="none"/>
        </w:rPr>
        <w:tab/>
      </w:r>
      <w:r>
        <w:rPr>
          <w:color w:val="auto"/>
          <w:highlight w:val="none"/>
        </w:rPr>
        <w:fldChar w:fldCharType="begin"/>
      </w:r>
      <w:r>
        <w:rPr>
          <w:color w:val="auto"/>
          <w:highlight w:val="none"/>
        </w:rPr>
        <w:instrText xml:space="preserve"> PAGEREF _Toc25097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2FFC6B7C">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_Toc4021 </w:instrText>
      </w:r>
      <w:r>
        <w:rPr>
          <w:color w:val="auto"/>
          <w:highlight w:val="none"/>
        </w:rPr>
        <w:fldChar w:fldCharType="separate"/>
      </w:r>
      <w:r>
        <w:rPr>
          <w:rFonts w:hint="eastAsia" w:ascii="仿宋" w:hAnsi="仿宋" w:eastAsia="仿宋" w:cs="仿宋"/>
          <w:color w:val="auto"/>
          <w:szCs w:val="28"/>
          <w:highlight w:val="none"/>
          <w:lang w:eastAsia="zh-CN"/>
        </w:rPr>
        <w:t>露天矿挖机-矿卡智能交互与协同装载关键技术研究项目</w:t>
      </w:r>
      <w:r>
        <w:rPr>
          <w:rFonts w:hint="eastAsia" w:ascii="仿宋" w:hAnsi="仿宋" w:eastAsia="仿宋" w:cs="仿宋"/>
          <w:color w:val="auto"/>
          <w:szCs w:val="28"/>
          <w:highlight w:val="none"/>
        </w:rPr>
        <w:t>公开招标公告</w:t>
      </w:r>
      <w:r>
        <w:rPr>
          <w:color w:val="auto"/>
          <w:highlight w:val="none"/>
        </w:rPr>
        <w:tab/>
      </w:r>
      <w:r>
        <w:rPr>
          <w:color w:val="auto"/>
          <w:highlight w:val="none"/>
        </w:rPr>
        <w:fldChar w:fldCharType="begin"/>
      </w:r>
      <w:r>
        <w:rPr>
          <w:color w:val="auto"/>
          <w:highlight w:val="none"/>
        </w:rPr>
        <w:instrText xml:space="preserve"> PAGEREF _Toc4021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2C6B5370">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_Toc20999 </w:instrText>
      </w:r>
      <w:r>
        <w:rPr>
          <w:color w:val="auto"/>
          <w:highlight w:val="none"/>
        </w:rPr>
        <w:fldChar w:fldCharType="separate"/>
      </w:r>
      <w:r>
        <w:rPr>
          <w:rFonts w:hint="eastAsia" w:ascii="仿宋" w:hAnsi="仿宋" w:eastAsia="仿宋" w:cs="仿宋"/>
          <w:bCs/>
          <w:color w:val="auto"/>
          <w:szCs w:val="28"/>
          <w:highlight w:val="none"/>
        </w:rPr>
        <w:t>一、项目基本情况</w:t>
      </w:r>
      <w:r>
        <w:rPr>
          <w:color w:val="auto"/>
          <w:highlight w:val="none"/>
        </w:rPr>
        <w:tab/>
      </w:r>
      <w:r>
        <w:rPr>
          <w:color w:val="auto"/>
          <w:highlight w:val="none"/>
        </w:rPr>
        <w:fldChar w:fldCharType="begin"/>
      </w:r>
      <w:r>
        <w:rPr>
          <w:color w:val="auto"/>
          <w:highlight w:val="none"/>
        </w:rPr>
        <w:instrText xml:space="preserve"> PAGEREF _Toc20999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3CC1A764">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_Toc17662 </w:instrText>
      </w:r>
      <w:r>
        <w:rPr>
          <w:color w:val="auto"/>
          <w:highlight w:val="none"/>
        </w:rPr>
        <w:fldChar w:fldCharType="separate"/>
      </w:r>
      <w:r>
        <w:rPr>
          <w:rFonts w:hint="eastAsia" w:ascii="仿宋" w:hAnsi="仿宋" w:eastAsia="仿宋" w:cs="仿宋"/>
          <w:bCs/>
          <w:color w:val="auto"/>
          <w:szCs w:val="28"/>
          <w:highlight w:val="none"/>
        </w:rPr>
        <w:t>二、申请人的资格要求：</w:t>
      </w:r>
      <w:r>
        <w:rPr>
          <w:color w:val="auto"/>
          <w:highlight w:val="none"/>
        </w:rPr>
        <w:tab/>
      </w:r>
      <w:r>
        <w:rPr>
          <w:color w:val="auto"/>
          <w:highlight w:val="none"/>
        </w:rPr>
        <w:fldChar w:fldCharType="begin"/>
      </w:r>
      <w:r>
        <w:rPr>
          <w:color w:val="auto"/>
          <w:highlight w:val="none"/>
        </w:rPr>
        <w:instrText xml:space="preserve"> PAGEREF _Toc17662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1B68FB1C">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_Toc10882 </w:instrText>
      </w:r>
      <w:r>
        <w:rPr>
          <w:color w:val="auto"/>
          <w:highlight w:val="none"/>
        </w:rPr>
        <w:fldChar w:fldCharType="separate"/>
      </w:r>
      <w:r>
        <w:rPr>
          <w:rFonts w:hint="eastAsia" w:ascii="仿宋" w:hAnsi="仿宋" w:eastAsia="仿宋" w:cs="仿宋"/>
          <w:bCs/>
          <w:color w:val="auto"/>
          <w:szCs w:val="28"/>
          <w:highlight w:val="none"/>
        </w:rPr>
        <w:t>三、获取招标文件</w:t>
      </w:r>
      <w:r>
        <w:rPr>
          <w:color w:val="auto"/>
          <w:highlight w:val="none"/>
        </w:rPr>
        <w:tab/>
      </w:r>
      <w:r>
        <w:rPr>
          <w:color w:val="auto"/>
          <w:highlight w:val="none"/>
        </w:rPr>
        <w:fldChar w:fldCharType="begin"/>
      </w:r>
      <w:r>
        <w:rPr>
          <w:color w:val="auto"/>
          <w:highlight w:val="none"/>
        </w:rPr>
        <w:instrText xml:space="preserve"> PAGEREF _Toc10882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0DA6E404">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_Toc14895 </w:instrText>
      </w:r>
      <w:r>
        <w:rPr>
          <w:color w:val="auto"/>
          <w:highlight w:val="none"/>
        </w:rPr>
        <w:fldChar w:fldCharType="separate"/>
      </w:r>
      <w:r>
        <w:rPr>
          <w:rFonts w:hint="eastAsia" w:ascii="仿宋" w:hAnsi="仿宋" w:eastAsia="仿宋" w:cs="仿宋"/>
          <w:bCs/>
          <w:color w:val="auto"/>
          <w:szCs w:val="28"/>
          <w:highlight w:val="none"/>
        </w:rPr>
        <w:t>四、提交投标文件截止时间、开标时间和地点</w:t>
      </w:r>
      <w:r>
        <w:rPr>
          <w:color w:val="auto"/>
          <w:highlight w:val="none"/>
        </w:rPr>
        <w:tab/>
      </w:r>
      <w:r>
        <w:rPr>
          <w:color w:val="auto"/>
          <w:highlight w:val="none"/>
        </w:rPr>
        <w:fldChar w:fldCharType="begin"/>
      </w:r>
      <w:r>
        <w:rPr>
          <w:color w:val="auto"/>
          <w:highlight w:val="none"/>
        </w:rPr>
        <w:instrText xml:space="preserve"> PAGEREF _Toc14895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2EA17D80">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_Toc6192 </w:instrText>
      </w:r>
      <w:r>
        <w:rPr>
          <w:color w:val="auto"/>
          <w:highlight w:val="none"/>
        </w:rPr>
        <w:fldChar w:fldCharType="separate"/>
      </w:r>
      <w:r>
        <w:rPr>
          <w:rFonts w:hint="eastAsia" w:ascii="仿宋" w:hAnsi="仿宋" w:eastAsia="仿宋" w:cs="仿宋"/>
          <w:bCs/>
          <w:color w:val="auto"/>
          <w:szCs w:val="28"/>
          <w:highlight w:val="none"/>
        </w:rPr>
        <w:t>五、公告期限</w:t>
      </w:r>
      <w:r>
        <w:rPr>
          <w:color w:val="auto"/>
          <w:highlight w:val="none"/>
        </w:rPr>
        <w:tab/>
      </w:r>
      <w:r>
        <w:rPr>
          <w:color w:val="auto"/>
          <w:highlight w:val="none"/>
        </w:rPr>
        <w:fldChar w:fldCharType="begin"/>
      </w:r>
      <w:r>
        <w:rPr>
          <w:color w:val="auto"/>
          <w:highlight w:val="none"/>
        </w:rPr>
        <w:instrText xml:space="preserve"> PAGEREF _Toc6192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37236155">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_Toc11778 </w:instrText>
      </w:r>
      <w:r>
        <w:rPr>
          <w:color w:val="auto"/>
          <w:highlight w:val="none"/>
        </w:rPr>
        <w:fldChar w:fldCharType="separate"/>
      </w:r>
      <w:r>
        <w:rPr>
          <w:rFonts w:hint="eastAsia" w:ascii="仿宋" w:hAnsi="仿宋" w:eastAsia="仿宋" w:cs="仿宋"/>
          <w:bCs/>
          <w:color w:val="auto"/>
          <w:szCs w:val="28"/>
          <w:highlight w:val="none"/>
        </w:rPr>
        <w:t>六、其他补充事宜</w:t>
      </w:r>
      <w:r>
        <w:rPr>
          <w:color w:val="auto"/>
          <w:highlight w:val="none"/>
        </w:rPr>
        <w:tab/>
      </w:r>
      <w:r>
        <w:rPr>
          <w:color w:val="auto"/>
          <w:highlight w:val="none"/>
        </w:rPr>
        <w:fldChar w:fldCharType="begin"/>
      </w:r>
      <w:r>
        <w:rPr>
          <w:color w:val="auto"/>
          <w:highlight w:val="none"/>
        </w:rPr>
        <w:instrText xml:space="preserve"> PAGEREF _Toc11778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278390B8">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_Toc6204 </w:instrText>
      </w:r>
      <w:r>
        <w:rPr>
          <w:color w:val="auto"/>
          <w:highlight w:val="none"/>
        </w:rPr>
        <w:fldChar w:fldCharType="separate"/>
      </w:r>
      <w:r>
        <w:rPr>
          <w:rFonts w:hint="eastAsia" w:ascii="仿宋" w:hAnsi="仿宋" w:eastAsia="仿宋" w:cs="仿宋"/>
          <w:bCs/>
          <w:color w:val="auto"/>
          <w:szCs w:val="28"/>
          <w:highlight w:val="none"/>
        </w:rPr>
        <w:t>七、对本次采购提出询问，请按以下方式联系</w:t>
      </w:r>
      <w:r>
        <w:rPr>
          <w:color w:val="auto"/>
          <w:highlight w:val="none"/>
        </w:rPr>
        <w:tab/>
      </w:r>
      <w:r>
        <w:rPr>
          <w:color w:val="auto"/>
          <w:highlight w:val="none"/>
        </w:rPr>
        <w:fldChar w:fldCharType="begin"/>
      </w:r>
      <w:r>
        <w:rPr>
          <w:color w:val="auto"/>
          <w:highlight w:val="none"/>
        </w:rPr>
        <w:instrText xml:space="preserve"> PAGEREF _Toc6204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0E20712B">
      <w:pPr>
        <w:pStyle w:val="18"/>
        <w:tabs>
          <w:tab w:val="right" w:leader="dot" w:pos="9014"/>
          <w:tab w:val="clear" w:pos="8302"/>
        </w:tabs>
        <w:rPr>
          <w:color w:val="auto"/>
          <w:highlight w:val="none"/>
        </w:rPr>
      </w:pPr>
      <w:r>
        <w:rPr>
          <w:color w:val="auto"/>
          <w:highlight w:val="none"/>
        </w:rPr>
        <w:fldChar w:fldCharType="begin"/>
      </w:r>
      <w:r>
        <w:rPr>
          <w:color w:val="auto"/>
          <w:highlight w:val="none"/>
        </w:rPr>
        <w:instrText xml:space="preserve"> HYPERLINK \l _Toc25834 </w:instrText>
      </w:r>
      <w:r>
        <w:rPr>
          <w:color w:val="auto"/>
          <w:highlight w:val="none"/>
        </w:rPr>
        <w:fldChar w:fldCharType="separate"/>
      </w:r>
      <w:r>
        <w:rPr>
          <w:rFonts w:hint="eastAsia" w:ascii="仿宋" w:hAnsi="仿宋" w:eastAsia="仿宋" w:cs="仿宋"/>
          <w:color w:val="auto"/>
          <w:szCs w:val="28"/>
          <w:highlight w:val="none"/>
        </w:rPr>
        <w:t>第二部分  投标人须知</w:t>
      </w:r>
      <w:r>
        <w:rPr>
          <w:color w:val="auto"/>
          <w:highlight w:val="none"/>
        </w:rPr>
        <w:tab/>
      </w:r>
      <w:r>
        <w:rPr>
          <w:color w:val="auto"/>
          <w:highlight w:val="none"/>
        </w:rPr>
        <w:fldChar w:fldCharType="begin"/>
      </w:r>
      <w:r>
        <w:rPr>
          <w:color w:val="auto"/>
          <w:highlight w:val="none"/>
        </w:rPr>
        <w:instrText xml:space="preserve"> PAGEREF _Toc25834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564308C9">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_Toc29048 </w:instrText>
      </w:r>
      <w:r>
        <w:rPr>
          <w:color w:val="auto"/>
          <w:highlight w:val="none"/>
        </w:rPr>
        <w:fldChar w:fldCharType="separate"/>
      </w:r>
      <w:r>
        <w:rPr>
          <w:rFonts w:hint="eastAsia" w:ascii="仿宋" w:hAnsi="仿宋" w:eastAsia="仿宋" w:cs="仿宋"/>
          <w:bCs/>
          <w:color w:val="auto"/>
          <w:szCs w:val="28"/>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_Toc29048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019E52E5">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_Toc30199 </w:instrText>
      </w:r>
      <w:r>
        <w:rPr>
          <w:color w:val="auto"/>
          <w:highlight w:val="none"/>
        </w:rPr>
        <w:fldChar w:fldCharType="separate"/>
      </w:r>
      <w:r>
        <w:rPr>
          <w:rFonts w:hint="eastAsia" w:ascii="仿宋" w:hAnsi="仿宋" w:eastAsia="仿宋" w:cs="仿宋"/>
          <w:bCs/>
          <w:color w:val="auto"/>
          <w:szCs w:val="28"/>
          <w:highlight w:val="none"/>
        </w:rPr>
        <w:t>投标人须知正文部分</w:t>
      </w:r>
      <w:r>
        <w:rPr>
          <w:color w:val="auto"/>
          <w:highlight w:val="none"/>
        </w:rPr>
        <w:tab/>
      </w:r>
      <w:r>
        <w:rPr>
          <w:color w:val="auto"/>
          <w:highlight w:val="none"/>
        </w:rPr>
        <w:fldChar w:fldCharType="begin"/>
      </w:r>
      <w:r>
        <w:rPr>
          <w:color w:val="auto"/>
          <w:highlight w:val="none"/>
        </w:rPr>
        <w:instrText xml:space="preserve"> PAGEREF _Toc30199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59DDF4B1">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_Toc9264 </w:instrText>
      </w:r>
      <w:r>
        <w:rPr>
          <w:color w:val="auto"/>
          <w:highlight w:val="none"/>
        </w:rPr>
        <w:fldChar w:fldCharType="separate"/>
      </w:r>
      <w:r>
        <w:rPr>
          <w:rFonts w:hint="eastAsia" w:ascii="仿宋" w:hAnsi="仿宋" w:eastAsia="仿宋" w:cs="仿宋"/>
          <w:bCs/>
          <w:color w:val="auto"/>
          <w:szCs w:val="28"/>
          <w:highlight w:val="none"/>
        </w:rPr>
        <w:t>一、总则</w:t>
      </w:r>
      <w:r>
        <w:rPr>
          <w:color w:val="auto"/>
          <w:highlight w:val="none"/>
        </w:rPr>
        <w:tab/>
      </w:r>
      <w:r>
        <w:rPr>
          <w:color w:val="auto"/>
          <w:highlight w:val="none"/>
        </w:rPr>
        <w:fldChar w:fldCharType="begin"/>
      </w:r>
      <w:r>
        <w:rPr>
          <w:color w:val="auto"/>
          <w:highlight w:val="none"/>
        </w:rPr>
        <w:instrText xml:space="preserve"> PAGEREF _Toc9264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F0978C7">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_Toc30676 </w:instrText>
      </w:r>
      <w:r>
        <w:rPr>
          <w:color w:val="auto"/>
          <w:highlight w:val="none"/>
        </w:rPr>
        <w:fldChar w:fldCharType="separate"/>
      </w:r>
      <w:r>
        <w:rPr>
          <w:rFonts w:hint="eastAsia" w:ascii="仿宋" w:hAnsi="仿宋" w:eastAsia="仿宋" w:cs="仿宋"/>
          <w:bCs/>
          <w:color w:val="auto"/>
          <w:szCs w:val="28"/>
          <w:highlight w:val="none"/>
        </w:rPr>
        <w:t>二、招标文件</w:t>
      </w:r>
      <w:r>
        <w:rPr>
          <w:color w:val="auto"/>
          <w:highlight w:val="none"/>
        </w:rPr>
        <w:tab/>
      </w:r>
      <w:r>
        <w:rPr>
          <w:color w:val="auto"/>
          <w:highlight w:val="none"/>
        </w:rPr>
        <w:fldChar w:fldCharType="begin"/>
      </w:r>
      <w:r>
        <w:rPr>
          <w:color w:val="auto"/>
          <w:highlight w:val="none"/>
        </w:rPr>
        <w:instrText xml:space="preserve"> PAGEREF _Toc30676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A7C9997">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_Toc28075 </w:instrText>
      </w:r>
      <w:r>
        <w:rPr>
          <w:color w:val="auto"/>
          <w:highlight w:val="none"/>
        </w:rPr>
        <w:fldChar w:fldCharType="separate"/>
      </w:r>
      <w:r>
        <w:rPr>
          <w:rFonts w:hint="eastAsia" w:ascii="仿宋" w:hAnsi="仿宋" w:eastAsia="仿宋" w:cs="仿宋"/>
          <w:bCs/>
          <w:color w:val="auto"/>
          <w:szCs w:val="28"/>
          <w:highlight w:val="none"/>
        </w:rPr>
        <w:t>三、投标文件</w:t>
      </w:r>
      <w:r>
        <w:rPr>
          <w:color w:val="auto"/>
          <w:highlight w:val="none"/>
        </w:rPr>
        <w:tab/>
      </w:r>
      <w:r>
        <w:rPr>
          <w:color w:val="auto"/>
          <w:highlight w:val="none"/>
        </w:rPr>
        <w:fldChar w:fldCharType="begin"/>
      </w:r>
      <w:r>
        <w:rPr>
          <w:color w:val="auto"/>
          <w:highlight w:val="none"/>
        </w:rPr>
        <w:instrText xml:space="preserve"> PAGEREF _Toc28075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72D8AC6F">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_Toc22224 </w:instrText>
      </w:r>
      <w:r>
        <w:rPr>
          <w:color w:val="auto"/>
          <w:highlight w:val="none"/>
        </w:rPr>
        <w:fldChar w:fldCharType="separate"/>
      </w:r>
      <w:r>
        <w:rPr>
          <w:rFonts w:hint="eastAsia" w:ascii="仿宋" w:hAnsi="仿宋" w:eastAsia="仿宋" w:cs="仿宋"/>
          <w:bCs/>
          <w:color w:val="auto"/>
          <w:szCs w:val="28"/>
          <w:highlight w:val="none"/>
        </w:rPr>
        <w:t>四、投标保证金</w:t>
      </w:r>
      <w:r>
        <w:rPr>
          <w:color w:val="auto"/>
          <w:highlight w:val="none"/>
        </w:rPr>
        <w:tab/>
      </w:r>
      <w:r>
        <w:rPr>
          <w:color w:val="auto"/>
          <w:highlight w:val="none"/>
        </w:rPr>
        <w:fldChar w:fldCharType="begin"/>
      </w:r>
      <w:r>
        <w:rPr>
          <w:color w:val="auto"/>
          <w:highlight w:val="none"/>
        </w:rPr>
        <w:instrText xml:space="preserve"> PAGEREF _Toc22224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0F50720E">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_Toc9368 </w:instrText>
      </w:r>
      <w:r>
        <w:rPr>
          <w:color w:val="auto"/>
          <w:highlight w:val="none"/>
        </w:rPr>
        <w:fldChar w:fldCharType="separate"/>
      </w:r>
      <w:r>
        <w:rPr>
          <w:rFonts w:hint="eastAsia" w:ascii="仿宋" w:hAnsi="仿宋" w:eastAsia="仿宋" w:cs="仿宋"/>
          <w:bCs/>
          <w:color w:val="auto"/>
          <w:szCs w:val="28"/>
          <w:highlight w:val="none"/>
        </w:rPr>
        <w:t>五、投标文件的递交</w:t>
      </w:r>
      <w:r>
        <w:rPr>
          <w:color w:val="auto"/>
          <w:highlight w:val="none"/>
        </w:rPr>
        <w:tab/>
      </w:r>
      <w:r>
        <w:rPr>
          <w:color w:val="auto"/>
          <w:highlight w:val="none"/>
        </w:rPr>
        <w:fldChar w:fldCharType="begin"/>
      </w:r>
      <w:r>
        <w:rPr>
          <w:color w:val="auto"/>
          <w:highlight w:val="none"/>
        </w:rPr>
        <w:instrText xml:space="preserve"> PAGEREF _Toc9368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1970CFD2">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_Toc9228 </w:instrText>
      </w:r>
      <w:r>
        <w:rPr>
          <w:color w:val="auto"/>
          <w:highlight w:val="none"/>
        </w:rPr>
        <w:fldChar w:fldCharType="separate"/>
      </w:r>
      <w:r>
        <w:rPr>
          <w:rFonts w:hint="eastAsia" w:ascii="仿宋" w:hAnsi="仿宋" w:eastAsia="仿宋" w:cs="仿宋"/>
          <w:bCs/>
          <w:color w:val="auto"/>
          <w:szCs w:val="28"/>
          <w:highlight w:val="none"/>
        </w:rPr>
        <w:t>六、开标</w:t>
      </w:r>
      <w:r>
        <w:rPr>
          <w:color w:val="auto"/>
          <w:highlight w:val="none"/>
        </w:rPr>
        <w:tab/>
      </w:r>
      <w:r>
        <w:rPr>
          <w:color w:val="auto"/>
          <w:highlight w:val="none"/>
        </w:rPr>
        <w:fldChar w:fldCharType="begin"/>
      </w:r>
      <w:r>
        <w:rPr>
          <w:color w:val="auto"/>
          <w:highlight w:val="none"/>
        </w:rPr>
        <w:instrText xml:space="preserve"> PAGEREF _Toc9228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6891C07D">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_Toc7672 </w:instrText>
      </w:r>
      <w:r>
        <w:rPr>
          <w:color w:val="auto"/>
          <w:highlight w:val="none"/>
        </w:rPr>
        <w:fldChar w:fldCharType="separate"/>
      </w:r>
      <w:r>
        <w:rPr>
          <w:rFonts w:hint="eastAsia" w:ascii="仿宋" w:hAnsi="仿宋" w:eastAsia="仿宋" w:cs="仿宋"/>
          <w:bCs/>
          <w:color w:val="auto"/>
          <w:szCs w:val="28"/>
          <w:highlight w:val="none"/>
        </w:rPr>
        <w:t>七、评标步骤和要求</w:t>
      </w:r>
      <w:r>
        <w:rPr>
          <w:color w:val="auto"/>
          <w:highlight w:val="none"/>
        </w:rPr>
        <w:tab/>
      </w:r>
      <w:r>
        <w:rPr>
          <w:color w:val="auto"/>
          <w:highlight w:val="none"/>
        </w:rPr>
        <w:fldChar w:fldCharType="begin"/>
      </w:r>
      <w:r>
        <w:rPr>
          <w:color w:val="auto"/>
          <w:highlight w:val="none"/>
        </w:rPr>
        <w:instrText xml:space="preserve"> PAGEREF _Toc7672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220131B5">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_Toc28490 </w:instrText>
      </w:r>
      <w:r>
        <w:rPr>
          <w:color w:val="auto"/>
          <w:highlight w:val="none"/>
        </w:rPr>
        <w:fldChar w:fldCharType="separate"/>
      </w:r>
      <w:r>
        <w:rPr>
          <w:rFonts w:hint="eastAsia" w:ascii="仿宋" w:hAnsi="仿宋" w:eastAsia="仿宋" w:cs="仿宋"/>
          <w:bCs/>
          <w:color w:val="auto"/>
          <w:szCs w:val="28"/>
          <w:highlight w:val="none"/>
        </w:rPr>
        <w:t>八、履约保证金</w:t>
      </w:r>
      <w:r>
        <w:rPr>
          <w:color w:val="auto"/>
          <w:highlight w:val="none"/>
        </w:rPr>
        <w:tab/>
      </w:r>
      <w:r>
        <w:rPr>
          <w:color w:val="auto"/>
          <w:highlight w:val="none"/>
        </w:rPr>
        <w:fldChar w:fldCharType="begin"/>
      </w:r>
      <w:r>
        <w:rPr>
          <w:color w:val="auto"/>
          <w:highlight w:val="none"/>
        </w:rPr>
        <w:instrText xml:space="preserve"> PAGEREF _Toc28490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7C01C8E7">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_Toc1606 </w:instrText>
      </w:r>
      <w:r>
        <w:rPr>
          <w:color w:val="auto"/>
          <w:highlight w:val="none"/>
        </w:rPr>
        <w:fldChar w:fldCharType="separate"/>
      </w:r>
      <w:r>
        <w:rPr>
          <w:rFonts w:hint="eastAsia" w:ascii="仿宋" w:hAnsi="仿宋" w:eastAsia="仿宋" w:cs="仿宋"/>
          <w:bCs/>
          <w:color w:val="auto"/>
          <w:szCs w:val="28"/>
          <w:highlight w:val="none"/>
        </w:rPr>
        <w:t>九、代理服务费</w:t>
      </w:r>
      <w:r>
        <w:rPr>
          <w:color w:val="auto"/>
          <w:highlight w:val="none"/>
        </w:rPr>
        <w:tab/>
      </w:r>
      <w:r>
        <w:rPr>
          <w:color w:val="auto"/>
          <w:highlight w:val="none"/>
        </w:rPr>
        <w:fldChar w:fldCharType="begin"/>
      </w:r>
      <w:r>
        <w:rPr>
          <w:color w:val="auto"/>
          <w:highlight w:val="none"/>
        </w:rPr>
        <w:instrText xml:space="preserve"> PAGEREF _Toc1606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2A207779">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_Toc2026 </w:instrText>
      </w:r>
      <w:r>
        <w:rPr>
          <w:color w:val="auto"/>
          <w:highlight w:val="none"/>
        </w:rPr>
        <w:fldChar w:fldCharType="separate"/>
      </w:r>
      <w:r>
        <w:rPr>
          <w:rFonts w:hint="eastAsia" w:ascii="仿宋" w:hAnsi="仿宋" w:eastAsia="仿宋" w:cs="仿宋"/>
          <w:bCs/>
          <w:color w:val="auto"/>
          <w:szCs w:val="28"/>
          <w:highlight w:val="none"/>
        </w:rPr>
        <w:t>十、签订、审核合同</w:t>
      </w:r>
      <w:r>
        <w:rPr>
          <w:color w:val="auto"/>
          <w:highlight w:val="none"/>
        </w:rPr>
        <w:tab/>
      </w:r>
      <w:r>
        <w:rPr>
          <w:color w:val="auto"/>
          <w:highlight w:val="none"/>
        </w:rPr>
        <w:fldChar w:fldCharType="begin"/>
      </w:r>
      <w:r>
        <w:rPr>
          <w:color w:val="auto"/>
          <w:highlight w:val="none"/>
        </w:rPr>
        <w:instrText xml:space="preserve"> PAGEREF _Toc2026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3F0F4284">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_Toc14569 </w:instrText>
      </w:r>
      <w:r>
        <w:rPr>
          <w:color w:val="auto"/>
          <w:highlight w:val="none"/>
        </w:rPr>
        <w:fldChar w:fldCharType="separate"/>
      </w:r>
      <w:r>
        <w:rPr>
          <w:rFonts w:hint="eastAsia" w:ascii="仿宋" w:hAnsi="仿宋" w:eastAsia="仿宋" w:cs="仿宋"/>
          <w:bCs/>
          <w:color w:val="auto"/>
          <w:szCs w:val="28"/>
          <w:highlight w:val="none"/>
        </w:rPr>
        <w:t>十一、处罚、询问和质疑</w:t>
      </w:r>
      <w:r>
        <w:rPr>
          <w:color w:val="auto"/>
          <w:highlight w:val="none"/>
        </w:rPr>
        <w:tab/>
      </w:r>
      <w:r>
        <w:rPr>
          <w:color w:val="auto"/>
          <w:highlight w:val="none"/>
        </w:rPr>
        <w:fldChar w:fldCharType="begin"/>
      </w:r>
      <w:r>
        <w:rPr>
          <w:color w:val="auto"/>
          <w:highlight w:val="none"/>
        </w:rPr>
        <w:instrText xml:space="preserve"> PAGEREF _Toc14569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7A070703">
      <w:pPr>
        <w:pStyle w:val="14"/>
        <w:tabs>
          <w:tab w:val="right" w:leader="dot" w:pos="9014"/>
        </w:tabs>
        <w:rPr>
          <w:color w:val="auto"/>
          <w:highlight w:val="none"/>
        </w:rPr>
      </w:pPr>
      <w:r>
        <w:rPr>
          <w:color w:val="auto"/>
          <w:highlight w:val="none"/>
        </w:rPr>
        <w:fldChar w:fldCharType="begin"/>
      </w:r>
      <w:r>
        <w:rPr>
          <w:color w:val="auto"/>
          <w:highlight w:val="none"/>
        </w:rPr>
        <w:instrText xml:space="preserve"> HYPERLINK \l _Toc10007 </w:instrText>
      </w:r>
      <w:r>
        <w:rPr>
          <w:color w:val="auto"/>
          <w:highlight w:val="none"/>
        </w:rPr>
        <w:fldChar w:fldCharType="separate"/>
      </w:r>
      <w:r>
        <w:rPr>
          <w:rFonts w:hint="eastAsia" w:ascii="仿宋" w:hAnsi="仿宋" w:eastAsia="仿宋" w:cs="仿宋"/>
          <w:bCs/>
          <w:color w:val="auto"/>
          <w:szCs w:val="28"/>
          <w:highlight w:val="none"/>
        </w:rPr>
        <w:t>十二、保密和披露</w:t>
      </w:r>
      <w:r>
        <w:rPr>
          <w:color w:val="auto"/>
          <w:highlight w:val="none"/>
        </w:rPr>
        <w:tab/>
      </w:r>
      <w:r>
        <w:rPr>
          <w:color w:val="auto"/>
          <w:highlight w:val="none"/>
        </w:rPr>
        <w:fldChar w:fldCharType="begin"/>
      </w:r>
      <w:r>
        <w:rPr>
          <w:color w:val="auto"/>
          <w:highlight w:val="none"/>
        </w:rPr>
        <w:instrText xml:space="preserve"> PAGEREF _Toc10007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509563D6">
      <w:pPr>
        <w:pStyle w:val="18"/>
        <w:tabs>
          <w:tab w:val="right" w:leader="dot" w:pos="9014"/>
          <w:tab w:val="clear" w:pos="8302"/>
        </w:tabs>
        <w:rPr>
          <w:color w:val="auto"/>
          <w:highlight w:val="none"/>
        </w:rPr>
      </w:pPr>
      <w:r>
        <w:rPr>
          <w:color w:val="auto"/>
          <w:highlight w:val="none"/>
        </w:rPr>
        <w:fldChar w:fldCharType="begin"/>
      </w:r>
      <w:r>
        <w:rPr>
          <w:color w:val="auto"/>
          <w:highlight w:val="none"/>
        </w:rPr>
        <w:instrText xml:space="preserve"> HYPERLINK \l _Toc12345 </w:instrText>
      </w:r>
      <w:r>
        <w:rPr>
          <w:color w:val="auto"/>
          <w:highlight w:val="none"/>
        </w:rPr>
        <w:fldChar w:fldCharType="separate"/>
      </w:r>
      <w:r>
        <w:rPr>
          <w:rFonts w:hint="eastAsia" w:ascii="仿宋" w:hAnsi="仿宋" w:eastAsia="仿宋" w:cs="仿宋"/>
          <w:bCs/>
          <w:color w:val="auto"/>
          <w:szCs w:val="36"/>
          <w:highlight w:val="none"/>
        </w:rPr>
        <w:t>第三部分 采购需求</w:t>
      </w:r>
      <w:r>
        <w:rPr>
          <w:color w:val="auto"/>
          <w:highlight w:val="none"/>
        </w:rPr>
        <w:tab/>
      </w:r>
      <w:r>
        <w:rPr>
          <w:color w:val="auto"/>
          <w:highlight w:val="none"/>
        </w:rPr>
        <w:fldChar w:fldCharType="begin"/>
      </w:r>
      <w:r>
        <w:rPr>
          <w:color w:val="auto"/>
          <w:highlight w:val="none"/>
        </w:rPr>
        <w:instrText xml:space="preserve"> PAGEREF _Toc12345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49EFACF9">
      <w:pPr>
        <w:pStyle w:val="18"/>
        <w:tabs>
          <w:tab w:val="right" w:leader="dot" w:pos="9014"/>
          <w:tab w:val="clear" w:pos="8302"/>
        </w:tabs>
        <w:rPr>
          <w:color w:val="auto"/>
          <w:highlight w:val="none"/>
        </w:rPr>
      </w:pPr>
      <w:r>
        <w:rPr>
          <w:color w:val="auto"/>
          <w:highlight w:val="none"/>
        </w:rPr>
        <w:fldChar w:fldCharType="begin"/>
      </w:r>
      <w:r>
        <w:rPr>
          <w:color w:val="auto"/>
          <w:highlight w:val="none"/>
        </w:rPr>
        <w:instrText xml:space="preserve"> HYPERLINK \l _Toc21567 </w:instrText>
      </w:r>
      <w:r>
        <w:rPr>
          <w:color w:val="auto"/>
          <w:highlight w:val="none"/>
        </w:rPr>
        <w:fldChar w:fldCharType="separate"/>
      </w:r>
      <w:r>
        <w:rPr>
          <w:rFonts w:hint="eastAsia" w:ascii="仿宋" w:hAnsi="仿宋" w:eastAsia="仿宋" w:cs="仿宋"/>
          <w:color w:val="auto"/>
          <w:szCs w:val="28"/>
          <w:highlight w:val="none"/>
        </w:rPr>
        <w:t>第四部分  评审方法</w:t>
      </w:r>
      <w:r>
        <w:rPr>
          <w:color w:val="auto"/>
          <w:highlight w:val="none"/>
        </w:rPr>
        <w:tab/>
      </w:r>
      <w:r>
        <w:rPr>
          <w:color w:val="auto"/>
          <w:highlight w:val="none"/>
        </w:rPr>
        <w:fldChar w:fldCharType="begin"/>
      </w:r>
      <w:r>
        <w:rPr>
          <w:color w:val="auto"/>
          <w:highlight w:val="none"/>
        </w:rPr>
        <w:instrText xml:space="preserve"> PAGEREF _Toc21567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68099E55">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_Toc15001 </w:instrText>
      </w:r>
      <w:r>
        <w:rPr>
          <w:color w:val="auto"/>
          <w:highlight w:val="none"/>
        </w:rPr>
        <w:fldChar w:fldCharType="separate"/>
      </w:r>
      <w:r>
        <w:rPr>
          <w:rFonts w:hint="eastAsia" w:ascii="仿宋" w:hAnsi="仿宋" w:eastAsia="仿宋" w:cs="仿宋"/>
          <w:bCs/>
          <w:color w:val="auto"/>
          <w:szCs w:val="28"/>
          <w:highlight w:val="none"/>
        </w:rPr>
        <w:t>评标办法正文部分</w:t>
      </w:r>
      <w:r>
        <w:rPr>
          <w:color w:val="auto"/>
          <w:highlight w:val="none"/>
        </w:rPr>
        <w:tab/>
      </w:r>
      <w:r>
        <w:rPr>
          <w:color w:val="auto"/>
          <w:highlight w:val="none"/>
        </w:rPr>
        <w:fldChar w:fldCharType="begin"/>
      </w:r>
      <w:r>
        <w:rPr>
          <w:color w:val="auto"/>
          <w:highlight w:val="none"/>
        </w:rPr>
        <w:instrText xml:space="preserve"> PAGEREF _Toc15001 \h </w:instrText>
      </w:r>
      <w:r>
        <w:rPr>
          <w:color w:val="auto"/>
          <w:highlight w:val="none"/>
        </w:rPr>
        <w:fldChar w:fldCharType="separate"/>
      </w:r>
      <w:r>
        <w:rPr>
          <w:color w:val="auto"/>
          <w:highlight w:val="none"/>
        </w:rPr>
        <w:t>82</w:t>
      </w:r>
      <w:r>
        <w:rPr>
          <w:color w:val="auto"/>
          <w:highlight w:val="none"/>
        </w:rPr>
        <w:fldChar w:fldCharType="end"/>
      </w:r>
      <w:r>
        <w:rPr>
          <w:color w:val="auto"/>
          <w:highlight w:val="none"/>
        </w:rPr>
        <w:fldChar w:fldCharType="end"/>
      </w:r>
    </w:p>
    <w:p w14:paraId="223A933E">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_Toc7740 </w:instrText>
      </w:r>
      <w:r>
        <w:rPr>
          <w:color w:val="auto"/>
          <w:highlight w:val="none"/>
        </w:rPr>
        <w:fldChar w:fldCharType="separate"/>
      </w:r>
      <w:r>
        <w:rPr>
          <w:rFonts w:hint="eastAsia" w:ascii="仿宋" w:hAnsi="仿宋" w:eastAsia="仿宋" w:cs="仿宋"/>
          <w:color w:val="auto"/>
          <w:szCs w:val="28"/>
          <w:highlight w:val="none"/>
        </w:rPr>
        <w:t>1、投标文件的初审</w:t>
      </w:r>
      <w:r>
        <w:rPr>
          <w:color w:val="auto"/>
          <w:highlight w:val="none"/>
        </w:rPr>
        <w:tab/>
      </w:r>
      <w:r>
        <w:rPr>
          <w:color w:val="auto"/>
          <w:highlight w:val="none"/>
        </w:rPr>
        <w:fldChar w:fldCharType="begin"/>
      </w:r>
      <w:r>
        <w:rPr>
          <w:color w:val="auto"/>
          <w:highlight w:val="none"/>
        </w:rPr>
        <w:instrText xml:space="preserve"> PAGEREF _Toc7740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4B652929">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_Toc17778 </w:instrText>
      </w:r>
      <w:r>
        <w:rPr>
          <w:color w:val="auto"/>
          <w:highlight w:val="none"/>
        </w:rPr>
        <w:fldChar w:fldCharType="separate"/>
      </w:r>
      <w:r>
        <w:rPr>
          <w:rFonts w:hint="eastAsia" w:ascii="仿宋" w:hAnsi="仿宋" w:eastAsia="仿宋" w:cs="仿宋"/>
          <w:color w:val="auto"/>
          <w:szCs w:val="28"/>
          <w:highlight w:val="none"/>
        </w:rPr>
        <w:t>2、投标的澄清</w:t>
      </w:r>
      <w:r>
        <w:rPr>
          <w:color w:val="auto"/>
          <w:highlight w:val="none"/>
        </w:rPr>
        <w:tab/>
      </w:r>
      <w:r>
        <w:rPr>
          <w:color w:val="auto"/>
          <w:highlight w:val="none"/>
        </w:rPr>
        <w:fldChar w:fldCharType="begin"/>
      </w:r>
      <w:r>
        <w:rPr>
          <w:color w:val="auto"/>
          <w:highlight w:val="none"/>
        </w:rPr>
        <w:instrText xml:space="preserve"> PAGEREF _Toc17778 \h </w:instrText>
      </w:r>
      <w:r>
        <w:rPr>
          <w:color w:val="auto"/>
          <w:highlight w:val="none"/>
        </w:rPr>
        <w:fldChar w:fldCharType="separate"/>
      </w:r>
      <w:r>
        <w:rPr>
          <w:color w:val="auto"/>
          <w:highlight w:val="none"/>
        </w:rPr>
        <w:t>86</w:t>
      </w:r>
      <w:r>
        <w:rPr>
          <w:color w:val="auto"/>
          <w:highlight w:val="none"/>
        </w:rPr>
        <w:fldChar w:fldCharType="end"/>
      </w:r>
      <w:r>
        <w:rPr>
          <w:color w:val="auto"/>
          <w:highlight w:val="none"/>
        </w:rPr>
        <w:fldChar w:fldCharType="end"/>
      </w:r>
    </w:p>
    <w:p w14:paraId="5960763A">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_Toc22238 </w:instrText>
      </w:r>
      <w:r>
        <w:rPr>
          <w:color w:val="auto"/>
          <w:highlight w:val="none"/>
        </w:rPr>
        <w:fldChar w:fldCharType="separate"/>
      </w:r>
      <w:r>
        <w:rPr>
          <w:rFonts w:hint="eastAsia" w:ascii="仿宋" w:hAnsi="仿宋" w:eastAsia="仿宋" w:cs="仿宋"/>
          <w:color w:val="auto"/>
          <w:szCs w:val="28"/>
          <w:highlight w:val="none"/>
        </w:rPr>
        <w:t>3、详细评审</w:t>
      </w:r>
      <w:r>
        <w:rPr>
          <w:color w:val="auto"/>
          <w:highlight w:val="none"/>
        </w:rPr>
        <w:tab/>
      </w:r>
      <w:r>
        <w:rPr>
          <w:color w:val="auto"/>
          <w:highlight w:val="none"/>
        </w:rPr>
        <w:fldChar w:fldCharType="begin"/>
      </w:r>
      <w:r>
        <w:rPr>
          <w:color w:val="auto"/>
          <w:highlight w:val="none"/>
        </w:rPr>
        <w:instrText xml:space="preserve"> PAGEREF _Toc22238 \h </w:instrText>
      </w:r>
      <w:r>
        <w:rPr>
          <w:color w:val="auto"/>
          <w:highlight w:val="none"/>
        </w:rPr>
        <w:fldChar w:fldCharType="separate"/>
      </w:r>
      <w:r>
        <w:rPr>
          <w:color w:val="auto"/>
          <w:highlight w:val="none"/>
        </w:rPr>
        <w:t>87</w:t>
      </w:r>
      <w:r>
        <w:rPr>
          <w:color w:val="auto"/>
          <w:highlight w:val="none"/>
        </w:rPr>
        <w:fldChar w:fldCharType="end"/>
      </w:r>
      <w:r>
        <w:rPr>
          <w:color w:val="auto"/>
          <w:highlight w:val="none"/>
        </w:rPr>
        <w:fldChar w:fldCharType="end"/>
      </w:r>
    </w:p>
    <w:p w14:paraId="1764E4A1">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_Toc21793 </w:instrText>
      </w:r>
      <w:r>
        <w:rPr>
          <w:color w:val="auto"/>
          <w:highlight w:val="none"/>
        </w:rPr>
        <w:fldChar w:fldCharType="separate"/>
      </w:r>
      <w:r>
        <w:rPr>
          <w:rFonts w:hint="eastAsia" w:ascii="仿宋" w:hAnsi="仿宋" w:eastAsia="仿宋" w:cs="仿宋"/>
          <w:color w:val="auto"/>
          <w:szCs w:val="28"/>
          <w:highlight w:val="none"/>
        </w:rPr>
        <w:t>4、确定中标人</w:t>
      </w:r>
      <w:r>
        <w:rPr>
          <w:color w:val="auto"/>
          <w:highlight w:val="none"/>
        </w:rPr>
        <w:tab/>
      </w:r>
      <w:r>
        <w:rPr>
          <w:color w:val="auto"/>
          <w:highlight w:val="none"/>
        </w:rPr>
        <w:fldChar w:fldCharType="begin"/>
      </w:r>
      <w:r>
        <w:rPr>
          <w:color w:val="auto"/>
          <w:highlight w:val="none"/>
        </w:rPr>
        <w:instrText xml:space="preserve"> PAGEREF _Toc21793 \h </w:instrText>
      </w:r>
      <w:r>
        <w:rPr>
          <w:color w:val="auto"/>
          <w:highlight w:val="none"/>
        </w:rPr>
        <w:fldChar w:fldCharType="separate"/>
      </w:r>
      <w:r>
        <w:rPr>
          <w:color w:val="auto"/>
          <w:highlight w:val="none"/>
        </w:rPr>
        <w:t>88</w:t>
      </w:r>
      <w:r>
        <w:rPr>
          <w:color w:val="auto"/>
          <w:highlight w:val="none"/>
        </w:rPr>
        <w:fldChar w:fldCharType="end"/>
      </w:r>
      <w:r>
        <w:rPr>
          <w:color w:val="auto"/>
          <w:highlight w:val="none"/>
        </w:rPr>
        <w:fldChar w:fldCharType="end"/>
      </w:r>
    </w:p>
    <w:p w14:paraId="12E3CD32">
      <w:pPr>
        <w:pStyle w:val="18"/>
        <w:tabs>
          <w:tab w:val="right" w:leader="dot" w:pos="9014"/>
          <w:tab w:val="clear" w:pos="8302"/>
        </w:tabs>
        <w:rPr>
          <w:color w:val="auto"/>
          <w:highlight w:val="none"/>
        </w:rPr>
      </w:pPr>
      <w:r>
        <w:rPr>
          <w:color w:val="auto"/>
          <w:highlight w:val="none"/>
        </w:rPr>
        <w:fldChar w:fldCharType="begin"/>
      </w:r>
      <w:r>
        <w:rPr>
          <w:color w:val="auto"/>
          <w:highlight w:val="none"/>
        </w:rPr>
        <w:instrText xml:space="preserve"> HYPERLINK \l _Toc11192 </w:instrText>
      </w:r>
      <w:r>
        <w:rPr>
          <w:color w:val="auto"/>
          <w:highlight w:val="none"/>
        </w:rPr>
        <w:fldChar w:fldCharType="separate"/>
      </w:r>
      <w:r>
        <w:rPr>
          <w:rFonts w:hint="eastAsia" w:ascii="仿宋" w:hAnsi="仿宋" w:eastAsia="仿宋" w:cs="仿宋"/>
          <w:bCs/>
          <w:color w:val="auto"/>
          <w:szCs w:val="36"/>
          <w:highlight w:val="none"/>
          <w:lang w:val="en-US" w:eastAsia="zh-CN" w:bidi="ar-SA"/>
        </w:rPr>
        <w:t>第五部分</w:t>
      </w:r>
      <w:r>
        <w:rPr>
          <w:rFonts w:hint="eastAsia" w:ascii="仿宋" w:hAnsi="仿宋" w:eastAsia="仿宋" w:cs="仿宋"/>
          <w:bCs/>
          <w:color w:val="auto"/>
          <w:szCs w:val="28"/>
          <w:highlight w:val="none"/>
        </w:rPr>
        <w:t xml:space="preserve"> </w:t>
      </w:r>
      <w:r>
        <w:rPr>
          <w:rFonts w:hint="eastAsia" w:ascii="仿宋" w:hAnsi="仿宋" w:eastAsia="仿宋" w:cs="仿宋"/>
          <w:bCs/>
          <w:color w:val="auto"/>
          <w:szCs w:val="36"/>
          <w:highlight w:val="none"/>
        </w:rPr>
        <w:t>签订合同、合同主要条款</w:t>
      </w:r>
      <w:r>
        <w:rPr>
          <w:color w:val="auto"/>
          <w:highlight w:val="none"/>
        </w:rPr>
        <w:tab/>
      </w:r>
      <w:r>
        <w:rPr>
          <w:color w:val="auto"/>
          <w:highlight w:val="none"/>
        </w:rPr>
        <w:fldChar w:fldCharType="begin"/>
      </w:r>
      <w:r>
        <w:rPr>
          <w:color w:val="auto"/>
          <w:highlight w:val="none"/>
        </w:rPr>
        <w:instrText xml:space="preserve"> PAGEREF _Toc11192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79212F44">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_Toc14596 </w:instrText>
      </w:r>
      <w:r>
        <w:rPr>
          <w:color w:val="auto"/>
          <w:highlight w:val="none"/>
        </w:rPr>
        <w:fldChar w:fldCharType="separate"/>
      </w:r>
      <w:r>
        <w:rPr>
          <w:rFonts w:hint="eastAsia" w:ascii="黑体" w:hAnsi="黑体" w:eastAsia="黑体"/>
          <w:bCs w:val="0"/>
          <w:color w:val="auto"/>
          <w:szCs w:val="28"/>
          <w:highlight w:val="none"/>
        </w:rPr>
        <w:t xml:space="preserve">第一节 </w:t>
      </w:r>
      <w:r>
        <w:rPr>
          <w:rFonts w:hint="eastAsia" w:ascii="黑体" w:hAnsi="华文中宋" w:eastAsia="黑体"/>
          <w:bCs w:val="0"/>
          <w:color w:val="auto"/>
          <w:szCs w:val="28"/>
          <w:highlight w:val="none"/>
        </w:rPr>
        <w:t>政府采购合同协议书</w:t>
      </w:r>
      <w:r>
        <w:rPr>
          <w:color w:val="auto"/>
          <w:highlight w:val="none"/>
        </w:rPr>
        <w:tab/>
      </w:r>
      <w:r>
        <w:rPr>
          <w:color w:val="auto"/>
          <w:highlight w:val="none"/>
        </w:rPr>
        <w:fldChar w:fldCharType="begin"/>
      </w:r>
      <w:r>
        <w:rPr>
          <w:color w:val="auto"/>
          <w:highlight w:val="none"/>
        </w:rPr>
        <w:instrText xml:space="preserve"> PAGEREF _Toc14596 \h </w:instrText>
      </w:r>
      <w:r>
        <w:rPr>
          <w:color w:val="auto"/>
          <w:highlight w:val="none"/>
        </w:rPr>
        <w:fldChar w:fldCharType="separate"/>
      </w:r>
      <w:r>
        <w:rPr>
          <w:color w:val="auto"/>
          <w:highlight w:val="none"/>
        </w:rPr>
        <w:t>92</w:t>
      </w:r>
      <w:r>
        <w:rPr>
          <w:color w:val="auto"/>
          <w:highlight w:val="none"/>
        </w:rPr>
        <w:fldChar w:fldCharType="end"/>
      </w:r>
      <w:r>
        <w:rPr>
          <w:color w:val="auto"/>
          <w:highlight w:val="none"/>
        </w:rPr>
        <w:fldChar w:fldCharType="end"/>
      </w:r>
    </w:p>
    <w:p w14:paraId="5927E6EA">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_Toc3675 </w:instrText>
      </w:r>
      <w:r>
        <w:rPr>
          <w:color w:val="auto"/>
          <w:highlight w:val="none"/>
        </w:rPr>
        <w:fldChar w:fldCharType="separate"/>
      </w:r>
      <w:r>
        <w:rPr>
          <w:rFonts w:hint="eastAsia" w:ascii="黑体" w:hAnsi="黑体" w:eastAsia="黑体"/>
          <w:bCs w:val="0"/>
          <w:color w:val="auto"/>
          <w:szCs w:val="28"/>
          <w:highlight w:val="none"/>
        </w:rPr>
        <w:t>第二节 政府采购合同通用条款</w:t>
      </w:r>
      <w:r>
        <w:rPr>
          <w:color w:val="auto"/>
          <w:highlight w:val="none"/>
        </w:rPr>
        <w:tab/>
      </w:r>
      <w:r>
        <w:rPr>
          <w:color w:val="auto"/>
          <w:highlight w:val="none"/>
        </w:rPr>
        <w:fldChar w:fldCharType="begin"/>
      </w:r>
      <w:r>
        <w:rPr>
          <w:color w:val="auto"/>
          <w:highlight w:val="none"/>
        </w:rPr>
        <w:instrText xml:space="preserve"> PAGEREF _Toc3675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45369162">
      <w:pPr>
        <w:pStyle w:val="18"/>
        <w:tabs>
          <w:tab w:val="right" w:leader="dot" w:pos="9014"/>
          <w:tab w:val="clear" w:pos="8302"/>
        </w:tabs>
        <w:rPr>
          <w:color w:val="auto"/>
          <w:highlight w:val="none"/>
        </w:rPr>
      </w:pPr>
      <w:r>
        <w:rPr>
          <w:color w:val="auto"/>
          <w:highlight w:val="none"/>
        </w:rPr>
        <w:fldChar w:fldCharType="begin"/>
      </w:r>
      <w:r>
        <w:rPr>
          <w:color w:val="auto"/>
          <w:highlight w:val="none"/>
        </w:rPr>
        <w:instrText xml:space="preserve"> HYPERLINK \l _Toc17747 </w:instrText>
      </w:r>
      <w:r>
        <w:rPr>
          <w:color w:val="auto"/>
          <w:highlight w:val="none"/>
        </w:rPr>
        <w:fldChar w:fldCharType="separate"/>
      </w:r>
      <w:r>
        <w:rPr>
          <w:rFonts w:hint="eastAsia" w:ascii="仿宋" w:hAnsi="仿宋" w:eastAsia="仿宋" w:cs="仿宋"/>
          <w:color w:val="auto"/>
          <w:szCs w:val="28"/>
          <w:highlight w:val="none"/>
        </w:rPr>
        <w:t>第六部分  投标文件格式</w:t>
      </w:r>
      <w:r>
        <w:rPr>
          <w:color w:val="auto"/>
          <w:highlight w:val="none"/>
        </w:rPr>
        <w:tab/>
      </w:r>
      <w:r>
        <w:rPr>
          <w:color w:val="auto"/>
          <w:highlight w:val="none"/>
        </w:rPr>
        <w:fldChar w:fldCharType="begin"/>
      </w:r>
      <w:r>
        <w:rPr>
          <w:color w:val="auto"/>
          <w:highlight w:val="none"/>
        </w:rPr>
        <w:instrText xml:space="preserve"> PAGEREF _Toc17747 \h </w:instrText>
      </w:r>
      <w:r>
        <w:rPr>
          <w:color w:val="auto"/>
          <w:highlight w:val="none"/>
        </w:rPr>
        <w:fldChar w:fldCharType="separate"/>
      </w:r>
      <w:r>
        <w:rPr>
          <w:color w:val="auto"/>
          <w:highlight w:val="none"/>
        </w:rPr>
        <w:t>108</w:t>
      </w:r>
      <w:r>
        <w:rPr>
          <w:color w:val="auto"/>
          <w:highlight w:val="none"/>
        </w:rPr>
        <w:fldChar w:fldCharType="end"/>
      </w:r>
      <w:r>
        <w:rPr>
          <w:color w:val="auto"/>
          <w:highlight w:val="none"/>
        </w:rPr>
        <w:fldChar w:fldCharType="end"/>
      </w:r>
    </w:p>
    <w:p w14:paraId="726A97CE">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_Toc12134 </w:instrText>
      </w:r>
      <w:r>
        <w:rPr>
          <w:color w:val="auto"/>
          <w:highlight w:val="none"/>
        </w:rPr>
        <w:fldChar w:fldCharType="separate"/>
      </w:r>
      <w:r>
        <w:rPr>
          <w:rFonts w:hint="eastAsia" w:ascii="仿宋" w:hAnsi="仿宋" w:eastAsia="仿宋" w:cs="仿宋"/>
          <w:color w:val="auto"/>
          <w:szCs w:val="28"/>
          <w:highlight w:val="none"/>
        </w:rPr>
        <w:t>附件一：具备履行合同所必需的设备和专业技术能力的书面声明</w:t>
      </w:r>
      <w:r>
        <w:rPr>
          <w:color w:val="auto"/>
          <w:highlight w:val="none"/>
        </w:rPr>
        <w:tab/>
      </w:r>
      <w:r>
        <w:rPr>
          <w:color w:val="auto"/>
          <w:highlight w:val="none"/>
        </w:rPr>
        <w:fldChar w:fldCharType="begin"/>
      </w:r>
      <w:r>
        <w:rPr>
          <w:color w:val="auto"/>
          <w:highlight w:val="none"/>
        </w:rPr>
        <w:instrText xml:space="preserve"> PAGEREF _Toc12134 \h </w:instrText>
      </w:r>
      <w:r>
        <w:rPr>
          <w:color w:val="auto"/>
          <w:highlight w:val="none"/>
        </w:rPr>
        <w:fldChar w:fldCharType="separate"/>
      </w:r>
      <w:r>
        <w:rPr>
          <w:color w:val="auto"/>
          <w:highlight w:val="none"/>
        </w:rPr>
        <w:t>112</w:t>
      </w:r>
      <w:r>
        <w:rPr>
          <w:color w:val="auto"/>
          <w:highlight w:val="none"/>
        </w:rPr>
        <w:fldChar w:fldCharType="end"/>
      </w:r>
      <w:r>
        <w:rPr>
          <w:color w:val="auto"/>
          <w:highlight w:val="none"/>
        </w:rPr>
        <w:fldChar w:fldCharType="end"/>
      </w:r>
    </w:p>
    <w:p w14:paraId="1C6F8DB0">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_Toc26731 </w:instrText>
      </w:r>
      <w:r>
        <w:rPr>
          <w:color w:val="auto"/>
          <w:highlight w:val="none"/>
        </w:rPr>
        <w:fldChar w:fldCharType="separate"/>
      </w:r>
      <w:r>
        <w:rPr>
          <w:rFonts w:hint="eastAsia" w:ascii="仿宋" w:hAnsi="仿宋" w:eastAsia="仿宋" w:cs="仿宋"/>
          <w:color w:val="auto"/>
          <w:szCs w:val="28"/>
          <w:highlight w:val="none"/>
        </w:rPr>
        <w:t>附件二：参加政府采购活动前 3 年内在经营活动中没有重大违法记录的书面声明</w:t>
      </w:r>
      <w:r>
        <w:rPr>
          <w:color w:val="auto"/>
          <w:highlight w:val="none"/>
        </w:rPr>
        <w:tab/>
      </w:r>
      <w:r>
        <w:rPr>
          <w:color w:val="auto"/>
          <w:highlight w:val="none"/>
        </w:rPr>
        <w:fldChar w:fldCharType="begin"/>
      </w:r>
      <w:r>
        <w:rPr>
          <w:color w:val="auto"/>
          <w:highlight w:val="none"/>
        </w:rPr>
        <w:instrText xml:space="preserve"> PAGEREF _Toc26731 \h </w:instrText>
      </w:r>
      <w:r>
        <w:rPr>
          <w:color w:val="auto"/>
          <w:highlight w:val="none"/>
        </w:rPr>
        <w:fldChar w:fldCharType="separate"/>
      </w:r>
      <w:r>
        <w:rPr>
          <w:color w:val="auto"/>
          <w:highlight w:val="none"/>
        </w:rPr>
        <w:t>113</w:t>
      </w:r>
      <w:r>
        <w:rPr>
          <w:color w:val="auto"/>
          <w:highlight w:val="none"/>
        </w:rPr>
        <w:fldChar w:fldCharType="end"/>
      </w:r>
      <w:r>
        <w:rPr>
          <w:color w:val="auto"/>
          <w:highlight w:val="none"/>
        </w:rPr>
        <w:fldChar w:fldCharType="end"/>
      </w:r>
    </w:p>
    <w:p w14:paraId="006A9693">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_Toc11026 </w:instrText>
      </w:r>
      <w:r>
        <w:rPr>
          <w:color w:val="auto"/>
          <w:highlight w:val="none"/>
        </w:rPr>
        <w:fldChar w:fldCharType="separate"/>
      </w:r>
      <w:r>
        <w:rPr>
          <w:rFonts w:hint="eastAsia" w:ascii="仿宋" w:hAnsi="仿宋" w:eastAsia="仿宋" w:cs="仿宋"/>
          <w:bCs/>
          <w:color w:val="auto"/>
          <w:kern w:val="0"/>
          <w:szCs w:val="28"/>
          <w:highlight w:val="none"/>
        </w:rPr>
        <w:t>附件三：</w:t>
      </w:r>
      <w:r>
        <w:rPr>
          <w:rFonts w:hint="eastAsia" w:ascii="仿宋" w:hAnsi="仿宋" w:eastAsia="仿宋" w:cs="仿宋"/>
          <w:bCs/>
          <w:color w:val="auto"/>
          <w:szCs w:val="28"/>
          <w:highlight w:val="none"/>
        </w:rPr>
        <w:t>法定代表人资格证明文件</w:t>
      </w:r>
      <w:r>
        <w:rPr>
          <w:color w:val="auto"/>
          <w:highlight w:val="none"/>
        </w:rPr>
        <w:tab/>
      </w:r>
      <w:r>
        <w:rPr>
          <w:color w:val="auto"/>
          <w:highlight w:val="none"/>
        </w:rPr>
        <w:fldChar w:fldCharType="begin"/>
      </w:r>
      <w:r>
        <w:rPr>
          <w:color w:val="auto"/>
          <w:highlight w:val="none"/>
        </w:rPr>
        <w:instrText xml:space="preserve"> PAGEREF _Toc11026 \h </w:instrText>
      </w:r>
      <w:r>
        <w:rPr>
          <w:color w:val="auto"/>
          <w:highlight w:val="none"/>
        </w:rPr>
        <w:fldChar w:fldCharType="separate"/>
      </w:r>
      <w:r>
        <w:rPr>
          <w:color w:val="auto"/>
          <w:highlight w:val="none"/>
        </w:rPr>
        <w:t>114</w:t>
      </w:r>
      <w:r>
        <w:rPr>
          <w:color w:val="auto"/>
          <w:highlight w:val="none"/>
        </w:rPr>
        <w:fldChar w:fldCharType="end"/>
      </w:r>
      <w:r>
        <w:rPr>
          <w:color w:val="auto"/>
          <w:highlight w:val="none"/>
        </w:rPr>
        <w:fldChar w:fldCharType="end"/>
      </w:r>
    </w:p>
    <w:p w14:paraId="5E9C120C">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_Toc24491 </w:instrText>
      </w:r>
      <w:r>
        <w:rPr>
          <w:color w:val="auto"/>
          <w:highlight w:val="none"/>
        </w:rPr>
        <w:fldChar w:fldCharType="separate"/>
      </w:r>
      <w:r>
        <w:rPr>
          <w:rFonts w:hint="eastAsia" w:ascii="仿宋" w:hAnsi="仿宋" w:eastAsia="仿宋" w:cs="仿宋"/>
          <w:bCs/>
          <w:color w:val="auto"/>
          <w:szCs w:val="28"/>
          <w:highlight w:val="none"/>
        </w:rPr>
        <w:t>附件四：</w:t>
      </w:r>
      <w:r>
        <w:rPr>
          <w:rFonts w:hint="eastAsia" w:ascii="仿宋" w:hAnsi="仿宋" w:eastAsia="仿宋" w:cs="仿宋"/>
          <w:color w:val="auto"/>
          <w:szCs w:val="28"/>
          <w:highlight w:val="none"/>
        </w:rPr>
        <w:t>投标函</w:t>
      </w:r>
      <w:r>
        <w:rPr>
          <w:color w:val="auto"/>
          <w:highlight w:val="none"/>
        </w:rPr>
        <w:tab/>
      </w:r>
      <w:r>
        <w:rPr>
          <w:color w:val="auto"/>
          <w:highlight w:val="none"/>
        </w:rPr>
        <w:fldChar w:fldCharType="begin"/>
      </w:r>
      <w:r>
        <w:rPr>
          <w:color w:val="auto"/>
          <w:highlight w:val="none"/>
        </w:rPr>
        <w:instrText xml:space="preserve"> PAGEREF _Toc24491 \h </w:instrText>
      </w:r>
      <w:r>
        <w:rPr>
          <w:color w:val="auto"/>
          <w:highlight w:val="none"/>
        </w:rPr>
        <w:fldChar w:fldCharType="separate"/>
      </w:r>
      <w:r>
        <w:rPr>
          <w:color w:val="auto"/>
          <w:highlight w:val="none"/>
        </w:rPr>
        <w:t>116</w:t>
      </w:r>
      <w:r>
        <w:rPr>
          <w:color w:val="auto"/>
          <w:highlight w:val="none"/>
        </w:rPr>
        <w:fldChar w:fldCharType="end"/>
      </w:r>
      <w:r>
        <w:rPr>
          <w:color w:val="auto"/>
          <w:highlight w:val="none"/>
        </w:rPr>
        <w:fldChar w:fldCharType="end"/>
      </w:r>
    </w:p>
    <w:p w14:paraId="08B55671">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_Toc15140 </w:instrText>
      </w:r>
      <w:r>
        <w:rPr>
          <w:color w:val="auto"/>
          <w:highlight w:val="none"/>
        </w:rPr>
        <w:fldChar w:fldCharType="separate"/>
      </w:r>
      <w:r>
        <w:rPr>
          <w:rFonts w:hint="eastAsia" w:ascii="仿宋" w:hAnsi="仿宋" w:eastAsia="仿宋" w:cs="仿宋"/>
          <w:color w:val="auto"/>
          <w:szCs w:val="28"/>
          <w:highlight w:val="none"/>
        </w:rPr>
        <w:t>附件五：开标一览表</w:t>
      </w:r>
      <w:r>
        <w:rPr>
          <w:color w:val="auto"/>
          <w:highlight w:val="none"/>
        </w:rPr>
        <w:tab/>
      </w:r>
      <w:r>
        <w:rPr>
          <w:color w:val="auto"/>
          <w:highlight w:val="none"/>
        </w:rPr>
        <w:fldChar w:fldCharType="begin"/>
      </w:r>
      <w:r>
        <w:rPr>
          <w:color w:val="auto"/>
          <w:highlight w:val="none"/>
        </w:rPr>
        <w:instrText xml:space="preserve"> PAGEREF _Toc15140 \h </w:instrText>
      </w:r>
      <w:r>
        <w:rPr>
          <w:color w:val="auto"/>
          <w:highlight w:val="none"/>
        </w:rPr>
        <w:fldChar w:fldCharType="separate"/>
      </w:r>
      <w:r>
        <w:rPr>
          <w:color w:val="auto"/>
          <w:highlight w:val="none"/>
        </w:rPr>
        <w:t>118</w:t>
      </w:r>
      <w:r>
        <w:rPr>
          <w:color w:val="auto"/>
          <w:highlight w:val="none"/>
        </w:rPr>
        <w:fldChar w:fldCharType="end"/>
      </w:r>
      <w:r>
        <w:rPr>
          <w:color w:val="auto"/>
          <w:highlight w:val="none"/>
        </w:rPr>
        <w:fldChar w:fldCharType="end"/>
      </w:r>
    </w:p>
    <w:p w14:paraId="4013EFC9">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_Toc12318 </w:instrText>
      </w:r>
      <w:r>
        <w:rPr>
          <w:color w:val="auto"/>
          <w:highlight w:val="none"/>
        </w:rPr>
        <w:fldChar w:fldCharType="separate"/>
      </w:r>
      <w:r>
        <w:rPr>
          <w:rFonts w:hint="eastAsia" w:ascii="仿宋" w:hAnsi="仿宋" w:eastAsia="仿宋" w:cs="仿宋"/>
          <w:bCs/>
          <w:color w:val="auto"/>
          <w:kern w:val="0"/>
          <w:szCs w:val="28"/>
          <w:highlight w:val="none"/>
        </w:rPr>
        <w:t>附件六：</w:t>
      </w:r>
      <w:r>
        <w:rPr>
          <w:rFonts w:hint="eastAsia" w:ascii="仿宋" w:hAnsi="仿宋" w:eastAsia="仿宋" w:cs="仿宋"/>
          <w:color w:val="auto"/>
          <w:szCs w:val="28"/>
          <w:highlight w:val="none"/>
        </w:rPr>
        <w:t>报价明细表</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根据采购需求自行编制</w:t>
      </w:r>
      <w:r>
        <w:rPr>
          <w:rFonts w:hint="eastAsia" w:ascii="仿宋" w:hAnsi="仿宋" w:eastAsia="仿宋" w:cs="仿宋"/>
          <w:color w:val="auto"/>
          <w:szCs w:val="28"/>
          <w:highlight w:val="none"/>
          <w:lang w:eastAsia="zh-CN"/>
        </w:rPr>
        <w:t>）</w:t>
      </w:r>
      <w:r>
        <w:rPr>
          <w:color w:val="auto"/>
          <w:highlight w:val="none"/>
        </w:rPr>
        <w:tab/>
      </w:r>
      <w:r>
        <w:rPr>
          <w:color w:val="auto"/>
          <w:highlight w:val="none"/>
        </w:rPr>
        <w:fldChar w:fldCharType="begin"/>
      </w:r>
      <w:r>
        <w:rPr>
          <w:color w:val="auto"/>
          <w:highlight w:val="none"/>
        </w:rPr>
        <w:instrText xml:space="preserve"> PAGEREF _Toc12318 \h </w:instrText>
      </w:r>
      <w:r>
        <w:rPr>
          <w:color w:val="auto"/>
          <w:highlight w:val="none"/>
        </w:rPr>
        <w:fldChar w:fldCharType="separate"/>
      </w:r>
      <w:r>
        <w:rPr>
          <w:color w:val="auto"/>
          <w:highlight w:val="none"/>
        </w:rPr>
        <w:t>119</w:t>
      </w:r>
      <w:r>
        <w:rPr>
          <w:color w:val="auto"/>
          <w:highlight w:val="none"/>
        </w:rPr>
        <w:fldChar w:fldCharType="end"/>
      </w:r>
      <w:r>
        <w:rPr>
          <w:color w:val="auto"/>
          <w:highlight w:val="none"/>
        </w:rPr>
        <w:fldChar w:fldCharType="end"/>
      </w:r>
    </w:p>
    <w:p w14:paraId="0910C5DC">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_Toc8555 </w:instrText>
      </w:r>
      <w:r>
        <w:rPr>
          <w:color w:val="auto"/>
          <w:highlight w:val="none"/>
        </w:rPr>
        <w:fldChar w:fldCharType="separate"/>
      </w:r>
      <w:r>
        <w:rPr>
          <w:rFonts w:hint="eastAsia" w:ascii="仿宋" w:hAnsi="仿宋" w:eastAsia="仿宋" w:cs="仿宋"/>
          <w:bCs/>
          <w:color w:val="auto"/>
          <w:szCs w:val="28"/>
          <w:highlight w:val="none"/>
        </w:rPr>
        <w:t>附件七：商务、技术条款偏离表</w:t>
      </w:r>
      <w:r>
        <w:rPr>
          <w:color w:val="auto"/>
          <w:highlight w:val="none"/>
        </w:rPr>
        <w:tab/>
      </w:r>
      <w:r>
        <w:rPr>
          <w:color w:val="auto"/>
          <w:highlight w:val="none"/>
        </w:rPr>
        <w:fldChar w:fldCharType="begin"/>
      </w:r>
      <w:r>
        <w:rPr>
          <w:color w:val="auto"/>
          <w:highlight w:val="none"/>
        </w:rPr>
        <w:instrText xml:space="preserve"> PAGEREF _Toc8555 \h </w:instrText>
      </w:r>
      <w:r>
        <w:rPr>
          <w:color w:val="auto"/>
          <w:highlight w:val="none"/>
        </w:rPr>
        <w:fldChar w:fldCharType="separate"/>
      </w:r>
      <w:r>
        <w:rPr>
          <w:color w:val="auto"/>
          <w:highlight w:val="none"/>
        </w:rPr>
        <w:t>123</w:t>
      </w:r>
      <w:r>
        <w:rPr>
          <w:color w:val="auto"/>
          <w:highlight w:val="none"/>
        </w:rPr>
        <w:fldChar w:fldCharType="end"/>
      </w:r>
      <w:r>
        <w:rPr>
          <w:color w:val="auto"/>
          <w:highlight w:val="none"/>
        </w:rPr>
        <w:fldChar w:fldCharType="end"/>
      </w:r>
    </w:p>
    <w:p w14:paraId="200AB960">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_Toc27010 </w:instrText>
      </w:r>
      <w:r>
        <w:rPr>
          <w:color w:val="auto"/>
          <w:highlight w:val="none"/>
        </w:rPr>
        <w:fldChar w:fldCharType="separate"/>
      </w:r>
      <w:r>
        <w:rPr>
          <w:rFonts w:hint="eastAsia" w:ascii="仿宋" w:hAnsi="仿宋" w:eastAsia="仿宋" w:cs="仿宋"/>
          <w:bCs/>
          <w:color w:val="auto"/>
          <w:szCs w:val="28"/>
          <w:highlight w:val="none"/>
        </w:rPr>
        <w:t>附件八：</w:t>
      </w:r>
      <w:r>
        <w:rPr>
          <w:rFonts w:hint="eastAsia" w:ascii="宋体" w:hAnsi="宋体" w:eastAsia="宋体" w:cs="宋体"/>
          <w:color w:val="auto"/>
          <w:szCs w:val="28"/>
          <w:highlight w:val="none"/>
        </w:rPr>
        <w:t>中小企业声明函（货物）</w:t>
      </w:r>
      <w:r>
        <w:rPr>
          <w:color w:val="auto"/>
          <w:highlight w:val="none"/>
        </w:rPr>
        <w:tab/>
      </w:r>
      <w:r>
        <w:rPr>
          <w:color w:val="auto"/>
          <w:highlight w:val="none"/>
        </w:rPr>
        <w:fldChar w:fldCharType="begin"/>
      </w:r>
      <w:r>
        <w:rPr>
          <w:color w:val="auto"/>
          <w:highlight w:val="none"/>
        </w:rPr>
        <w:instrText xml:space="preserve"> PAGEREF _Toc27010 \h </w:instrText>
      </w:r>
      <w:r>
        <w:rPr>
          <w:color w:val="auto"/>
          <w:highlight w:val="none"/>
        </w:rPr>
        <w:fldChar w:fldCharType="separate"/>
      </w:r>
      <w:r>
        <w:rPr>
          <w:color w:val="auto"/>
          <w:highlight w:val="none"/>
        </w:rPr>
        <w:t>124</w:t>
      </w:r>
      <w:r>
        <w:rPr>
          <w:color w:val="auto"/>
          <w:highlight w:val="none"/>
        </w:rPr>
        <w:fldChar w:fldCharType="end"/>
      </w:r>
      <w:r>
        <w:rPr>
          <w:color w:val="auto"/>
          <w:highlight w:val="none"/>
        </w:rPr>
        <w:fldChar w:fldCharType="end"/>
      </w:r>
    </w:p>
    <w:p w14:paraId="5F916303">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_Toc22325 </w:instrText>
      </w:r>
      <w:r>
        <w:rPr>
          <w:color w:val="auto"/>
          <w:highlight w:val="none"/>
        </w:rPr>
        <w:fldChar w:fldCharType="separate"/>
      </w:r>
      <w:r>
        <w:rPr>
          <w:rFonts w:hint="eastAsia" w:ascii="仿宋" w:hAnsi="仿宋" w:eastAsia="仿宋" w:cs="仿宋"/>
          <w:bCs/>
          <w:color w:val="auto"/>
          <w:szCs w:val="28"/>
          <w:highlight w:val="none"/>
        </w:rPr>
        <w:t>附件九：残疾人福利性单位声明函（若有）</w:t>
      </w:r>
      <w:r>
        <w:rPr>
          <w:color w:val="auto"/>
          <w:highlight w:val="none"/>
        </w:rPr>
        <w:tab/>
      </w:r>
      <w:r>
        <w:rPr>
          <w:color w:val="auto"/>
          <w:highlight w:val="none"/>
        </w:rPr>
        <w:fldChar w:fldCharType="begin"/>
      </w:r>
      <w:r>
        <w:rPr>
          <w:color w:val="auto"/>
          <w:highlight w:val="none"/>
        </w:rPr>
        <w:instrText xml:space="preserve"> PAGEREF _Toc22325 \h </w:instrText>
      </w:r>
      <w:r>
        <w:rPr>
          <w:color w:val="auto"/>
          <w:highlight w:val="none"/>
        </w:rPr>
        <w:fldChar w:fldCharType="separate"/>
      </w:r>
      <w:r>
        <w:rPr>
          <w:color w:val="auto"/>
          <w:highlight w:val="none"/>
        </w:rPr>
        <w:t>125</w:t>
      </w:r>
      <w:r>
        <w:rPr>
          <w:color w:val="auto"/>
          <w:highlight w:val="none"/>
        </w:rPr>
        <w:fldChar w:fldCharType="end"/>
      </w:r>
      <w:r>
        <w:rPr>
          <w:color w:val="auto"/>
          <w:highlight w:val="none"/>
        </w:rPr>
        <w:fldChar w:fldCharType="end"/>
      </w:r>
    </w:p>
    <w:p w14:paraId="3CD6C017">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_Toc11880 </w:instrText>
      </w:r>
      <w:r>
        <w:rPr>
          <w:color w:val="auto"/>
          <w:highlight w:val="none"/>
        </w:rPr>
        <w:fldChar w:fldCharType="separate"/>
      </w:r>
      <w:r>
        <w:rPr>
          <w:rFonts w:hint="eastAsia" w:ascii="仿宋" w:hAnsi="仿宋" w:eastAsia="仿宋" w:cs="仿宋"/>
          <w:color w:val="auto"/>
          <w:szCs w:val="28"/>
          <w:highlight w:val="none"/>
        </w:rPr>
        <w:t>附件十：政府采购诚信承诺书</w:t>
      </w:r>
      <w:r>
        <w:rPr>
          <w:color w:val="auto"/>
          <w:highlight w:val="none"/>
        </w:rPr>
        <w:tab/>
      </w:r>
      <w:r>
        <w:rPr>
          <w:color w:val="auto"/>
          <w:highlight w:val="none"/>
        </w:rPr>
        <w:fldChar w:fldCharType="begin"/>
      </w:r>
      <w:r>
        <w:rPr>
          <w:color w:val="auto"/>
          <w:highlight w:val="none"/>
        </w:rPr>
        <w:instrText xml:space="preserve"> PAGEREF _Toc11880 \h </w:instrText>
      </w:r>
      <w:r>
        <w:rPr>
          <w:color w:val="auto"/>
          <w:highlight w:val="none"/>
        </w:rPr>
        <w:fldChar w:fldCharType="separate"/>
      </w:r>
      <w:r>
        <w:rPr>
          <w:color w:val="auto"/>
          <w:highlight w:val="none"/>
        </w:rPr>
        <w:t>126</w:t>
      </w:r>
      <w:r>
        <w:rPr>
          <w:color w:val="auto"/>
          <w:highlight w:val="none"/>
        </w:rPr>
        <w:fldChar w:fldCharType="end"/>
      </w:r>
      <w:r>
        <w:rPr>
          <w:color w:val="auto"/>
          <w:highlight w:val="none"/>
        </w:rPr>
        <w:fldChar w:fldCharType="end"/>
      </w:r>
    </w:p>
    <w:p w14:paraId="7057C141">
      <w:pPr>
        <w:pStyle w:val="23"/>
        <w:tabs>
          <w:tab w:val="right" w:leader="dot" w:pos="9014"/>
        </w:tabs>
        <w:rPr>
          <w:color w:val="auto"/>
          <w:highlight w:val="none"/>
        </w:rPr>
      </w:pPr>
      <w:r>
        <w:rPr>
          <w:color w:val="auto"/>
          <w:highlight w:val="none"/>
        </w:rPr>
        <w:fldChar w:fldCharType="begin"/>
      </w:r>
      <w:r>
        <w:rPr>
          <w:color w:val="auto"/>
          <w:highlight w:val="none"/>
        </w:rPr>
        <w:instrText xml:space="preserve"> HYPERLINK \l _Toc12637 </w:instrText>
      </w:r>
      <w:r>
        <w:rPr>
          <w:color w:val="auto"/>
          <w:highlight w:val="none"/>
        </w:rPr>
        <w:fldChar w:fldCharType="separate"/>
      </w:r>
      <w:r>
        <w:rPr>
          <w:rFonts w:hint="eastAsia" w:ascii="仿宋" w:hAnsi="仿宋" w:eastAsia="仿宋" w:cs="仿宋"/>
          <w:bCs/>
          <w:color w:val="auto"/>
          <w:szCs w:val="28"/>
          <w:highlight w:val="none"/>
        </w:rPr>
        <w:t>附件十一：</w:t>
      </w:r>
      <w:r>
        <w:rPr>
          <w:rFonts w:hint="eastAsia" w:ascii="仿宋" w:hAnsi="仿宋" w:eastAsia="仿宋" w:cs="仿宋"/>
          <w:color w:val="auto"/>
          <w:szCs w:val="28"/>
          <w:highlight w:val="none"/>
        </w:rPr>
        <w:t>供应商认为有必要提供的其他相关文件</w:t>
      </w:r>
      <w:r>
        <w:rPr>
          <w:color w:val="auto"/>
          <w:highlight w:val="none"/>
        </w:rPr>
        <w:tab/>
      </w:r>
      <w:r>
        <w:rPr>
          <w:color w:val="auto"/>
          <w:highlight w:val="none"/>
        </w:rPr>
        <w:fldChar w:fldCharType="begin"/>
      </w:r>
      <w:r>
        <w:rPr>
          <w:color w:val="auto"/>
          <w:highlight w:val="none"/>
        </w:rPr>
        <w:instrText xml:space="preserve"> PAGEREF _Toc12637 \h </w:instrText>
      </w:r>
      <w:r>
        <w:rPr>
          <w:color w:val="auto"/>
          <w:highlight w:val="none"/>
        </w:rPr>
        <w:fldChar w:fldCharType="separate"/>
      </w:r>
      <w:r>
        <w:rPr>
          <w:color w:val="auto"/>
          <w:highlight w:val="none"/>
        </w:rPr>
        <w:t>127</w:t>
      </w:r>
      <w:r>
        <w:rPr>
          <w:color w:val="auto"/>
          <w:highlight w:val="none"/>
        </w:rPr>
        <w:fldChar w:fldCharType="end"/>
      </w:r>
      <w:r>
        <w:rPr>
          <w:color w:val="auto"/>
          <w:highlight w:val="none"/>
        </w:rPr>
        <w:fldChar w:fldCharType="end"/>
      </w:r>
    </w:p>
    <w:p w14:paraId="769657F8">
      <w:pPr>
        <w:rPr>
          <w:color w:val="auto"/>
          <w:highlight w:val="none"/>
        </w:rPr>
      </w:pPr>
      <w:r>
        <w:rPr>
          <w:color w:val="auto"/>
          <w:highlight w:val="none"/>
        </w:rPr>
        <w:fldChar w:fldCharType="end"/>
      </w:r>
    </w:p>
    <w:p w14:paraId="703A96EE">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br w:type="page"/>
      </w:r>
    </w:p>
    <w:p w14:paraId="5D230F50">
      <w:pPr>
        <w:pStyle w:val="12"/>
        <w:ind w:left="0" w:leftChars="0" w:firstLine="0" w:firstLineChars="0"/>
        <w:jc w:val="center"/>
        <w:outlineLvl w:val="0"/>
        <w:rPr>
          <w:rFonts w:hint="eastAsia" w:ascii="仿宋" w:hAnsi="仿宋" w:eastAsia="仿宋" w:cs="仿宋"/>
          <w:b/>
          <w:bCs/>
          <w:color w:val="auto"/>
          <w:sz w:val="28"/>
          <w:szCs w:val="28"/>
          <w:highlight w:val="none"/>
        </w:rPr>
      </w:pPr>
      <w:bookmarkStart w:id="1" w:name="_Toc17880"/>
      <w:bookmarkStart w:id="2" w:name="_Toc25097"/>
      <w:r>
        <w:rPr>
          <w:rFonts w:hint="eastAsia" w:ascii="仿宋" w:hAnsi="仿宋" w:eastAsia="仿宋" w:cs="仿宋"/>
          <w:b/>
          <w:bCs/>
          <w:color w:val="auto"/>
          <w:sz w:val="28"/>
          <w:szCs w:val="28"/>
          <w:highlight w:val="none"/>
        </w:rPr>
        <w:t>第一部分  招标公告</w:t>
      </w:r>
      <w:bookmarkEnd w:id="1"/>
      <w:bookmarkEnd w:id="2"/>
      <w:bookmarkStart w:id="3" w:name="_Toc19875"/>
      <w:bookmarkStart w:id="4" w:name="_Toc519111257"/>
    </w:p>
    <w:p w14:paraId="2C4592C8">
      <w:pPr>
        <w:tabs>
          <w:tab w:val="left" w:pos="0"/>
        </w:tabs>
        <w:jc w:val="center"/>
        <w:outlineLvl w:val="1"/>
        <w:rPr>
          <w:rFonts w:hint="eastAsia" w:ascii="仿宋" w:hAnsi="仿宋" w:eastAsia="仿宋" w:cs="仿宋"/>
          <w:color w:val="auto"/>
          <w:sz w:val="28"/>
          <w:szCs w:val="28"/>
          <w:highlight w:val="none"/>
          <w:lang w:eastAsia="zh-CN"/>
        </w:rPr>
      </w:pPr>
      <w:bookmarkStart w:id="5" w:name="_Toc849"/>
      <w:bookmarkStart w:id="6" w:name="_Toc4021"/>
      <w:bookmarkStart w:id="7" w:name="_Toc9126"/>
      <w:r>
        <w:rPr>
          <w:rFonts w:hint="eastAsia" w:ascii="仿宋" w:hAnsi="仿宋" w:eastAsia="仿宋" w:cs="仿宋"/>
          <w:color w:val="auto"/>
          <w:sz w:val="28"/>
          <w:szCs w:val="28"/>
          <w:highlight w:val="none"/>
          <w:lang w:eastAsia="zh-CN"/>
        </w:rPr>
        <w:t>露天矿挖机-矿卡智能交互与协同装载关键技术研究项目</w:t>
      </w:r>
    </w:p>
    <w:p w14:paraId="250F6B2C">
      <w:pPr>
        <w:tabs>
          <w:tab w:val="left" w:pos="0"/>
        </w:tabs>
        <w:jc w:val="center"/>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ab/>
      </w:r>
      <w:r>
        <w:rPr>
          <w:rFonts w:hint="eastAsia" w:ascii="仿宋" w:hAnsi="仿宋" w:eastAsia="仿宋" w:cs="仿宋"/>
          <w:color w:val="auto"/>
          <w:sz w:val="28"/>
          <w:szCs w:val="28"/>
          <w:highlight w:val="none"/>
        </w:rPr>
        <w:t>公开招标公告</w:t>
      </w:r>
      <w:bookmarkEnd w:id="5"/>
      <w:bookmarkEnd w:id="6"/>
      <w:bookmarkEnd w:id="7"/>
    </w:p>
    <w:p w14:paraId="5B8F3B2B">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20DDC5B4">
      <w:pPr>
        <w:pStyle w:val="25"/>
        <w:keepNext w:val="0"/>
        <w:keepLines w:val="0"/>
        <w:pageBreakBefore w:val="0"/>
        <w:widowControl w:val="0"/>
        <w:kinsoku/>
        <w:wordWrap/>
        <w:overflowPunct/>
        <w:topLinePunct w:val="0"/>
        <w:autoSpaceDE w:val="0"/>
        <w:autoSpaceDN w:val="0"/>
        <w:bidi w:val="0"/>
        <w:adjustRightInd w:val="0"/>
        <w:snapToGrid w:val="0"/>
        <w:ind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露天矿挖机-矿卡智能交互与协同装载关键技术研究项目</w:t>
      </w:r>
      <w:r>
        <w:rPr>
          <w:rFonts w:hint="eastAsia" w:ascii="仿宋" w:hAnsi="仿宋" w:eastAsia="仿宋" w:cs="仿宋"/>
          <w:color w:val="auto"/>
          <w:sz w:val="28"/>
          <w:szCs w:val="28"/>
          <w:highlight w:val="none"/>
        </w:rPr>
        <w:t>的潜在投标人应在政采云平台线上获取招标文件，并于</w:t>
      </w:r>
      <w:r>
        <w:rPr>
          <w:rFonts w:hint="eastAsia" w:ascii="仿宋" w:hAnsi="仿宋" w:eastAsia="仿宋" w:cs="仿宋"/>
          <w:color w:val="auto"/>
          <w:sz w:val="28"/>
          <w:szCs w:val="28"/>
          <w:highlight w:val="none"/>
          <w:lang w:eastAsia="zh-CN"/>
        </w:rPr>
        <w:t>2026年11月03日11:00（北京时间）</w:t>
      </w:r>
      <w:r>
        <w:rPr>
          <w:rFonts w:hint="eastAsia" w:ascii="仿宋" w:hAnsi="仿宋" w:eastAsia="仿宋" w:cs="仿宋"/>
          <w:color w:val="auto"/>
          <w:sz w:val="28"/>
          <w:szCs w:val="28"/>
          <w:highlight w:val="none"/>
        </w:rPr>
        <w:t>前递交投标文件。</w:t>
      </w:r>
    </w:p>
    <w:p w14:paraId="76F63F23">
      <w:pPr>
        <w:pStyle w:val="25"/>
        <w:keepNext w:val="0"/>
        <w:keepLines w:val="0"/>
        <w:pageBreakBefore w:val="0"/>
        <w:widowControl w:val="0"/>
        <w:kinsoku/>
        <w:wordWrap/>
        <w:overflowPunct/>
        <w:topLinePunct w:val="0"/>
        <w:autoSpaceDE w:val="0"/>
        <w:autoSpaceDN w:val="0"/>
        <w:bidi w:val="0"/>
        <w:adjustRightInd w:val="0"/>
        <w:snapToGrid w:val="0"/>
        <w:textAlignment w:val="auto"/>
        <w:outlineLvl w:val="2"/>
        <w:rPr>
          <w:rFonts w:hint="eastAsia" w:ascii="仿宋" w:hAnsi="仿宋" w:eastAsia="仿宋" w:cs="仿宋"/>
          <w:color w:val="auto"/>
          <w:sz w:val="28"/>
          <w:szCs w:val="28"/>
          <w:highlight w:val="none"/>
        </w:rPr>
      </w:pPr>
      <w:bookmarkStart w:id="8" w:name="_Toc6884"/>
      <w:bookmarkStart w:id="9" w:name="_Toc20999"/>
      <w:r>
        <w:rPr>
          <w:rStyle w:val="32"/>
          <w:rFonts w:hint="eastAsia" w:ascii="仿宋" w:hAnsi="仿宋" w:eastAsia="仿宋" w:cs="仿宋"/>
          <w:bCs/>
          <w:color w:val="auto"/>
          <w:sz w:val="28"/>
          <w:szCs w:val="28"/>
          <w:highlight w:val="none"/>
        </w:rPr>
        <w:t>一、项目基本情况</w:t>
      </w:r>
      <w:bookmarkEnd w:id="8"/>
      <w:bookmarkEnd w:id="9"/>
    </w:p>
    <w:p w14:paraId="45953A74">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lang w:eastAsia="zh-CN"/>
        </w:rPr>
        <w:t>2026-1010-104204</w:t>
      </w:r>
    </w:p>
    <w:p w14:paraId="43033D12">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lang w:eastAsia="zh-CN"/>
        </w:rPr>
        <w:t>露天矿挖机-矿卡智能交互与协同装载关键技术研究项目</w:t>
      </w:r>
    </w:p>
    <w:p w14:paraId="27601441">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采购方式：公开招标</w:t>
      </w:r>
    </w:p>
    <w:p w14:paraId="1597CB52">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预算金额（元）：</w:t>
      </w:r>
      <w:r>
        <w:rPr>
          <w:rFonts w:hint="eastAsia" w:ascii="仿宋" w:hAnsi="仿宋" w:eastAsia="仿宋" w:cs="仿宋"/>
          <w:color w:val="auto"/>
          <w:sz w:val="28"/>
          <w:szCs w:val="28"/>
          <w:highlight w:val="none"/>
          <w:lang w:val="en-US" w:eastAsia="zh-CN"/>
        </w:rPr>
        <w:t>1000000</w:t>
      </w:r>
    </w:p>
    <w:p w14:paraId="1D214986">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最高限价（元）：</w:t>
      </w:r>
      <w:r>
        <w:rPr>
          <w:rFonts w:hint="eastAsia" w:ascii="仿宋" w:hAnsi="仿宋" w:eastAsia="仿宋" w:cs="仿宋"/>
          <w:color w:val="auto"/>
          <w:sz w:val="28"/>
          <w:szCs w:val="28"/>
          <w:highlight w:val="none"/>
          <w:lang w:eastAsia="zh-CN"/>
        </w:rPr>
        <w:t>1000000</w:t>
      </w:r>
    </w:p>
    <w:p w14:paraId="1B7B0CEC">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采购需求：</w:t>
      </w:r>
    </w:p>
    <w:p w14:paraId="2AA08AF2">
      <w:pPr>
        <w:pStyle w:val="25"/>
        <w:keepNext w:val="0"/>
        <w:keepLines w:val="0"/>
        <w:pageBreakBefore w:val="0"/>
        <w:widowControl w:val="0"/>
        <w:kinsoku/>
        <w:wordWrap/>
        <w:overflowPunct/>
        <w:topLinePunct w:val="0"/>
        <w:autoSpaceDE w:val="0"/>
        <w:autoSpaceDN w:val="0"/>
        <w:bidi w:val="0"/>
        <w:adjustRightInd w:val="0"/>
        <w:snapToGrid w:val="0"/>
        <w:ind w:firstLine="562"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 xml:space="preserve">标项名称: </w:t>
      </w:r>
      <w:r>
        <w:rPr>
          <w:rFonts w:hint="eastAsia" w:ascii="仿宋" w:hAnsi="仿宋" w:eastAsia="仿宋" w:cs="仿宋"/>
          <w:color w:val="auto"/>
          <w:sz w:val="28"/>
          <w:szCs w:val="28"/>
          <w:highlight w:val="none"/>
          <w:lang w:eastAsia="zh-CN"/>
        </w:rPr>
        <w:t>露天矿挖机-矿卡智能交互与协同装载关键技术研究项目</w:t>
      </w:r>
    </w:p>
    <w:p w14:paraId="5163673C">
      <w:pPr>
        <w:pStyle w:val="25"/>
        <w:keepNext w:val="0"/>
        <w:keepLines w:val="0"/>
        <w:pageBreakBefore w:val="0"/>
        <w:widowControl w:val="0"/>
        <w:kinsoku/>
        <w:wordWrap/>
        <w:overflowPunct/>
        <w:topLinePunct w:val="0"/>
        <w:autoSpaceDE w:val="0"/>
        <w:autoSpaceDN w:val="0"/>
        <w:bidi w:val="0"/>
        <w:adjustRightInd w:val="0"/>
        <w:snapToGrid w:val="0"/>
        <w:ind w:firstLine="562"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数量:</w:t>
      </w:r>
      <w:r>
        <w:rPr>
          <w:rFonts w:hint="eastAsia" w:ascii="仿宋" w:hAnsi="仿宋" w:eastAsia="仿宋" w:cs="仿宋"/>
          <w:color w:val="auto"/>
          <w:sz w:val="28"/>
          <w:szCs w:val="28"/>
          <w:highlight w:val="none"/>
          <w:lang w:val="en-US" w:eastAsia="zh-CN"/>
        </w:rPr>
        <w:t>1</w:t>
      </w:r>
    </w:p>
    <w:p w14:paraId="22C89B15">
      <w:pPr>
        <w:pStyle w:val="25"/>
        <w:keepNext w:val="0"/>
        <w:keepLines w:val="0"/>
        <w:pageBreakBefore w:val="0"/>
        <w:widowControl w:val="0"/>
        <w:kinsoku/>
        <w:wordWrap/>
        <w:overflowPunct/>
        <w:topLinePunct w:val="0"/>
        <w:autoSpaceDE w:val="0"/>
        <w:autoSpaceDN w:val="0"/>
        <w:bidi w:val="0"/>
        <w:adjustRightInd w:val="0"/>
        <w:snapToGrid w:val="0"/>
        <w:ind w:firstLine="562" w:firstLineChars="200"/>
        <w:textAlignment w:val="auto"/>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预算金额（元）:</w:t>
      </w:r>
      <w:r>
        <w:rPr>
          <w:rFonts w:hint="eastAsia" w:ascii="仿宋" w:hAnsi="仿宋" w:eastAsia="仿宋" w:cs="仿宋"/>
          <w:color w:val="auto"/>
          <w:sz w:val="28"/>
          <w:szCs w:val="28"/>
          <w:highlight w:val="none"/>
          <w:lang w:eastAsia="zh-CN"/>
        </w:rPr>
        <w:t>1000000</w:t>
      </w:r>
    </w:p>
    <w:p w14:paraId="04F233CC">
      <w:pPr>
        <w:pStyle w:val="25"/>
        <w:keepNext w:val="0"/>
        <w:keepLines w:val="0"/>
        <w:pageBreakBefore w:val="0"/>
        <w:widowControl w:val="0"/>
        <w:kinsoku/>
        <w:wordWrap/>
        <w:overflowPunct/>
        <w:topLinePunct w:val="0"/>
        <w:autoSpaceDE w:val="0"/>
        <w:autoSpaceDN w:val="0"/>
        <w:bidi w:val="0"/>
        <w:adjustRightInd w:val="0"/>
        <w:snapToGrid w:val="0"/>
        <w:ind w:firstLine="562"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单位：</w:t>
      </w:r>
      <w:r>
        <w:rPr>
          <w:rFonts w:hint="eastAsia" w:ascii="仿宋" w:hAnsi="仿宋" w:eastAsia="仿宋" w:cs="仿宋"/>
          <w:color w:val="auto"/>
          <w:sz w:val="28"/>
          <w:szCs w:val="28"/>
          <w:highlight w:val="none"/>
          <w:lang w:val="en-US" w:eastAsia="zh-CN"/>
        </w:rPr>
        <w:t>批</w:t>
      </w:r>
    </w:p>
    <w:p w14:paraId="33B4BB24">
      <w:pPr>
        <w:pStyle w:val="25"/>
        <w:keepNext w:val="0"/>
        <w:keepLines w:val="0"/>
        <w:pageBreakBefore w:val="0"/>
        <w:widowControl w:val="0"/>
        <w:kinsoku/>
        <w:wordWrap/>
        <w:overflowPunct/>
        <w:topLinePunct w:val="0"/>
        <w:autoSpaceDE w:val="0"/>
        <w:autoSpaceDN w:val="0"/>
        <w:bidi w:val="0"/>
        <w:adjustRightInd w:val="0"/>
        <w:snapToGrid w:val="0"/>
        <w:ind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简要规格描述或项目基本概况介绍、用途：</w:t>
      </w:r>
      <w:r>
        <w:rPr>
          <w:rFonts w:hint="eastAsia" w:ascii="仿宋" w:hAnsi="仿宋" w:eastAsia="仿宋" w:cs="仿宋"/>
          <w:color w:val="auto"/>
          <w:sz w:val="28"/>
          <w:szCs w:val="28"/>
          <w:highlight w:val="none"/>
          <w:lang w:val="en-US" w:eastAsia="zh-CN"/>
        </w:rPr>
        <w:t>为露天矿挖机-矿卡智能交互与协同装载关键技术研究项目。</w:t>
      </w:r>
      <w:r>
        <w:rPr>
          <w:rFonts w:hint="eastAsia" w:ascii="仿宋" w:hAnsi="仿宋" w:eastAsia="仿宋" w:cs="仿宋"/>
          <w:color w:val="auto"/>
          <w:sz w:val="28"/>
          <w:szCs w:val="28"/>
          <w:highlight w:val="none"/>
        </w:rPr>
        <w:t>（详见招标文件采购需求）</w:t>
      </w:r>
    </w:p>
    <w:p w14:paraId="2565821E">
      <w:pPr>
        <w:pStyle w:val="25"/>
        <w:keepNext w:val="0"/>
        <w:keepLines w:val="0"/>
        <w:pageBreakBefore w:val="0"/>
        <w:widowControl w:val="0"/>
        <w:kinsoku/>
        <w:wordWrap/>
        <w:overflowPunct/>
        <w:topLinePunct w:val="0"/>
        <w:autoSpaceDE w:val="0"/>
        <w:autoSpaceDN w:val="0"/>
        <w:bidi w:val="0"/>
        <w:adjustRightInd w:val="0"/>
        <w:snapToGrid w:val="0"/>
        <w:ind w:firstLine="562"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w:t>
      </w:r>
    </w:p>
    <w:p w14:paraId="34E65645">
      <w:pPr>
        <w:pStyle w:val="7"/>
        <w:keepNext w:val="0"/>
        <w:keepLines w:val="0"/>
        <w:pageBreakBefore w:val="0"/>
        <w:widowControl w:val="0"/>
        <w:kinsoku/>
        <w:wordWrap/>
        <w:overflowPunct/>
        <w:topLinePunct w:val="0"/>
        <w:autoSpaceDE w:val="0"/>
        <w:autoSpaceDN w:val="0"/>
        <w:bidi w:val="0"/>
        <w:adjustRightInd w:val="0"/>
        <w:snapToGrid w:val="0"/>
        <w:ind w:left="0" w:leftChars="0" w:firstLine="0" w:firstLineChars="0"/>
        <w:textAlignment w:val="auto"/>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合同履约期限：</w:t>
      </w:r>
      <w:r>
        <w:rPr>
          <w:rFonts w:hint="eastAsia" w:ascii="仿宋" w:hAnsi="仿宋" w:eastAsia="仿宋" w:cs="仿宋"/>
          <w:color w:val="auto"/>
          <w:sz w:val="28"/>
          <w:szCs w:val="28"/>
          <w:highlight w:val="none"/>
          <w:lang w:val="en-US" w:eastAsia="zh-CN"/>
        </w:rPr>
        <w:t>自合同签订之日起 30 天内完成供货、安装、调试、验收。</w:t>
      </w:r>
    </w:p>
    <w:p w14:paraId="7550AE5C">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本项目（否）接受联合体投标。</w:t>
      </w:r>
    </w:p>
    <w:p w14:paraId="333E077E">
      <w:pPr>
        <w:pStyle w:val="25"/>
        <w:keepNext w:val="0"/>
        <w:keepLines w:val="0"/>
        <w:pageBreakBefore w:val="0"/>
        <w:widowControl w:val="0"/>
        <w:kinsoku/>
        <w:wordWrap/>
        <w:overflowPunct/>
        <w:topLinePunct w:val="0"/>
        <w:autoSpaceDE w:val="0"/>
        <w:autoSpaceDN w:val="0"/>
        <w:bidi w:val="0"/>
        <w:adjustRightInd w:val="0"/>
        <w:snapToGrid w:val="0"/>
        <w:textAlignment w:val="auto"/>
        <w:outlineLvl w:val="2"/>
        <w:rPr>
          <w:rStyle w:val="32"/>
          <w:rFonts w:hint="eastAsia" w:ascii="仿宋" w:hAnsi="仿宋" w:eastAsia="仿宋" w:cs="仿宋"/>
          <w:bCs/>
          <w:color w:val="auto"/>
          <w:sz w:val="28"/>
          <w:szCs w:val="28"/>
          <w:highlight w:val="none"/>
        </w:rPr>
      </w:pPr>
      <w:bookmarkStart w:id="10" w:name="_Toc17662"/>
      <w:bookmarkStart w:id="11" w:name="_Toc15585"/>
      <w:r>
        <w:rPr>
          <w:rStyle w:val="32"/>
          <w:rFonts w:hint="eastAsia" w:ascii="仿宋" w:hAnsi="仿宋" w:eastAsia="仿宋" w:cs="仿宋"/>
          <w:bCs/>
          <w:color w:val="auto"/>
          <w:sz w:val="28"/>
          <w:szCs w:val="28"/>
          <w:highlight w:val="none"/>
        </w:rPr>
        <w:t>二、申请人的资格要求：</w:t>
      </w:r>
      <w:bookmarkEnd w:id="10"/>
      <w:bookmarkEnd w:id="11"/>
    </w:p>
    <w:p w14:paraId="6DB24137">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1.满足《中华人民共和国政府采购法》第二十二条规定；</w:t>
      </w:r>
    </w:p>
    <w:p w14:paraId="6A7CD004">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2.落实政府采购政策需满足的资格要求：标项1：</w:t>
      </w:r>
      <w:r>
        <w:rPr>
          <w:rFonts w:hint="eastAsia" w:ascii="仿宋" w:hAnsi="仿宋" w:eastAsia="仿宋" w:cs="仿宋"/>
          <w:color w:val="auto"/>
          <w:sz w:val="28"/>
          <w:szCs w:val="28"/>
          <w:highlight w:val="none"/>
          <w:lang w:eastAsia="zh-CN"/>
        </w:rPr>
        <w:t>本项目非专门面向中小微企业</w:t>
      </w:r>
    </w:p>
    <w:p w14:paraId="63F3E664">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3.本项目的特定资格要求：</w:t>
      </w:r>
      <w:r>
        <w:rPr>
          <w:rFonts w:hint="eastAsia" w:ascii="仿宋" w:hAnsi="仿宋" w:eastAsia="仿宋" w:cs="仿宋"/>
          <w:color w:val="auto"/>
          <w:sz w:val="28"/>
          <w:szCs w:val="28"/>
          <w:highlight w:val="none"/>
          <w:lang w:eastAsia="zh-CN"/>
        </w:rPr>
        <w:t>无</w:t>
      </w:r>
    </w:p>
    <w:p w14:paraId="63C975CF">
      <w:pPr>
        <w:pStyle w:val="25"/>
        <w:keepNext w:val="0"/>
        <w:keepLines w:val="0"/>
        <w:pageBreakBefore w:val="0"/>
        <w:widowControl w:val="0"/>
        <w:kinsoku/>
        <w:wordWrap/>
        <w:overflowPunct/>
        <w:topLinePunct w:val="0"/>
        <w:autoSpaceDE w:val="0"/>
        <w:autoSpaceDN w:val="0"/>
        <w:bidi w:val="0"/>
        <w:adjustRightInd w:val="0"/>
        <w:snapToGrid w:val="0"/>
        <w:textAlignment w:val="auto"/>
        <w:outlineLvl w:val="2"/>
        <w:rPr>
          <w:rStyle w:val="32"/>
          <w:rFonts w:hint="eastAsia" w:ascii="仿宋" w:hAnsi="仿宋" w:eastAsia="仿宋" w:cs="仿宋"/>
          <w:bCs/>
          <w:color w:val="auto"/>
          <w:sz w:val="28"/>
          <w:szCs w:val="28"/>
          <w:highlight w:val="none"/>
        </w:rPr>
      </w:pPr>
      <w:bookmarkStart w:id="12" w:name="_Toc21181"/>
      <w:bookmarkStart w:id="13" w:name="_Toc10882"/>
      <w:r>
        <w:rPr>
          <w:rStyle w:val="32"/>
          <w:rFonts w:hint="eastAsia" w:ascii="仿宋" w:hAnsi="仿宋" w:eastAsia="仿宋" w:cs="仿宋"/>
          <w:bCs/>
          <w:color w:val="auto"/>
          <w:sz w:val="28"/>
          <w:szCs w:val="28"/>
          <w:highlight w:val="none"/>
        </w:rPr>
        <w:t>三、获取招标文件</w:t>
      </w:r>
      <w:bookmarkEnd w:id="12"/>
      <w:bookmarkEnd w:id="13"/>
    </w:p>
    <w:p w14:paraId="42B96116">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时间：</w:t>
      </w:r>
      <w:r>
        <w:rPr>
          <w:rFonts w:hint="eastAsia" w:ascii="仿宋" w:hAnsi="仿宋" w:eastAsia="仿宋" w:cs="仿宋"/>
          <w:color w:val="auto"/>
          <w:sz w:val="28"/>
          <w:szCs w:val="28"/>
          <w:highlight w:val="none"/>
          <w:lang w:eastAsia="zh-CN"/>
        </w:rPr>
        <w:t>2026年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eastAsia="zh-CN"/>
        </w:rPr>
        <w:t>月</w:t>
      </w:r>
      <w:r>
        <w:rPr>
          <w:rFonts w:hint="eastAsia" w:ascii="仿宋" w:hAnsi="仿宋" w:eastAsia="仿宋" w:cs="仿宋"/>
          <w:color w:val="auto"/>
          <w:sz w:val="28"/>
          <w:szCs w:val="28"/>
          <w:highlight w:val="none"/>
          <w:lang w:val="en-US" w:eastAsia="zh-CN"/>
        </w:rPr>
        <w:t>14</w:t>
      </w:r>
      <w:r>
        <w:rPr>
          <w:rFonts w:hint="eastAsia" w:ascii="仿宋" w:hAnsi="仿宋" w:eastAsia="仿宋" w:cs="仿宋"/>
          <w:color w:val="auto"/>
          <w:sz w:val="28"/>
          <w:szCs w:val="28"/>
          <w:highlight w:val="none"/>
          <w:lang w:eastAsia="zh-CN"/>
        </w:rPr>
        <w:t>日至2026年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eastAsia="zh-CN"/>
        </w:rPr>
        <w:t>月</w:t>
      </w:r>
      <w:r>
        <w:rPr>
          <w:rFonts w:hint="eastAsia" w:ascii="仿宋" w:hAnsi="仿宋" w:eastAsia="仿宋" w:cs="仿宋"/>
          <w:color w:val="auto"/>
          <w:sz w:val="28"/>
          <w:szCs w:val="28"/>
          <w:highlight w:val="none"/>
          <w:lang w:val="en-US" w:eastAsia="zh-CN"/>
        </w:rPr>
        <w:t>21</w:t>
      </w:r>
      <w:r>
        <w:rPr>
          <w:rFonts w:hint="eastAsia" w:ascii="仿宋" w:hAnsi="仿宋" w:eastAsia="仿宋" w:cs="仿宋"/>
          <w:color w:val="auto"/>
          <w:sz w:val="28"/>
          <w:szCs w:val="28"/>
          <w:highlight w:val="none"/>
          <w:lang w:eastAsia="zh-CN"/>
        </w:rPr>
        <w:t>日</w:t>
      </w:r>
      <w:r>
        <w:rPr>
          <w:rFonts w:hint="eastAsia" w:ascii="仿宋" w:hAnsi="仿宋" w:eastAsia="仿宋" w:cs="仿宋"/>
          <w:color w:val="auto"/>
          <w:sz w:val="28"/>
          <w:szCs w:val="28"/>
          <w:highlight w:val="none"/>
        </w:rPr>
        <w:t>，每天上午</w:t>
      </w:r>
      <w:r>
        <w:rPr>
          <w:rFonts w:hint="eastAsia" w:ascii="仿宋" w:hAnsi="仿宋" w:eastAsia="仿宋" w:cs="仿宋"/>
          <w:color w:val="auto"/>
          <w:sz w:val="28"/>
          <w:szCs w:val="28"/>
          <w:highlight w:val="none"/>
          <w:lang w:val="en-US" w:eastAsia="zh-CN"/>
        </w:rPr>
        <w:t>0</w:t>
      </w:r>
      <w:r>
        <w:rPr>
          <w:rFonts w:hint="eastAsia" w:ascii="仿宋" w:hAnsi="仿宋" w:eastAsia="仿宋" w:cs="仿宋"/>
          <w:color w:val="auto"/>
          <w:sz w:val="28"/>
          <w:szCs w:val="28"/>
          <w:highlight w:val="none"/>
        </w:rPr>
        <w:t>0:00至14:00，下午1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0</w:t>
      </w:r>
      <w:r>
        <w:rPr>
          <w:rFonts w:hint="eastAsia" w:ascii="仿宋" w:hAnsi="仿宋" w:eastAsia="仿宋" w:cs="仿宋"/>
          <w:color w:val="auto"/>
          <w:sz w:val="28"/>
          <w:szCs w:val="28"/>
          <w:highlight w:val="none"/>
        </w:rPr>
        <w:t>0至</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59</w:t>
      </w:r>
      <w:r>
        <w:rPr>
          <w:rFonts w:hint="eastAsia" w:ascii="仿宋" w:hAnsi="仿宋" w:eastAsia="仿宋" w:cs="仿宋"/>
          <w:color w:val="auto"/>
          <w:sz w:val="28"/>
          <w:szCs w:val="28"/>
          <w:highlight w:val="none"/>
        </w:rPr>
        <w:t>（北京时间，法定节假日除外）</w:t>
      </w:r>
    </w:p>
    <w:p w14:paraId="5CCE6F7E">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地点：政采云平台线上</w:t>
      </w:r>
    </w:p>
    <w:p w14:paraId="76982131">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453E4EA2">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售价（元）：0</w:t>
      </w:r>
    </w:p>
    <w:p w14:paraId="025B842F">
      <w:pPr>
        <w:pStyle w:val="25"/>
        <w:keepNext w:val="0"/>
        <w:keepLines w:val="0"/>
        <w:pageBreakBefore w:val="0"/>
        <w:widowControl w:val="0"/>
        <w:kinsoku/>
        <w:wordWrap/>
        <w:overflowPunct/>
        <w:topLinePunct w:val="0"/>
        <w:autoSpaceDE w:val="0"/>
        <w:autoSpaceDN w:val="0"/>
        <w:bidi w:val="0"/>
        <w:adjustRightInd w:val="0"/>
        <w:snapToGrid w:val="0"/>
        <w:textAlignment w:val="auto"/>
        <w:outlineLvl w:val="2"/>
        <w:rPr>
          <w:rStyle w:val="32"/>
          <w:rFonts w:hint="eastAsia" w:ascii="仿宋" w:hAnsi="仿宋" w:eastAsia="仿宋" w:cs="仿宋"/>
          <w:bCs/>
          <w:color w:val="auto"/>
          <w:sz w:val="28"/>
          <w:szCs w:val="28"/>
          <w:highlight w:val="none"/>
        </w:rPr>
      </w:pPr>
      <w:bookmarkStart w:id="14" w:name="_Toc15330"/>
      <w:bookmarkStart w:id="15" w:name="_Toc14895"/>
      <w:r>
        <w:rPr>
          <w:rStyle w:val="32"/>
          <w:rFonts w:hint="eastAsia" w:ascii="仿宋" w:hAnsi="仿宋" w:eastAsia="仿宋" w:cs="仿宋"/>
          <w:bCs/>
          <w:color w:val="auto"/>
          <w:sz w:val="28"/>
          <w:szCs w:val="28"/>
          <w:highlight w:val="none"/>
        </w:rPr>
        <w:t>四、提交投标文件截止时间、开标时间和地点</w:t>
      </w:r>
      <w:bookmarkEnd w:id="14"/>
      <w:bookmarkEnd w:id="15"/>
    </w:p>
    <w:p w14:paraId="0BEA9EB3">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提交投标文件截止时间：</w:t>
      </w:r>
      <w:r>
        <w:rPr>
          <w:rFonts w:hint="eastAsia" w:ascii="仿宋" w:hAnsi="仿宋" w:eastAsia="仿宋" w:cs="仿宋"/>
          <w:color w:val="auto"/>
          <w:sz w:val="28"/>
          <w:szCs w:val="28"/>
          <w:highlight w:val="none"/>
          <w:lang w:eastAsia="zh-CN"/>
        </w:rPr>
        <w:t>2026年11月03日11:00（北京时间）</w:t>
      </w:r>
    </w:p>
    <w:p w14:paraId="42D6DF2B">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投标地点：请登录政采云投标客户端投标</w:t>
      </w:r>
    </w:p>
    <w:p w14:paraId="483C508C">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开标时间：</w:t>
      </w:r>
      <w:r>
        <w:rPr>
          <w:rFonts w:hint="eastAsia" w:ascii="仿宋" w:hAnsi="仿宋" w:eastAsia="仿宋" w:cs="仿宋"/>
          <w:color w:val="auto"/>
          <w:sz w:val="28"/>
          <w:szCs w:val="28"/>
          <w:highlight w:val="none"/>
          <w:lang w:eastAsia="zh-CN"/>
        </w:rPr>
        <w:t>2026年11月03日11:00（北京时间）</w:t>
      </w:r>
    </w:p>
    <w:p w14:paraId="4CEAF6E8">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开标地点：投标人登录政采云平台https://www.zcygov.cn/，进入“项目采购-开标评标-右边选择对应项目点击“进入项目”进入开标大厅。</w:t>
      </w:r>
    </w:p>
    <w:p w14:paraId="6D0EF945">
      <w:pPr>
        <w:pStyle w:val="25"/>
        <w:keepNext w:val="0"/>
        <w:keepLines w:val="0"/>
        <w:pageBreakBefore w:val="0"/>
        <w:widowControl w:val="0"/>
        <w:kinsoku/>
        <w:wordWrap/>
        <w:overflowPunct/>
        <w:topLinePunct w:val="0"/>
        <w:autoSpaceDE w:val="0"/>
        <w:autoSpaceDN w:val="0"/>
        <w:bidi w:val="0"/>
        <w:adjustRightInd w:val="0"/>
        <w:snapToGrid w:val="0"/>
        <w:textAlignment w:val="auto"/>
        <w:outlineLvl w:val="2"/>
        <w:rPr>
          <w:rStyle w:val="32"/>
          <w:rFonts w:hint="eastAsia" w:ascii="仿宋" w:hAnsi="仿宋" w:eastAsia="仿宋" w:cs="仿宋"/>
          <w:bCs/>
          <w:color w:val="auto"/>
          <w:sz w:val="28"/>
          <w:szCs w:val="28"/>
          <w:highlight w:val="none"/>
        </w:rPr>
      </w:pPr>
      <w:bookmarkStart w:id="16" w:name="_Toc26037"/>
      <w:bookmarkStart w:id="17" w:name="_Toc6192"/>
      <w:r>
        <w:rPr>
          <w:rStyle w:val="32"/>
          <w:rFonts w:hint="eastAsia" w:ascii="仿宋" w:hAnsi="仿宋" w:eastAsia="仿宋" w:cs="仿宋"/>
          <w:bCs/>
          <w:color w:val="auto"/>
          <w:sz w:val="28"/>
          <w:szCs w:val="28"/>
          <w:highlight w:val="none"/>
        </w:rPr>
        <w:t>五、公告期限</w:t>
      </w:r>
      <w:bookmarkEnd w:id="16"/>
      <w:bookmarkEnd w:id="17"/>
    </w:p>
    <w:p w14:paraId="727DC7D8">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自本公告发布之日起5个工作日。</w:t>
      </w:r>
    </w:p>
    <w:p w14:paraId="5E68AC5E">
      <w:pPr>
        <w:pStyle w:val="25"/>
        <w:keepNext w:val="0"/>
        <w:keepLines w:val="0"/>
        <w:pageBreakBefore w:val="0"/>
        <w:widowControl w:val="0"/>
        <w:kinsoku/>
        <w:wordWrap/>
        <w:overflowPunct/>
        <w:topLinePunct w:val="0"/>
        <w:autoSpaceDE w:val="0"/>
        <w:autoSpaceDN w:val="0"/>
        <w:bidi w:val="0"/>
        <w:adjustRightInd w:val="0"/>
        <w:snapToGrid w:val="0"/>
        <w:textAlignment w:val="auto"/>
        <w:outlineLvl w:val="2"/>
        <w:rPr>
          <w:rStyle w:val="32"/>
          <w:rFonts w:hint="eastAsia" w:ascii="仿宋" w:hAnsi="仿宋" w:eastAsia="仿宋" w:cs="仿宋"/>
          <w:bCs/>
          <w:color w:val="auto"/>
          <w:sz w:val="28"/>
          <w:szCs w:val="28"/>
          <w:highlight w:val="none"/>
        </w:rPr>
      </w:pPr>
      <w:bookmarkStart w:id="18" w:name="_Toc18473"/>
      <w:bookmarkStart w:id="19" w:name="_Toc11778"/>
      <w:r>
        <w:rPr>
          <w:rStyle w:val="32"/>
          <w:rFonts w:hint="eastAsia" w:ascii="仿宋" w:hAnsi="仿宋" w:eastAsia="仿宋" w:cs="仿宋"/>
          <w:bCs/>
          <w:color w:val="auto"/>
          <w:sz w:val="28"/>
          <w:szCs w:val="28"/>
          <w:highlight w:val="none"/>
        </w:rPr>
        <w:t>六、其他补充事宜</w:t>
      </w:r>
      <w:bookmarkEnd w:id="18"/>
      <w:bookmarkEnd w:id="19"/>
    </w:p>
    <w:p w14:paraId="70A97893">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实行电子招投标，供应商须登录政采云平台申请获取招标文件，并通过政采云电子投标客户端制作响应文件，同时自行承担与投标有关的一切费用。2、各供应商应在开标前确保成为新疆维吾尔自治区政府采购网正式注册入库供应商，并完成CA数字证书申领。因未注册入库、未办理CA数字证书等原因造成无法投标或投标失败等后果由供应商自行承担。3、供应商可前往新疆政府采购网（http://www.ccgp-xinjiang.gov.cn/）下载专区，下载政采云电子投标客户端，安装完成后，可通过账号密码或CA登录客户端进行响应文件制作。在使用政采云电子投标客户端时，建议使用WIN7及以上操作系统。如有问题可拨打政采云客户服务热线95763进行咨询。4、本项目采用不见面开标，供应商须在投标截止时间前通过CA在政采云平台上传加密的电子响应文件。5、供应商在开标前须提前配置好电脑浏览器（建议使用360浏览器或谷歌浏览器），开标时请使用制作加密电子响应文件的CA锁进行解密及报价确认。本项目响应文件解密时间定为30分钟，如因自身原因导致无法正常解密，后果由供应商自行承担。</w:t>
      </w:r>
    </w:p>
    <w:p w14:paraId="308384DB">
      <w:pPr>
        <w:pStyle w:val="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特别提示：</w:t>
      </w:r>
    </w:p>
    <w:p w14:paraId="408C9D4D">
      <w:pPr>
        <w:pStyle w:val="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1、采购限额标准以上，200万元以下的货物和服务采购项目、400万元以下的工程采购项目，适宜由中小企业提供的，采购人应当专门面向中小企业采购。</w:t>
      </w:r>
    </w:p>
    <w:p w14:paraId="6D7B6158">
      <w:pPr>
        <w:pStyle w:val="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2、超过200万元的货物和服务采购项目、超过400万元的工程采购项目中适宜由中小企业提供的，预留该部分采购项目预算总额的30%以上专门面向中小企业采购，其中预留给小微企业的比例不低于60%。</w:t>
      </w:r>
    </w:p>
    <w:p w14:paraId="31526D06">
      <w:pPr>
        <w:pStyle w:val="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22D42FD">
      <w:pPr>
        <w:pStyle w:val="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D6FCC82">
      <w:pPr>
        <w:pStyle w:val="25"/>
        <w:outlineLvl w:val="2"/>
        <w:rPr>
          <w:rStyle w:val="32"/>
          <w:rFonts w:hint="eastAsia" w:ascii="仿宋" w:hAnsi="仿宋" w:eastAsia="仿宋" w:cs="仿宋"/>
          <w:bCs/>
          <w:color w:val="auto"/>
          <w:sz w:val="28"/>
          <w:szCs w:val="28"/>
          <w:highlight w:val="none"/>
        </w:rPr>
      </w:pPr>
      <w:bookmarkStart w:id="20" w:name="_Toc6204"/>
      <w:bookmarkStart w:id="21" w:name="_Toc4591"/>
      <w:r>
        <w:rPr>
          <w:rStyle w:val="32"/>
          <w:rFonts w:hint="eastAsia" w:ascii="仿宋" w:hAnsi="仿宋" w:eastAsia="仿宋" w:cs="仿宋"/>
          <w:bCs/>
          <w:color w:val="auto"/>
          <w:sz w:val="28"/>
          <w:szCs w:val="28"/>
          <w:highlight w:val="none"/>
        </w:rPr>
        <w:t>七、对本次采购提出询问，请按以下方式联系</w:t>
      </w:r>
      <w:bookmarkEnd w:id="20"/>
      <w:bookmarkEnd w:id="21"/>
    </w:p>
    <w:p w14:paraId="250586F2">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1.采购人信息</w:t>
      </w:r>
    </w:p>
    <w:p w14:paraId="4F7AECD6">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lang w:eastAsia="zh-CN"/>
        </w:rPr>
        <w:t>新疆智能装备研究院</w:t>
      </w:r>
    </w:p>
    <w:p w14:paraId="756AD091">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lang w:val="en-US" w:eastAsia="zh-CN"/>
        </w:rPr>
        <w:t>新疆阿克苏地区阿克苏市纺织工业城华孚西路65号</w:t>
      </w:r>
    </w:p>
    <w:p w14:paraId="0FAC3425">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lang w:eastAsia="zh-CN"/>
        </w:rPr>
        <w:t xml:space="preserve">16670700857 </w:t>
      </w:r>
    </w:p>
    <w:p w14:paraId="5C591C52">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2.采购代理机构信息</w:t>
      </w:r>
    </w:p>
    <w:p w14:paraId="61A06E6C">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名 称：新疆泽一项目管理有限公司</w:t>
      </w:r>
    </w:p>
    <w:p w14:paraId="62B91001">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lang w:eastAsia="zh-CN"/>
        </w:rPr>
        <w:t>新疆阿克苏地区阿克苏市幸福南路6号锦程·玫瑰园小区1#2#楼401商铺</w:t>
      </w:r>
    </w:p>
    <w:p w14:paraId="459FAF5F">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lang w:val="zh-CN"/>
        </w:rPr>
        <w:t>15886806770、</w:t>
      </w:r>
      <w:r>
        <w:rPr>
          <w:rFonts w:hint="eastAsia" w:ascii="仿宋" w:hAnsi="仿宋" w:eastAsia="仿宋" w:cs="仿宋"/>
          <w:color w:val="auto"/>
          <w:sz w:val="28"/>
          <w:szCs w:val="28"/>
          <w:highlight w:val="none"/>
          <w:lang w:eastAsia="zh-CN"/>
        </w:rPr>
        <w:t>15899323131、</w:t>
      </w:r>
      <w:r>
        <w:rPr>
          <w:rFonts w:hint="eastAsia" w:ascii="仿宋" w:hAnsi="仿宋" w:eastAsia="仿宋" w:cs="仿宋"/>
          <w:color w:val="auto"/>
          <w:sz w:val="28"/>
          <w:szCs w:val="28"/>
          <w:highlight w:val="none"/>
          <w:lang w:val="en-US" w:eastAsia="zh-CN"/>
        </w:rPr>
        <w:t>15739417539</w:t>
      </w:r>
    </w:p>
    <w:p w14:paraId="75BC5514">
      <w:pPr>
        <w:pStyle w:val="25"/>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项目联系方式</w:t>
      </w:r>
    </w:p>
    <w:p w14:paraId="5518DCDF">
      <w:pPr>
        <w:keepNext w:val="0"/>
        <w:keepLines w:val="0"/>
        <w:pageBreakBefore w:val="0"/>
        <w:widowControl w:val="0"/>
        <w:kinsoku/>
        <w:wordWrap/>
        <w:overflowPunct/>
        <w:topLinePunct w:val="0"/>
        <w:autoSpaceDE w:val="0"/>
        <w:autoSpaceDN w:val="0"/>
        <w:bidi w:val="0"/>
        <w:adjustRightInd w:val="0"/>
        <w:snapToGrid w:val="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lang w:val="zh-CN"/>
        </w:rPr>
        <w:t>李凤娇，陈文文，</w:t>
      </w:r>
      <w:r>
        <w:rPr>
          <w:rFonts w:hint="eastAsia" w:ascii="仿宋" w:hAnsi="仿宋" w:eastAsia="仿宋" w:cs="仿宋"/>
          <w:color w:val="auto"/>
          <w:sz w:val="28"/>
          <w:szCs w:val="28"/>
          <w:highlight w:val="none"/>
          <w:lang w:val="en-US" w:eastAsia="zh-CN"/>
        </w:rPr>
        <w:t xml:space="preserve">蒋可生 </w:t>
      </w:r>
    </w:p>
    <w:p w14:paraId="35DE338D">
      <w:pPr>
        <w:rPr>
          <w:rFonts w:hint="eastAsia" w:ascii="仿宋" w:hAnsi="仿宋" w:eastAsia="仿宋" w:cs="仿宋"/>
          <w:color w:val="auto"/>
          <w:highlight w:val="none"/>
        </w:rPr>
      </w:pPr>
    </w:p>
    <w:p w14:paraId="67402FF5">
      <w:pPr>
        <w:rPr>
          <w:rFonts w:hint="eastAsia" w:ascii="仿宋" w:hAnsi="仿宋" w:eastAsia="仿宋" w:cs="仿宋"/>
          <w:color w:val="auto"/>
          <w:sz w:val="28"/>
          <w:szCs w:val="28"/>
          <w:highlight w:val="none"/>
        </w:rPr>
      </w:pPr>
    </w:p>
    <w:p w14:paraId="7FC2C678">
      <w:pPr>
        <w:pStyle w:val="12"/>
        <w:ind w:left="0" w:leftChars="0" w:firstLine="0" w:firstLineChars="0"/>
        <w:jc w:val="center"/>
        <w:outlineLvl w:val="0"/>
        <w:rPr>
          <w:rFonts w:hint="eastAsia" w:ascii="仿宋" w:hAnsi="仿宋" w:eastAsia="仿宋" w:cs="仿宋"/>
          <w:color w:val="auto"/>
          <w:sz w:val="28"/>
          <w:szCs w:val="28"/>
          <w:highlight w:val="none"/>
        </w:rPr>
      </w:pPr>
      <w:bookmarkStart w:id="22" w:name="_Toc28265"/>
      <w:bookmarkStart w:id="23" w:name="_Toc25834"/>
    </w:p>
    <w:p w14:paraId="3AC072A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247CAF89">
      <w:pPr>
        <w:pStyle w:val="12"/>
        <w:ind w:left="0" w:leftChars="0" w:firstLine="0" w:firstLineChars="0"/>
        <w:jc w:val="center"/>
        <w:outlineLvl w:val="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第二部分  投标人须知</w:t>
      </w:r>
      <w:bookmarkEnd w:id="3"/>
      <w:bookmarkEnd w:id="4"/>
      <w:bookmarkEnd w:id="22"/>
      <w:bookmarkEnd w:id="23"/>
    </w:p>
    <w:p w14:paraId="5E66D2F7">
      <w:pPr>
        <w:jc w:val="center"/>
        <w:outlineLvl w:val="1"/>
        <w:rPr>
          <w:rFonts w:hint="eastAsia" w:ascii="仿宋" w:hAnsi="仿宋" w:eastAsia="仿宋" w:cs="仿宋"/>
          <w:b/>
          <w:bCs/>
          <w:color w:val="auto"/>
          <w:sz w:val="28"/>
          <w:szCs w:val="28"/>
          <w:highlight w:val="none"/>
        </w:rPr>
      </w:pPr>
      <w:bookmarkStart w:id="24" w:name="_Toc29048"/>
      <w:bookmarkStart w:id="25" w:name="_Toc519111258"/>
      <w:r>
        <w:rPr>
          <w:rFonts w:hint="eastAsia" w:ascii="仿宋" w:hAnsi="仿宋" w:eastAsia="仿宋" w:cs="仿宋"/>
          <w:b/>
          <w:bCs/>
          <w:color w:val="auto"/>
          <w:sz w:val="28"/>
          <w:szCs w:val="28"/>
          <w:highlight w:val="none"/>
        </w:rPr>
        <w:t>投标人须知前附表</w:t>
      </w:r>
      <w:bookmarkEnd w:id="24"/>
      <w:bookmarkEnd w:id="25"/>
    </w:p>
    <w:tbl>
      <w:tblPr>
        <w:tblStyle w:val="29"/>
        <w:tblW w:w="51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597"/>
        <w:gridCol w:w="6917"/>
      </w:tblGrid>
      <w:tr w14:paraId="0033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413" w:type="pct"/>
            <w:vAlign w:val="center"/>
          </w:tcPr>
          <w:p w14:paraId="29B8306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860" w:type="pct"/>
            <w:vAlign w:val="center"/>
          </w:tcPr>
          <w:p w14:paraId="1A260E74">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内容</w:t>
            </w:r>
          </w:p>
        </w:tc>
        <w:tc>
          <w:tcPr>
            <w:tcW w:w="3726" w:type="pct"/>
            <w:vAlign w:val="center"/>
          </w:tcPr>
          <w:p w14:paraId="4105379B">
            <w:pPr>
              <w:pStyle w:val="5"/>
              <w:ind w:left="0" w:leftChars="0" w:firstLine="0" w:firstLineChars="0"/>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说明与要求</w:t>
            </w:r>
          </w:p>
        </w:tc>
      </w:tr>
      <w:tr w14:paraId="2F6F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413" w:type="pct"/>
            <w:vAlign w:val="center"/>
          </w:tcPr>
          <w:p w14:paraId="40FBA06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860" w:type="pct"/>
            <w:vAlign w:val="center"/>
          </w:tcPr>
          <w:p w14:paraId="1046A622">
            <w:pPr>
              <w:pStyle w:val="5"/>
              <w:numPr>
                <w:ilvl w:val="3"/>
                <w:numId w:val="0"/>
              </w:numPr>
              <w:ind w:left="0" w:leftChars="0" w:firstLine="0" w:firstLineChars="0"/>
              <w:outlineLvl w:val="9"/>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bidi="ar-SA"/>
              </w:rPr>
              <w:t>招标人</w:t>
            </w:r>
          </w:p>
        </w:tc>
        <w:tc>
          <w:tcPr>
            <w:tcW w:w="3726" w:type="pct"/>
            <w:vAlign w:val="center"/>
          </w:tcPr>
          <w:p w14:paraId="1442BD55">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lang w:eastAsia="zh-CN"/>
              </w:rPr>
              <w:t>新疆智能装备研究院</w:t>
            </w:r>
          </w:p>
          <w:p w14:paraId="04595414">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lang w:val="en-US" w:eastAsia="zh-CN"/>
              </w:rPr>
              <w:t>新疆阿克苏地区阿克苏市纺织工业城华孚西路65号</w:t>
            </w:r>
          </w:p>
          <w:p w14:paraId="6BA22E65">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联系人：</w:t>
            </w:r>
            <w:bookmarkStart w:id="26" w:name="EBdc46765b8496439baac9487bf5cb2605"/>
            <w:bookmarkEnd w:id="26"/>
            <w:r>
              <w:rPr>
                <w:rFonts w:hint="eastAsia" w:ascii="仿宋" w:hAnsi="仿宋" w:eastAsia="仿宋" w:cs="仿宋"/>
                <w:color w:val="auto"/>
                <w:sz w:val="28"/>
                <w:szCs w:val="28"/>
                <w:highlight w:val="none"/>
                <w:lang w:eastAsia="zh-CN"/>
              </w:rPr>
              <w:t>李笑霖</w:t>
            </w:r>
          </w:p>
          <w:p w14:paraId="4CA57136">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联系电话：</w:t>
            </w:r>
            <w:bookmarkStart w:id="27" w:name="EBb02062c7f213427390e93f40bb6fd07d"/>
            <w:bookmarkEnd w:id="27"/>
            <w:r>
              <w:rPr>
                <w:rFonts w:hint="eastAsia" w:ascii="仿宋" w:hAnsi="仿宋" w:eastAsia="仿宋" w:cs="仿宋"/>
                <w:color w:val="auto"/>
                <w:sz w:val="28"/>
                <w:szCs w:val="28"/>
                <w:highlight w:val="none"/>
                <w:lang w:eastAsia="zh-CN"/>
              </w:rPr>
              <w:t xml:space="preserve">16670700857 </w:t>
            </w:r>
          </w:p>
        </w:tc>
      </w:tr>
      <w:tr w14:paraId="56A6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413" w:type="pct"/>
            <w:vAlign w:val="center"/>
          </w:tcPr>
          <w:p w14:paraId="61FE941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860" w:type="pct"/>
            <w:vAlign w:val="center"/>
          </w:tcPr>
          <w:p w14:paraId="7E83403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招标代理机构</w:t>
            </w:r>
          </w:p>
        </w:tc>
        <w:tc>
          <w:tcPr>
            <w:tcW w:w="3726" w:type="pct"/>
            <w:vAlign w:val="center"/>
          </w:tcPr>
          <w:p w14:paraId="0C4286D9">
            <w:pPr>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名称：新疆泽一项目管理有限公司</w:t>
            </w:r>
          </w:p>
          <w:p w14:paraId="6F3BEDCC">
            <w:pPr>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lang w:eastAsia="zh-CN"/>
              </w:rPr>
              <w:t>新疆阿克苏地区阿克苏市幸福南路6号锦程·玫瑰园小区1#2#楼401商铺</w:t>
            </w:r>
          </w:p>
          <w:p w14:paraId="691EA970">
            <w:pPr>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联系人：</w:t>
            </w:r>
            <w:r>
              <w:rPr>
                <w:rFonts w:hint="eastAsia" w:ascii="仿宋" w:hAnsi="仿宋" w:eastAsia="仿宋" w:cs="仿宋"/>
                <w:color w:val="auto"/>
                <w:sz w:val="28"/>
                <w:szCs w:val="28"/>
                <w:highlight w:val="none"/>
                <w:lang w:val="zh-CN"/>
              </w:rPr>
              <w:t>李凤娇、陈文文、</w:t>
            </w:r>
            <w:r>
              <w:rPr>
                <w:rFonts w:hint="eastAsia" w:ascii="仿宋" w:hAnsi="仿宋" w:eastAsia="仿宋" w:cs="仿宋"/>
                <w:color w:val="auto"/>
                <w:sz w:val="28"/>
                <w:szCs w:val="28"/>
                <w:highlight w:val="none"/>
                <w:lang w:val="en-US" w:eastAsia="zh-CN"/>
              </w:rPr>
              <w:t>蒋可生</w:t>
            </w:r>
          </w:p>
          <w:p w14:paraId="1F38872A">
            <w:pPr>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联系电话：15886806770、</w:t>
            </w:r>
            <w:r>
              <w:rPr>
                <w:rFonts w:hint="eastAsia" w:ascii="仿宋" w:hAnsi="仿宋" w:eastAsia="仿宋" w:cs="仿宋"/>
                <w:color w:val="auto"/>
                <w:sz w:val="28"/>
                <w:szCs w:val="28"/>
                <w:highlight w:val="none"/>
                <w:lang w:eastAsia="zh-CN"/>
              </w:rPr>
              <w:t>15899323131、</w:t>
            </w:r>
            <w:r>
              <w:rPr>
                <w:rFonts w:hint="eastAsia" w:ascii="仿宋" w:hAnsi="仿宋" w:eastAsia="仿宋" w:cs="仿宋"/>
                <w:color w:val="auto"/>
                <w:sz w:val="28"/>
                <w:szCs w:val="28"/>
                <w:highlight w:val="none"/>
                <w:lang w:val="en-US" w:eastAsia="zh-CN"/>
              </w:rPr>
              <w:t>15739417539</w:t>
            </w:r>
            <w:r>
              <w:rPr>
                <w:rFonts w:hint="eastAsia" w:ascii="仿宋" w:hAnsi="仿宋" w:eastAsia="仿宋" w:cs="仿宋"/>
                <w:color w:val="auto"/>
                <w:sz w:val="28"/>
                <w:szCs w:val="28"/>
                <w:highlight w:val="none"/>
              </w:rPr>
              <w:t>电子邮箱：xjzy@xjzeyi.com</w:t>
            </w:r>
          </w:p>
        </w:tc>
      </w:tr>
      <w:tr w14:paraId="5EC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13" w:type="pct"/>
            <w:vAlign w:val="center"/>
          </w:tcPr>
          <w:p w14:paraId="3C2EF33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860" w:type="pct"/>
            <w:vAlign w:val="center"/>
          </w:tcPr>
          <w:p w14:paraId="7034742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监管部门</w:t>
            </w:r>
          </w:p>
        </w:tc>
        <w:tc>
          <w:tcPr>
            <w:tcW w:w="3726" w:type="pct"/>
            <w:shd w:val="clear" w:color="auto" w:fill="FEFEFE"/>
            <w:vAlign w:val="center"/>
          </w:tcPr>
          <w:p w14:paraId="22F8C29C">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名 称：阿克苏地区财政局政府采购管理办公室 </w:t>
            </w:r>
          </w:p>
          <w:p w14:paraId="59B52E4A">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联系人：李峰 </w:t>
            </w:r>
          </w:p>
          <w:p w14:paraId="73B8C3F4">
            <w:pPr>
              <w:rPr>
                <w:rFonts w:hint="default" w:ascii="仿宋" w:hAnsi="仿宋" w:eastAsia="仿宋" w:cs="Times New Roman"/>
                <w:color w:val="auto"/>
                <w:sz w:val="24"/>
                <w:szCs w:val="24"/>
                <w:highlight w:val="none"/>
                <w:lang w:val="en-US" w:eastAsia="zh-CN" w:bidi="ar-SA"/>
              </w:rPr>
            </w:pPr>
            <w:r>
              <w:rPr>
                <w:rFonts w:hint="eastAsia" w:ascii="仿宋" w:hAnsi="仿宋" w:eastAsia="仿宋" w:cs="仿宋"/>
                <w:color w:val="auto"/>
                <w:sz w:val="28"/>
                <w:szCs w:val="28"/>
                <w:highlight w:val="none"/>
                <w:lang w:val="en-US" w:eastAsia="zh-CN"/>
              </w:rPr>
              <w:t xml:space="preserve">联系电话：0997-2123301   </w:t>
            </w:r>
            <w:r>
              <w:rPr>
                <w:rFonts w:hint="eastAsia" w:ascii="仿宋" w:hAnsi="仿宋" w:eastAsia="仿宋" w:cs="Times New Roman"/>
                <w:color w:val="auto"/>
                <w:sz w:val="24"/>
                <w:szCs w:val="24"/>
                <w:highlight w:val="none"/>
                <w:lang w:val="en-US" w:eastAsia="zh-CN"/>
              </w:rPr>
              <w:t xml:space="preserve">       </w:t>
            </w:r>
          </w:p>
        </w:tc>
      </w:tr>
      <w:tr w14:paraId="4E98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13" w:type="pct"/>
            <w:vAlign w:val="center"/>
          </w:tcPr>
          <w:p w14:paraId="6D0F223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860" w:type="pct"/>
            <w:vAlign w:val="center"/>
          </w:tcPr>
          <w:p w14:paraId="78A106D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项目</w:t>
            </w:r>
            <w:r>
              <w:rPr>
                <w:rFonts w:hint="eastAsia" w:ascii="仿宋" w:hAnsi="仿宋" w:eastAsia="仿宋" w:cs="仿宋"/>
                <w:color w:val="auto"/>
                <w:sz w:val="28"/>
                <w:szCs w:val="28"/>
                <w:highlight w:val="none"/>
              </w:rPr>
              <w:t>名称</w:t>
            </w:r>
          </w:p>
        </w:tc>
        <w:tc>
          <w:tcPr>
            <w:tcW w:w="3726" w:type="pct"/>
            <w:vAlign w:val="center"/>
          </w:tcPr>
          <w:p w14:paraId="6A8E881E">
            <w:pPr>
              <w:pStyle w:val="11"/>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露天矿挖机-矿卡智能交互与协同装载关键技术研究项目</w:t>
            </w:r>
          </w:p>
        </w:tc>
      </w:tr>
      <w:tr w14:paraId="18EC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413" w:type="pct"/>
            <w:vAlign w:val="center"/>
          </w:tcPr>
          <w:p w14:paraId="523F87E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860" w:type="pct"/>
            <w:vAlign w:val="center"/>
          </w:tcPr>
          <w:p w14:paraId="6A4C73F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资金来源</w:t>
            </w:r>
          </w:p>
        </w:tc>
        <w:tc>
          <w:tcPr>
            <w:tcW w:w="3726" w:type="pct"/>
            <w:vAlign w:val="center"/>
          </w:tcPr>
          <w:p w14:paraId="1209B18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财政资金</w:t>
            </w:r>
          </w:p>
        </w:tc>
      </w:tr>
      <w:tr w14:paraId="7F7B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vAlign w:val="center"/>
          </w:tcPr>
          <w:p w14:paraId="466A1C9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p>
        </w:tc>
        <w:tc>
          <w:tcPr>
            <w:tcW w:w="860" w:type="pct"/>
            <w:vAlign w:val="center"/>
          </w:tcPr>
          <w:p w14:paraId="6FD7B58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资金落实情况</w:t>
            </w:r>
          </w:p>
        </w:tc>
        <w:tc>
          <w:tcPr>
            <w:tcW w:w="3726" w:type="pct"/>
            <w:vAlign w:val="center"/>
          </w:tcPr>
          <w:p w14:paraId="415BF2B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已落实</w:t>
            </w:r>
          </w:p>
        </w:tc>
      </w:tr>
      <w:tr w14:paraId="5066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13" w:type="pct"/>
            <w:vAlign w:val="center"/>
          </w:tcPr>
          <w:p w14:paraId="495A953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p>
        </w:tc>
        <w:tc>
          <w:tcPr>
            <w:tcW w:w="860" w:type="pct"/>
            <w:vAlign w:val="center"/>
          </w:tcPr>
          <w:p w14:paraId="331B973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合同履约期限</w:t>
            </w:r>
          </w:p>
        </w:tc>
        <w:tc>
          <w:tcPr>
            <w:tcW w:w="3726" w:type="pct"/>
            <w:vAlign w:val="center"/>
          </w:tcPr>
          <w:p w14:paraId="62A45DC7">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自合同签订之日起 30 天内完成供货、安装、调试、验收。</w:t>
            </w:r>
          </w:p>
        </w:tc>
      </w:tr>
      <w:tr w14:paraId="6EE20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vAlign w:val="center"/>
          </w:tcPr>
          <w:p w14:paraId="02CA273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w:t>
            </w:r>
          </w:p>
        </w:tc>
        <w:tc>
          <w:tcPr>
            <w:tcW w:w="860" w:type="pct"/>
            <w:vAlign w:val="center"/>
          </w:tcPr>
          <w:p w14:paraId="204E351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项目地点</w:t>
            </w:r>
          </w:p>
        </w:tc>
        <w:tc>
          <w:tcPr>
            <w:tcW w:w="3726" w:type="pct"/>
            <w:vAlign w:val="center"/>
          </w:tcPr>
          <w:p w14:paraId="27061178">
            <w:pPr>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eastAsia="zh-CN"/>
              </w:rPr>
              <w:t>业主指定地点</w:t>
            </w:r>
          </w:p>
        </w:tc>
      </w:tr>
      <w:tr w14:paraId="5652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13" w:type="pct"/>
            <w:vAlign w:val="center"/>
          </w:tcPr>
          <w:p w14:paraId="714E380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w:t>
            </w:r>
          </w:p>
        </w:tc>
        <w:tc>
          <w:tcPr>
            <w:tcW w:w="860" w:type="pct"/>
            <w:vAlign w:val="center"/>
          </w:tcPr>
          <w:p w14:paraId="60C8B64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质量要求</w:t>
            </w:r>
          </w:p>
        </w:tc>
        <w:tc>
          <w:tcPr>
            <w:tcW w:w="3726" w:type="pct"/>
            <w:vAlign w:val="center"/>
          </w:tcPr>
          <w:p w14:paraId="0F05386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满足采购需求所要求的内容，满足国家及地方规范要求，并能通过当地主管部门及委托方审查验收。</w:t>
            </w:r>
          </w:p>
        </w:tc>
      </w:tr>
      <w:tr w14:paraId="5D11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13" w:type="pct"/>
            <w:vAlign w:val="center"/>
          </w:tcPr>
          <w:p w14:paraId="38D4B1D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w:t>
            </w:r>
          </w:p>
        </w:tc>
        <w:tc>
          <w:tcPr>
            <w:tcW w:w="860" w:type="pct"/>
            <w:vAlign w:val="center"/>
          </w:tcPr>
          <w:p w14:paraId="52B7094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采购内容</w:t>
            </w:r>
          </w:p>
        </w:tc>
        <w:tc>
          <w:tcPr>
            <w:tcW w:w="3726" w:type="pct"/>
            <w:vAlign w:val="center"/>
          </w:tcPr>
          <w:p w14:paraId="52ECAF6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采购需求包含的全部内容，具体详见招标文件第三部分采购需求</w:t>
            </w:r>
          </w:p>
        </w:tc>
      </w:tr>
      <w:tr w14:paraId="5CC5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vAlign w:val="center"/>
          </w:tcPr>
          <w:p w14:paraId="15AB0E9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w:t>
            </w:r>
          </w:p>
        </w:tc>
        <w:tc>
          <w:tcPr>
            <w:tcW w:w="860" w:type="pct"/>
            <w:vAlign w:val="center"/>
          </w:tcPr>
          <w:p w14:paraId="5E5A9981">
            <w:pPr>
              <w:spacing w:line="24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投标人资格要求</w:t>
            </w:r>
          </w:p>
        </w:tc>
        <w:tc>
          <w:tcPr>
            <w:tcW w:w="3726" w:type="pct"/>
            <w:vAlign w:val="center"/>
          </w:tcPr>
          <w:p w14:paraId="54BFD8FB">
            <w:pPr>
              <w:spacing w:line="240" w:lineRule="auto"/>
              <w:rPr>
                <w:rFonts w:hint="eastAsia" w:ascii="仿宋" w:hAnsi="仿宋" w:eastAsia="仿宋" w:cs="仿宋"/>
                <w:b/>
                <w:bCs/>
                <w:color w:val="auto"/>
                <w:sz w:val="28"/>
                <w:szCs w:val="28"/>
                <w:highlight w:val="none"/>
              </w:rPr>
            </w:pPr>
            <w:bookmarkStart w:id="28" w:name="EB7907836f74a6455bb75d2ff8b438afad"/>
            <w:bookmarkEnd w:id="28"/>
            <w:r>
              <w:rPr>
                <w:rFonts w:hint="eastAsia" w:ascii="仿宋" w:hAnsi="仿宋" w:eastAsia="仿宋" w:cs="仿宋"/>
                <w:b/>
                <w:bCs/>
                <w:color w:val="auto"/>
                <w:sz w:val="28"/>
                <w:szCs w:val="28"/>
                <w:highlight w:val="none"/>
              </w:rPr>
              <w:t>1.满足《中华人民共和国政府采购法》第二十二条规定。</w:t>
            </w:r>
          </w:p>
          <w:p w14:paraId="78AF0348">
            <w:pPr>
              <w:pStyle w:val="2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35" w:lineRule="atLeast"/>
              <w:ind w:right="0" w:rightChars="0"/>
              <w:jc w:val="both"/>
              <w:textAlignment w:val="auto"/>
              <w:rPr>
                <w:rFonts w:hint="eastAsia" w:ascii="仿宋" w:hAnsi="仿宋" w:eastAsia="仿宋" w:cs="仿宋"/>
                <w:b w:val="0"/>
                <w:bCs w:val="0"/>
                <w:color w:val="auto"/>
                <w:sz w:val="28"/>
                <w:szCs w:val="28"/>
                <w:highlight w:val="none"/>
                <w:lang w:val="zh-CN" w:eastAsia="zh-CN" w:bidi="ar-SA"/>
              </w:rPr>
            </w:pPr>
            <w:r>
              <w:rPr>
                <w:rFonts w:hint="eastAsia" w:ascii="仿宋" w:hAnsi="仿宋" w:eastAsia="仿宋" w:cs="仿宋"/>
                <w:b/>
                <w:bCs/>
                <w:color w:val="auto"/>
                <w:sz w:val="28"/>
                <w:szCs w:val="28"/>
                <w:highlight w:val="none"/>
                <w:lang w:val="zh-CN" w:eastAsia="zh-CN" w:bidi="ar-SA"/>
              </w:rPr>
              <w:t>（</w:t>
            </w:r>
            <w:r>
              <w:rPr>
                <w:rFonts w:hint="eastAsia" w:ascii="仿宋" w:hAnsi="仿宋" w:eastAsia="仿宋" w:cs="仿宋"/>
                <w:b/>
                <w:bCs/>
                <w:color w:val="auto"/>
                <w:sz w:val="28"/>
                <w:szCs w:val="28"/>
                <w:highlight w:val="none"/>
                <w:lang w:val="en-US" w:eastAsia="zh-CN" w:bidi="ar-SA"/>
              </w:rPr>
              <w:t>1</w:t>
            </w:r>
            <w:r>
              <w:rPr>
                <w:rFonts w:hint="eastAsia" w:ascii="仿宋" w:hAnsi="仿宋" w:eastAsia="仿宋" w:cs="仿宋"/>
                <w:b/>
                <w:bCs/>
                <w:color w:val="auto"/>
                <w:sz w:val="28"/>
                <w:szCs w:val="28"/>
                <w:highlight w:val="none"/>
                <w:lang w:val="zh-CN" w:eastAsia="zh-CN" w:bidi="ar-SA"/>
              </w:rPr>
              <w:t>）具有独立承担民事责任的能力</w:t>
            </w:r>
            <w:r>
              <w:rPr>
                <w:rFonts w:hint="eastAsia" w:ascii="仿宋" w:hAnsi="仿宋" w:eastAsia="仿宋" w:cs="仿宋"/>
                <w:b w:val="0"/>
                <w:bCs w:val="0"/>
                <w:color w:val="auto"/>
                <w:sz w:val="28"/>
                <w:szCs w:val="28"/>
                <w:highlight w:val="none"/>
                <w:lang w:val="zh-CN" w:eastAsia="zh-CN" w:bidi="ar-SA"/>
              </w:rPr>
              <w:t>：提供法人营业执照或事业单位法人证书或民办非企业单位登记证书或个体工商户营业执照或其他组织的执业许可证副本扫描件；投标人为自然人的提供身份证明扫描件；采购标的属于银行、保险、石油石化、电力、电信等行业的，允许该行业法人的分支机构参加投标（报价），提供分支机构的《营业执照》副本扫描件。</w:t>
            </w:r>
          </w:p>
          <w:p w14:paraId="6A4FE257">
            <w:pPr>
              <w:pStyle w:val="2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35" w:lineRule="atLeast"/>
              <w:ind w:right="0" w:rightChars="0"/>
              <w:jc w:val="both"/>
              <w:textAlignment w:val="auto"/>
              <w:rPr>
                <w:rFonts w:hint="eastAsia" w:ascii="仿宋" w:hAnsi="仿宋" w:eastAsia="仿宋" w:cs="仿宋"/>
                <w:b w:val="0"/>
                <w:bCs w:val="0"/>
                <w:color w:val="auto"/>
                <w:sz w:val="28"/>
                <w:szCs w:val="28"/>
                <w:highlight w:val="none"/>
                <w:lang w:val="zh-CN" w:eastAsia="zh-CN" w:bidi="ar-SA"/>
              </w:rPr>
            </w:pPr>
            <w:r>
              <w:rPr>
                <w:rFonts w:hint="eastAsia" w:ascii="仿宋" w:hAnsi="仿宋" w:eastAsia="仿宋" w:cs="仿宋"/>
                <w:b w:val="0"/>
                <w:bCs w:val="0"/>
                <w:color w:val="auto"/>
                <w:sz w:val="28"/>
                <w:szCs w:val="28"/>
                <w:highlight w:val="none"/>
                <w:lang w:val="zh-CN" w:eastAsia="zh-CN" w:bidi="ar-SA"/>
              </w:rPr>
              <w:t>（2）</w:t>
            </w:r>
            <w:r>
              <w:rPr>
                <w:rFonts w:hint="eastAsia" w:ascii="仿宋" w:hAnsi="仿宋" w:eastAsia="仿宋" w:cs="仿宋"/>
                <w:b/>
                <w:bCs/>
                <w:color w:val="auto"/>
                <w:sz w:val="28"/>
                <w:szCs w:val="28"/>
                <w:highlight w:val="none"/>
                <w:lang w:val="zh-CN" w:eastAsia="zh-CN" w:bidi="ar-SA"/>
              </w:rPr>
              <w:t>具有良好的商业信誉和健全的财务会计制度</w:t>
            </w:r>
            <w:r>
              <w:rPr>
                <w:rFonts w:hint="eastAsia" w:ascii="仿宋" w:hAnsi="仿宋" w:eastAsia="仿宋" w:cs="仿宋"/>
                <w:b w:val="0"/>
                <w:bCs w:val="0"/>
                <w:color w:val="auto"/>
                <w:sz w:val="28"/>
                <w:szCs w:val="28"/>
                <w:highlight w:val="none"/>
                <w:lang w:val="zh-CN" w:eastAsia="zh-CN" w:bidi="ar-SA"/>
              </w:rPr>
              <w:t>：</w:t>
            </w:r>
            <w:r>
              <w:rPr>
                <w:rFonts w:hint="eastAsia" w:ascii="仿宋" w:hAnsi="仿宋" w:eastAsia="仿宋" w:cs="仿宋"/>
                <w:color w:val="auto"/>
                <w:sz w:val="28"/>
                <w:szCs w:val="28"/>
                <w:highlight w:val="none"/>
                <w:lang w:val="zh-CN" w:eastAsia="zh-CN"/>
              </w:rPr>
              <w:t>提供2024年或2025年财务审计报告扫描件(成立不足一年提供成立至今财务报表，至少包含资产负债表）或提供其基本开户银行在投标截止日前，六个月内出具的资信证明扫描件（银行出具的存款证明不能替代银行资信证明）。</w:t>
            </w:r>
          </w:p>
          <w:p w14:paraId="7CB56E85">
            <w:pPr>
              <w:pStyle w:val="2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35" w:lineRule="atLeast"/>
              <w:ind w:right="0" w:rightChars="0"/>
              <w:jc w:val="both"/>
              <w:textAlignment w:val="auto"/>
              <w:rPr>
                <w:rFonts w:hint="eastAsia" w:ascii="仿宋" w:hAnsi="仿宋" w:eastAsia="仿宋" w:cs="仿宋"/>
                <w:b w:val="0"/>
                <w:bCs w:val="0"/>
                <w:color w:val="auto"/>
                <w:sz w:val="28"/>
                <w:szCs w:val="28"/>
                <w:highlight w:val="none"/>
                <w:lang w:val="zh-CN" w:eastAsia="zh-CN" w:bidi="ar-SA"/>
              </w:rPr>
            </w:pPr>
            <w:r>
              <w:rPr>
                <w:rFonts w:hint="eastAsia" w:ascii="仿宋" w:hAnsi="仿宋" w:eastAsia="仿宋" w:cs="仿宋"/>
                <w:b w:val="0"/>
                <w:bCs w:val="0"/>
                <w:color w:val="auto"/>
                <w:sz w:val="28"/>
                <w:szCs w:val="28"/>
                <w:highlight w:val="none"/>
                <w:lang w:val="zh-CN" w:eastAsia="zh-CN" w:bidi="ar-SA"/>
              </w:rPr>
              <w:t>（3）</w:t>
            </w:r>
            <w:r>
              <w:rPr>
                <w:rFonts w:hint="eastAsia" w:ascii="仿宋" w:hAnsi="仿宋" w:eastAsia="仿宋" w:cs="仿宋"/>
                <w:b/>
                <w:bCs/>
                <w:color w:val="auto"/>
                <w:sz w:val="28"/>
                <w:szCs w:val="28"/>
                <w:highlight w:val="none"/>
                <w:lang w:val="zh-CN" w:eastAsia="zh-CN" w:bidi="ar-SA"/>
              </w:rPr>
              <w:t>具有履行合同所必需的设备和专业技术能力提供</w:t>
            </w:r>
            <w:r>
              <w:rPr>
                <w:rFonts w:hint="eastAsia" w:ascii="仿宋" w:hAnsi="仿宋" w:eastAsia="仿宋" w:cs="仿宋"/>
                <w:b w:val="0"/>
                <w:bCs w:val="0"/>
                <w:color w:val="auto"/>
                <w:sz w:val="28"/>
                <w:szCs w:val="28"/>
                <w:highlight w:val="none"/>
                <w:lang w:val="zh-CN" w:eastAsia="zh-CN" w:bidi="ar-SA"/>
              </w:rPr>
              <w:t>：《供应商具有履行合同所必需的设备和专业技术能力提供声明函》</w:t>
            </w:r>
          </w:p>
          <w:p w14:paraId="1D1CCAA9">
            <w:pPr>
              <w:pStyle w:val="2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35" w:lineRule="atLeast"/>
              <w:ind w:right="0" w:rightChars="0"/>
              <w:jc w:val="both"/>
              <w:textAlignment w:val="auto"/>
              <w:rPr>
                <w:rFonts w:hint="eastAsia" w:ascii="仿宋" w:hAnsi="仿宋" w:eastAsia="仿宋" w:cs="仿宋"/>
                <w:b w:val="0"/>
                <w:bCs w:val="0"/>
                <w:color w:val="auto"/>
                <w:sz w:val="28"/>
                <w:szCs w:val="28"/>
                <w:highlight w:val="none"/>
                <w:lang w:val="zh-CN" w:eastAsia="zh-CN" w:bidi="ar-SA"/>
              </w:rPr>
            </w:pPr>
            <w:r>
              <w:rPr>
                <w:rFonts w:hint="eastAsia" w:ascii="仿宋" w:hAnsi="仿宋" w:eastAsia="仿宋" w:cs="仿宋"/>
                <w:b w:val="0"/>
                <w:bCs w:val="0"/>
                <w:color w:val="auto"/>
                <w:sz w:val="28"/>
                <w:szCs w:val="28"/>
                <w:highlight w:val="none"/>
                <w:lang w:val="zh-CN" w:eastAsia="zh-CN" w:bidi="ar-SA"/>
              </w:rPr>
              <w:t>（4）</w:t>
            </w:r>
            <w:r>
              <w:rPr>
                <w:rFonts w:hint="eastAsia" w:ascii="仿宋" w:hAnsi="仿宋" w:eastAsia="仿宋" w:cs="仿宋"/>
                <w:b/>
                <w:bCs/>
                <w:color w:val="auto"/>
                <w:sz w:val="28"/>
                <w:szCs w:val="28"/>
                <w:highlight w:val="none"/>
                <w:lang w:val="zh-CN" w:eastAsia="zh-CN" w:bidi="ar-SA"/>
              </w:rPr>
              <w:t>依法缴纳税收的良好记录</w:t>
            </w:r>
            <w:r>
              <w:rPr>
                <w:rFonts w:hint="eastAsia" w:ascii="仿宋" w:hAnsi="仿宋" w:eastAsia="仿宋" w:cs="仿宋"/>
                <w:b w:val="0"/>
                <w:bCs w:val="0"/>
                <w:color w:val="auto"/>
                <w:sz w:val="28"/>
                <w:szCs w:val="28"/>
                <w:highlight w:val="none"/>
                <w:lang w:val="zh-CN" w:eastAsia="zh-CN" w:bidi="ar-SA"/>
              </w:rPr>
              <w:t>：提供投标截止日前近一年任意一个月完税证明；依法免税的，应提供相应文件（扫描件）证明其依法免税。</w:t>
            </w:r>
          </w:p>
          <w:p w14:paraId="156868B1">
            <w:pPr>
              <w:pStyle w:val="2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35" w:lineRule="atLeast"/>
              <w:ind w:right="0" w:rightChars="0"/>
              <w:jc w:val="both"/>
              <w:textAlignment w:val="auto"/>
              <w:rPr>
                <w:rFonts w:hint="eastAsia" w:ascii="仿宋" w:hAnsi="仿宋" w:eastAsia="仿宋" w:cs="仿宋"/>
                <w:color w:val="auto"/>
                <w:spacing w:val="-3"/>
                <w:sz w:val="28"/>
                <w:szCs w:val="28"/>
                <w:highlight w:val="none"/>
                <w:lang w:eastAsia="zh-CN"/>
              </w:rPr>
            </w:pPr>
            <w:r>
              <w:rPr>
                <w:rFonts w:hint="eastAsia" w:ascii="仿宋" w:hAnsi="仿宋" w:eastAsia="仿宋" w:cs="仿宋"/>
                <w:b w:val="0"/>
                <w:bCs w:val="0"/>
                <w:color w:val="auto"/>
                <w:sz w:val="28"/>
                <w:szCs w:val="28"/>
                <w:highlight w:val="none"/>
                <w:lang w:val="zh-CN" w:eastAsia="zh-CN" w:bidi="ar-SA"/>
              </w:rPr>
              <w:t>（5）</w:t>
            </w:r>
            <w:r>
              <w:rPr>
                <w:rFonts w:hint="eastAsia" w:ascii="仿宋" w:hAnsi="仿宋" w:eastAsia="仿宋" w:cs="仿宋"/>
                <w:b/>
                <w:bCs/>
                <w:color w:val="auto"/>
                <w:sz w:val="28"/>
                <w:szCs w:val="28"/>
                <w:highlight w:val="none"/>
                <w:lang w:val="zh-CN" w:eastAsia="zh-CN" w:bidi="ar-SA"/>
              </w:rPr>
              <w:t>依法缴纳社会保障资金的良好记录</w:t>
            </w:r>
            <w:r>
              <w:rPr>
                <w:rFonts w:hint="eastAsia" w:ascii="仿宋" w:hAnsi="仿宋" w:eastAsia="仿宋" w:cs="仿宋"/>
                <w:b w:val="0"/>
                <w:bCs w:val="0"/>
                <w:color w:val="auto"/>
                <w:sz w:val="28"/>
                <w:szCs w:val="28"/>
                <w:highlight w:val="none"/>
                <w:lang w:val="zh-CN" w:eastAsia="zh-CN" w:bidi="ar-SA"/>
              </w:rPr>
              <w:t>：</w:t>
            </w:r>
            <w:r>
              <w:rPr>
                <w:rFonts w:hint="eastAsia" w:ascii="仿宋" w:hAnsi="仿宋" w:eastAsia="仿宋" w:cs="仿宋"/>
                <w:color w:val="auto"/>
                <w:spacing w:val="-3"/>
                <w:sz w:val="28"/>
                <w:szCs w:val="28"/>
                <w:highlight w:val="none"/>
                <w:lang w:eastAsia="zh-CN"/>
              </w:rPr>
              <w:t>提供投标截止日前近一年任意一个月盖有社保局公章的社保缴纳证明（社保缴纳证明中含法定代表人或授权委托人的社保明细）；依法不需要缴纳社会保险的，应提供相应文件（扫描件）证明其依法不需要缴纳社会保险。</w:t>
            </w:r>
          </w:p>
          <w:p w14:paraId="0911EFD9">
            <w:pPr>
              <w:pStyle w:val="2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35" w:lineRule="atLeast"/>
              <w:ind w:right="0" w:rightChars="0"/>
              <w:jc w:val="both"/>
              <w:textAlignment w:val="auto"/>
              <w:rPr>
                <w:rFonts w:hint="eastAsia" w:ascii="仿宋" w:hAnsi="仿宋" w:eastAsia="仿宋" w:cs="仿宋"/>
                <w:b w:val="0"/>
                <w:bCs w:val="0"/>
                <w:color w:val="auto"/>
                <w:sz w:val="28"/>
                <w:szCs w:val="28"/>
                <w:highlight w:val="none"/>
                <w:lang w:val="zh-CN" w:eastAsia="zh-CN" w:bidi="ar-SA"/>
              </w:rPr>
            </w:pPr>
            <w:r>
              <w:rPr>
                <w:rFonts w:hint="eastAsia" w:ascii="仿宋" w:hAnsi="仿宋" w:eastAsia="仿宋" w:cs="仿宋"/>
                <w:b w:val="0"/>
                <w:bCs w:val="0"/>
                <w:color w:val="auto"/>
                <w:sz w:val="28"/>
                <w:szCs w:val="28"/>
                <w:highlight w:val="none"/>
                <w:lang w:val="zh-CN" w:eastAsia="zh-CN" w:bidi="ar-SA"/>
              </w:rPr>
              <w:t>（6）</w:t>
            </w:r>
            <w:r>
              <w:rPr>
                <w:rFonts w:hint="eastAsia" w:ascii="仿宋" w:hAnsi="仿宋" w:eastAsia="仿宋" w:cs="仿宋"/>
                <w:b/>
                <w:bCs/>
                <w:color w:val="auto"/>
                <w:sz w:val="28"/>
                <w:szCs w:val="28"/>
                <w:highlight w:val="none"/>
                <w:lang w:val="zh-CN" w:eastAsia="zh-CN" w:bidi="ar-SA"/>
              </w:rPr>
              <w:t>参加政府采购活动前三年内，在经营活动中没有重大违法记录</w:t>
            </w:r>
            <w:r>
              <w:rPr>
                <w:rFonts w:hint="eastAsia" w:ascii="仿宋" w:hAnsi="仿宋" w:eastAsia="仿宋" w:cs="仿宋"/>
                <w:b w:val="0"/>
                <w:bCs w:val="0"/>
                <w:color w:val="auto"/>
                <w:sz w:val="28"/>
                <w:szCs w:val="28"/>
                <w:highlight w:val="none"/>
                <w:lang w:val="zh-CN" w:eastAsia="zh-CN" w:bidi="ar-SA"/>
              </w:rPr>
              <w:t>：提供《三年内在经营活动中没有重大违法记录的声明》。</w:t>
            </w:r>
          </w:p>
          <w:p w14:paraId="4B4AB4E7">
            <w:pPr>
              <w:spacing w:line="240" w:lineRule="auto"/>
              <w:rPr>
                <w:rFonts w:hint="eastAsia" w:ascii="仿宋" w:hAnsi="仿宋" w:eastAsia="仿宋" w:cs="仿宋"/>
                <w:b w:val="0"/>
                <w:bCs w:val="0"/>
                <w:color w:val="auto"/>
                <w:sz w:val="28"/>
                <w:szCs w:val="28"/>
                <w:highlight w:val="none"/>
                <w:lang w:val="zh-CN" w:eastAsia="zh-CN" w:bidi="ar-SA"/>
              </w:rPr>
            </w:pPr>
            <w:r>
              <w:rPr>
                <w:rFonts w:hint="eastAsia" w:ascii="仿宋" w:hAnsi="仿宋" w:eastAsia="仿宋" w:cs="仿宋"/>
                <w:b w:val="0"/>
                <w:bCs w:val="0"/>
                <w:color w:val="auto"/>
                <w:sz w:val="28"/>
                <w:szCs w:val="28"/>
                <w:highlight w:val="none"/>
                <w:lang w:val="zh-CN" w:eastAsia="zh-CN" w:bidi="ar-SA"/>
              </w:rPr>
              <w:t>（7）</w:t>
            </w:r>
            <w:r>
              <w:rPr>
                <w:rFonts w:hint="eastAsia" w:ascii="仿宋" w:hAnsi="仿宋" w:eastAsia="仿宋" w:cs="仿宋"/>
                <w:b/>
                <w:bCs/>
                <w:color w:val="auto"/>
                <w:sz w:val="28"/>
                <w:szCs w:val="28"/>
                <w:highlight w:val="none"/>
                <w:lang w:val="zh-CN" w:eastAsia="zh-CN" w:bidi="ar-SA"/>
              </w:rPr>
              <w:t>符合法律、行政法规规定的其他条件</w:t>
            </w:r>
            <w:r>
              <w:rPr>
                <w:rFonts w:hint="eastAsia" w:ascii="仿宋" w:hAnsi="仿宋" w:eastAsia="仿宋" w:cs="仿宋"/>
                <w:b w:val="0"/>
                <w:bCs w:val="0"/>
                <w:color w:val="auto"/>
                <w:sz w:val="28"/>
                <w:szCs w:val="28"/>
                <w:highlight w:val="none"/>
                <w:lang w:val="zh-CN" w:eastAsia="zh-CN" w:bidi="ar-SA"/>
              </w:rPr>
              <w:t>：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p>
          <w:p w14:paraId="01E80949">
            <w:pPr>
              <w:spacing w:line="240" w:lineRule="auto"/>
              <w:rPr>
                <w:rFonts w:hint="default" w:ascii="仿宋" w:hAnsi="仿宋" w:eastAsia="仿宋" w:cs="仿宋"/>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bidi="ar-SA"/>
              </w:rPr>
              <w:t>2.</w:t>
            </w:r>
            <w:r>
              <w:rPr>
                <w:rFonts w:hint="eastAsia" w:ascii="仿宋" w:hAnsi="仿宋" w:eastAsia="仿宋" w:cs="仿宋"/>
                <w:b/>
                <w:bCs/>
                <w:color w:val="auto"/>
                <w:sz w:val="28"/>
                <w:szCs w:val="28"/>
                <w:highlight w:val="none"/>
                <w:lang w:val="en-US" w:eastAsia="zh-CN" w:bidi="ar-SA"/>
              </w:rPr>
              <w:t>落实政府采购政策需满足的</w:t>
            </w:r>
            <w:r>
              <w:rPr>
                <w:rFonts w:hint="eastAsia" w:ascii="仿宋" w:hAnsi="仿宋" w:eastAsia="仿宋" w:cs="仿宋"/>
                <w:b/>
                <w:bCs/>
                <w:color w:val="auto"/>
                <w:sz w:val="28"/>
                <w:szCs w:val="28"/>
                <w:highlight w:val="none"/>
              </w:rPr>
              <w:t>资格要求：</w:t>
            </w:r>
            <w:r>
              <w:rPr>
                <w:rFonts w:hint="eastAsia" w:ascii="仿宋" w:hAnsi="仿宋" w:eastAsia="仿宋" w:cs="仿宋"/>
                <w:color w:val="auto"/>
                <w:sz w:val="28"/>
                <w:szCs w:val="28"/>
                <w:highlight w:val="none"/>
                <w:lang w:eastAsia="zh-CN"/>
              </w:rPr>
              <w:t>本项目非专门面向中小微企业</w:t>
            </w:r>
          </w:p>
          <w:p w14:paraId="6B26AC77">
            <w:pPr>
              <w:pStyle w:val="25"/>
              <w:widowControl/>
              <w:spacing w:line="240" w:lineRule="auto"/>
              <w:jc w:val="both"/>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3.本项目的特定资格要求：</w:t>
            </w:r>
            <w:r>
              <w:rPr>
                <w:rFonts w:hint="eastAsia" w:ascii="仿宋" w:hAnsi="仿宋" w:eastAsia="仿宋" w:cs="仿宋"/>
                <w:b/>
                <w:bCs/>
                <w:color w:val="auto"/>
                <w:sz w:val="28"/>
                <w:szCs w:val="28"/>
                <w:highlight w:val="none"/>
                <w:lang w:eastAsia="zh-CN"/>
              </w:rPr>
              <w:t>无</w:t>
            </w:r>
          </w:p>
          <w:p w14:paraId="3244A560">
            <w:pPr>
              <w:pStyle w:val="25"/>
              <w:widowControl/>
              <w:spacing w:line="240" w:lineRule="auto"/>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4.其他要求</w:t>
            </w:r>
            <w:r>
              <w:rPr>
                <w:rFonts w:hint="eastAsia" w:ascii="仿宋" w:hAnsi="仿宋" w:eastAsia="仿宋" w:cs="仿宋"/>
                <w:color w:val="auto"/>
                <w:sz w:val="28"/>
                <w:szCs w:val="28"/>
                <w:highlight w:val="none"/>
              </w:rPr>
              <w:t>：供应商存在“信用中国”网站（www.creditchina.gov.cn）、中国政府采购网（www.ccgp.gov.cn）中被列入失信被执行人、重大税收违法案件当事人名单、政府采购严重违法失信行为记录名单的禁止参与参与本项目，响应文件无效。（由采购人或招标代理机构自行查询）</w:t>
            </w:r>
          </w:p>
        </w:tc>
      </w:tr>
      <w:tr w14:paraId="5DB9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413" w:type="pct"/>
            <w:vAlign w:val="center"/>
          </w:tcPr>
          <w:p w14:paraId="2CDB8C4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w:t>
            </w:r>
          </w:p>
        </w:tc>
        <w:tc>
          <w:tcPr>
            <w:tcW w:w="860" w:type="pct"/>
            <w:vAlign w:val="center"/>
          </w:tcPr>
          <w:p w14:paraId="7DA1072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是否允许联合体投标</w:t>
            </w:r>
          </w:p>
        </w:tc>
        <w:tc>
          <w:tcPr>
            <w:tcW w:w="3726" w:type="pct"/>
            <w:vAlign w:val="center"/>
          </w:tcPr>
          <w:p w14:paraId="259B9BE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否</w:t>
            </w:r>
          </w:p>
        </w:tc>
      </w:tr>
      <w:tr w14:paraId="60F4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413" w:type="pct"/>
            <w:vAlign w:val="center"/>
          </w:tcPr>
          <w:p w14:paraId="21AE7C6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w:t>
            </w:r>
          </w:p>
        </w:tc>
        <w:tc>
          <w:tcPr>
            <w:tcW w:w="860" w:type="pct"/>
            <w:vAlign w:val="center"/>
          </w:tcPr>
          <w:p w14:paraId="3DE6D29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是否允许投报进口产品</w:t>
            </w:r>
          </w:p>
        </w:tc>
        <w:tc>
          <w:tcPr>
            <w:tcW w:w="3726" w:type="pct"/>
            <w:vAlign w:val="center"/>
          </w:tcPr>
          <w:p w14:paraId="5B29783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否</w:t>
            </w:r>
          </w:p>
        </w:tc>
      </w:tr>
      <w:tr w14:paraId="129C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413" w:type="pct"/>
            <w:vAlign w:val="center"/>
          </w:tcPr>
          <w:p w14:paraId="2BD1144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w:t>
            </w:r>
          </w:p>
        </w:tc>
        <w:tc>
          <w:tcPr>
            <w:tcW w:w="860" w:type="pct"/>
            <w:vAlign w:val="center"/>
          </w:tcPr>
          <w:p w14:paraId="0F03440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是否踏勘现场</w:t>
            </w:r>
          </w:p>
        </w:tc>
        <w:tc>
          <w:tcPr>
            <w:tcW w:w="3726" w:type="pct"/>
            <w:vAlign w:val="center"/>
          </w:tcPr>
          <w:p w14:paraId="0B568E4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否</w:t>
            </w:r>
          </w:p>
        </w:tc>
      </w:tr>
      <w:tr w14:paraId="15D4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413" w:type="pct"/>
            <w:vAlign w:val="center"/>
          </w:tcPr>
          <w:p w14:paraId="296F7FE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w:t>
            </w:r>
          </w:p>
        </w:tc>
        <w:tc>
          <w:tcPr>
            <w:tcW w:w="860" w:type="pct"/>
            <w:vAlign w:val="center"/>
          </w:tcPr>
          <w:p w14:paraId="358B938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是否允许分包</w:t>
            </w:r>
          </w:p>
        </w:tc>
        <w:tc>
          <w:tcPr>
            <w:tcW w:w="3726" w:type="pct"/>
            <w:vAlign w:val="center"/>
          </w:tcPr>
          <w:p w14:paraId="46A728C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否</w:t>
            </w:r>
          </w:p>
        </w:tc>
      </w:tr>
      <w:tr w14:paraId="37FF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tcBorders>
              <w:bottom w:val="single" w:color="auto" w:sz="4" w:space="0"/>
            </w:tcBorders>
            <w:vAlign w:val="center"/>
          </w:tcPr>
          <w:p w14:paraId="165FF29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w:t>
            </w:r>
          </w:p>
        </w:tc>
        <w:tc>
          <w:tcPr>
            <w:tcW w:w="860" w:type="pct"/>
            <w:tcBorders>
              <w:bottom w:val="single" w:color="auto" w:sz="4" w:space="0"/>
            </w:tcBorders>
            <w:vAlign w:val="center"/>
          </w:tcPr>
          <w:p w14:paraId="79E9C62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最高投标限价</w:t>
            </w:r>
          </w:p>
        </w:tc>
        <w:tc>
          <w:tcPr>
            <w:tcW w:w="3726" w:type="pct"/>
            <w:tcBorders>
              <w:bottom w:val="single" w:color="auto" w:sz="4" w:space="0"/>
            </w:tcBorders>
            <w:vAlign w:val="center"/>
          </w:tcPr>
          <w:p w14:paraId="239149A2">
            <w:pPr>
              <w:pStyle w:val="7"/>
              <w:ind w:left="0" w:leftChars="0" w:firstLine="0" w:firstLineChars="0"/>
              <w:jc w:val="both"/>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eastAsia="zh-CN" w:bidi="ar-SA"/>
              </w:rPr>
              <w:t>最高投标限价</w:t>
            </w:r>
            <w:r>
              <w:rPr>
                <w:rFonts w:hint="eastAsia" w:ascii="仿宋" w:hAnsi="仿宋" w:eastAsia="仿宋" w:cs="仿宋"/>
                <w:color w:val="auto"/>
                <w:sz w:val="28"/>
                <w:szCs w:val="28"/>
                <w:highlight w:val="none"/>
                <w:lang w:val="zh-CN" w:eastAsia="zh-CN" w:bidi="ar-SA"/>
              </w:rPr>
              <w:t>：</w:t>
            </w:r>
            <w:r>
              <w:rPr>
                <w:rFonts w:hint="eastAsia" w:ascii="仿宋" w:hAnsi="仿宋" w:eastAsia="仿宋" w:cs="仿宋"/>
                <w:color w:val="auto"/>
                <w:sz w:val="28"/>
                <w:szCs w:val="28"/>
                <w:highlight w:val="none"/>
                <w:lang w:val="en-US" w:eastAsia="zh-CN" w:bidi="ar-SA"/>
              </w:rPr>
              <w:t>1000000元（大写：壹佰万元整）</w:t>
            </w:r>
          </w:p>
        </w:tc>
      </w:tr>
      <w:tr w14:paraId="4475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tcBorders>
              <w:top w:val="single" w:color="auto" w:sz="4" w:space="0"/>
              <w:left w:val="single" w:color="auto" w:sz="4" w:space="0"/>
              <w:bottom w:val="single" w:color="auto" w:sz="4" w:space="0"/>
            </w:tcBorders>
            <w:vAlign w:val="center"/>
          </w:tcPr>
          <w:p w14:paraId="6A6115C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w:t>
            </w:r>
          </w:p>
        </w:tc>
        <w:tc>
          <w:tcPr>
            <w:tcW w:w="860" w:type="pct"/>
            <w:tcBorders>
              <w:top w:val="single" w:color="auto" w:sz="4" w:space="0"/>
              <w:bottom w:val="single" w:color="auto" w:sz="4" w:space="0"/>
            </w:tcBorders>
            <w:vAlign w:val="center"/>
          </w:tcPr>
          <w:p w14:paraId="298CCD0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投标保证金</w:t>
            </w:r>
          </w:p>
        </w:tc>
        <w:tc>
          <w:tcPr>
            <w:tcW w:w="3726" w:type="pct"/>
            <w:tcBorders>
              <w:top w:val="single" w:color="auto" w:sz="4" w:space="0"/>
              <w:bottom w:val="single" w:color="auto" w:sz="4" w:space="0"/>
              <w:right w:val="single" w:color="auto" w:sz="4" w:space="0"/>
            </w:tcBorders>
            <w:vAlign w:val="center"/>
          </w:tcPr>
          <w:p w14:paraId="19A1802C">
            <w:pPr>
              <w:pStyle w:val="28"/>
              <w:ind w:firstLine="0" w:firstLineChars="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投标保证金的递交截止时间：</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lang w:eastAsia="zh-CN"/>
              </w:rPr>
              <w:t>月</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lang w:eastAsia="zh-CN"/>
              </w:rPr>
              <w:t>日</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lang w:eastAsia="zh-CN"/>
              </w:rPr>
              <w:t>（北京时间）</w:t>
            </w:r>
          </w:p>
          <w:p w14:paraId="11923E13">
            <w:pPr>
              <w:pStyle w:val="28"/>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投标保证金：</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lang w:eastAsia="zh-CN"/>
              </w:rPr>
              <w:t>元（</w:t>
            </w:r>
            <w:r>
              <w:rPr>
                <w:rFonts w:hint="eastAsia" w:ascii="仿宋" w:hAnsi="仿宋" w:eastAsia="仿宋" w:cs="仿宋"/>
                <w:color w:val="auto"/>
                <w:sz w:val="28"/>
                <w:szCs w:val="28"/>
                <w:highlight w:val="none"/>
                <w:lang w:val="en-US" w:eastAsia="zh-CN"/>
              </w:rPr>
              <w:t>/元</w:t>
            </w:r>
            <w:r>
              <w:rPr>
                <w:rFonts w:hint="eastAsia" w:ascii="仿宋" w:hAnsi="仿宋" w:eastAsia="仿宋" w:cs="仿宋"/>
                <w:color w:val="auto"/>
                <w:sz w:val="28"/>
                <w:szCs w:val="28"/>
                <w:highlight w:val="none"/>
                <w:lang w:eastAsia="zh-CN"/>
              </w:rPr>
              <w:t xml:space="preserve">整） </w:t>
            </w:r>
          </w:p>
          <w:p w14:paraId="2D789289">
            <w:pPr>
              <w:pStyle w:val="28"/>
              <w:ind w:firstLine="0" w:firstLineChars="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投标保证金提交方式：投标保证金应当以支票（需背书人盖章并写明支付密码，以兑换到账时间为准）、汇票、本票或者金融机构、担保机构出具的保函等非现金形式提交。（基本户对公转账、电汇均认可）</w:t>
            </w:r>
          </w:p>
          <w:p w14:paraId="059A5C7A">
            <w:pPr>
              <w:pStyle w:val="28"/>
              <w:ind w:firstLine="0" w:firstLineChars="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开户名称：新疆泽一项目管理有限公司</w:t>
            </w:r>
          </w:p>
          <w:p w14:paraId="0DDA6B79">
            <w:pPr>
              <w:pStyle w:val="28"/>
              <w:ind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 xml:space="preserve">开户行：新疆农村商业银行股份有限公司阿克苏迎宾路支行 </w:t>
            </w:r>
          </w:p>
          <w:p w14:paraId="0F59A873">
            <w:pPr>
              <w:pStyle w:val="28"/>
              <w:ind w:firstLine="0" w:firstLineChars="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账号：852120112010110300877</w:t>
            </w:r>
          </w:p>
          <w:p w14:paraId="7D9FECAF">
            <w:pPr>
              <w:pStyle w:val="28"/>
              <w:ind w:firstLine="0" w:firstLineChars="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xml:space="preserve">备注：“****项目”或“项目编号”投标保证金 </w:t>
            </w:r>
          </w:p>
          <w:p w14:paraId="7B47FC84">
            <w:pPr>
              <w:pStyle w:val="28"/>
              <w:ind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2、采用电子保函形式应按以下要求办理：</w:t>
            </w:r>
          </w:p>
          <w:p w14:paraId="13AF5967">
            <w:pPr>
              <w:pStyle w:val="28"/>
              <w:ind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（1）电子保函按照“一项目一保函”的原则。</w:t>
            </w:r>
          </w:p>
          <w:p w14:paraId="49058B3A">
            <w:pPr>
              <w:pStyle w:val="28"/>
              <w:ind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供应商以保函形式缴纳投标保证金的，应通过“新疆政府采购-电子保函-电子保函服务”，购买电子投标保函所支付的费用应从供应商企业基本账户转出，同时将电子投标保单作为电子投标文件组成部分在投标时一并提交。</w:t>
            </w:r>
          </w:p>
          <w:p w14:paraId="74BAFC7F">
            <w:pPr>
              <w:pStyle w:val="28"/>
              <w:ind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（备注：如采用电子保函形式缴纳的，在投标截止日之前须从服务平台中确认是否生效。）</w:t>
            </w:r>
          </w:p>
        </w:tc>
      </w:tr>
      <w:tr w14:paraId="12F4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13" w:type="pct"/>
            <w:tcBorders>
              <w:top w:val="single" w:color="auto" w:sz="4" w:space="0"/>
            </w:tcBorders>
            <w:vAlign w:val="center"/>
          </w:tcPr>
          <w:p w14:paraId="699B4F7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w:t>
            </w:r>
          </w:p>
        </w:tc>
        <w:tc>
          <w:tcPr>
            <w:tcW w:w="860" w:type="pct"/>
            <w:tcBorders>
              <w:top w:val="single" w:color="auto" w:sz="4" w:space="0"/>
            </w:tcBorders>
            <w:vAlign w:val="center"/>
          </w:tcPr>
          <w:p w14:paraId="064440B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投标有效期</w:t>
            </w:r>
          </w:p>
        </w:tc>
        <w:tc>
          <w:tcPr>
            <w:tcW w:w="3726" w:type="pct"/>
            <w:tcBorders>
              <w:top w:val="single" w:color="auto" w:sz="4" w:space="0"/>
            </w:tcBorders>
            <w:vAlign w:val="center"/>
          </w:tcPr>
          <w:p w14:paraId="0373F7C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从提交投标文件的截止之日起</w:t>
            </w:r>
            <w:r>
              <w:rPr>
                <w:rFonts w:hint="eastAsia" w:ascii="仿宋" w:hAnsi="仿宋" w:eastAsia="仿宋" w:cs="仿宋"/>
                <w:color w:val="auto"/>
                <w:sz w:val="28"/>
                <w:szCs w:val="28"/>
                <w:highlight w:val="none"/>
              </w:rPr>
              <w:t>60</w:t>
            </w:r>
            <w:r>
              <w:rPr>
                <w:rFonts w:hint="eastAsia" w:ascii="仿宋" w:hAnsi="仿宋" w:eastAsia="仿宋" w:cs="仿宋"/>
                <w:color w:val="auto"/>
                <w:sz w:val="28"/>
                <w:szCs w:val="28"/>
                <w:highlight w:val="none"/>
                <w:lang w:val="zh-CN"/>
              </w:rPr>
              <w:t>日历天。</w:t>
            </w:r>
          </w:p>
        </w:tc>
      </w:tr>
      <w:tr w14:paraId="3077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413" w:type="pct"/>
            <w:vAlign w:val="center"/>
          </w:tcPr>
          <w:p w14:paraId="534FCBB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w:t>
            </w:r>
          </w:p>
        </w:tc>
        <w:tc>
          <w:tcPr>
            <w:tcW w:w="860" w:type="pct"/>
            <w:vAlign w:val="center"/>
          </w:tcPr>
          <w:p w14:paraId="37473E3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投标截止时间</w:t>
            </w:r>
          </w:p>
        </w:tc>
        <w:tc>
          <w:tcPr>
            <w:tcW w:w="3726" w:type="pct"/>
            <w:vAlign w:val="center"/>
          </w:tcPr>
          <w:p w14:paraId="4329AA4D">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2026年11月03日11:00（北京时间）</w:t>
            </w:r>
          </w:p>
        </w:tc>
      </w:tr>
      <w:tr w14:paraId="4C34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413" w:type="pct"/>
            <w:vAlign w:val="center"/>
          </w:tcPr>
          <w:p w14:paraId="6890301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w:t>
            </w:r>
          </w:p>
        </w:tc>
        <w:tc>
          <w:tcPr>
            <w:tcW w:w="860" w:type="pct"/>
            <w:vAlign w:val="center"/>
          </w:tcPr>
          <w:p w14:paraId="7E922DB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递交投标文件的地点</w:t>
            </w:r>
          </w:p>
        </w:tc>
        <w:tc>
          <w:tcPr>
            <w:tcW w:w="3726" w:type="pct"/>
            <w:vAlign w:val="center"/>
          </w:tcPr>
          <w:p w14:paraId="48F077E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政采云一站式政府采购云平台（http://www.zcygov.cn/）</w:t>
            </w:r>
          </w:p>
        </w:tc>
      </w:tr>
      <w:tr w14:paraId="2845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413" w:type="pct"/>
            <w:vAlign w:val="center"/>
          </w:tcPr>
          <w:p w14:paraId="4E22A8EA">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1</w:t>
            </w:r>
          </w:p>
        </w:tc>
        <w:tc>
          <w:tcPr>
            <w:tcW w:w="860" w:type="pct"/>
            <w:vAlign w:val="center"/>
          </w:tcPr>
          <w:p w14:paraId="22B6FFB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投标文件文件编制</w:t>
            </w:r>
          </w:p>
        </w:tc>
        <w:tc>
          <w:tcPr>
            <w:tcW w:w="3726" w:type="pct"/>
            <w:vAlign w:val="center"/>
          </w:tcPr>
          <w:p w14:paraId="617DAA4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1.本项目采用电子交易方式，供应商可前往新疆政府采购网 (http://www.ccgp-xinjiang.gov.cn/)下载专区，下载政采云电子投标客户端，安装完成后，可通过账号密码或CA登录客户端进行投标文件制作。在使用政采云电子投标客户端时，建议使用WIN7及以上操作系统。如有问题可拨打政采云客户服务热线95763进行咨询。</w:t>
            </w:r>
          </w:p>
          <w:p w14:paraId="2CF9937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2.投标文件分资格证明文件、商务技术文件、其他文件。</w:t>
            </w:r>
          </w:p>
          <w:p w14:paraId="7D9A64B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3.投标文件内容供应商应按照招标文件的要求编写投标文件；对招标文件要求填写的表格或者资料不得缺少或者留空，投标文件不得加行。</w:t>
            </w:r>
          </w:p>
          <w:p w14:paraId="2716945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4.投标文件应编制目录，目录、内容标注连续页码，页码从目录编起，标注于页面底部居中位置。</w:t>
            </w:r>
          </w:p>
        </w:tc>
      </w:tr>
      <w:tr w14:paraId="5CE5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vAlign w:val="center"/>
          </w:tcPr>
          <w:p w14:paraId="7DB209DF">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2</w:t>
            </w:r>
          </w:p>
        </w:tc>
        <w:tc>
          <w:tcPr>
            <w:tcW w:w="860" w:type="pct"/>
            <w:vAlign w:val="center"/>
          </w:tcPr>
          <w:p w14:paraId="3231A8D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投标文件签字或盖章要求</w:t>
            </w:r>
          </w:p>
        </w:tc>
        <w:tc>
          <w:tcPr>
            <w:tcW w:w="3726" w:type="pct"/>
            <w:vAlign w:val="center"/>
          </w:tcPr>
          <w:p w14:paraId="36284C6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1.招标文件要求供应商法定代表人或者被授权代表签字处，均须加盖其个人电子印章或签名，并加盖单位公章的电子印章。</w:t>
            </w:r>
          </w:p>
          <w:p w14:paraId="4307D9A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2.被授权代表人签章的，投标文件应附法人授权委托书。</w:t>
            </w:r>
          </w:p>
          <w:p w14:paraId="1F355AB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3.供应商在投标文件以及相关书面文件中的单位盖章(包括印章、公章等)均指与供应商名称全称相一致的标准公章，不得使用其他形式(如带有“专用章”、“合同章”、“财务章”、“业务章”等)的印章。</w:t>
            </w:r>
          </w:p>
        </w:tc>
      </w:tr>
      <w:tr w14:paraId="4F97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13" w:type="pct"/>
            <w:vMerge w:val="restart"/>
            <w:vAlign w:val="center"/>
          </w:tcPr>
          <w:p w14:paraId="5EA1B675">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3</w:t>
            </w:r>
          </w:p>
        </w:tc>
        <w:tc>
          <w:tcPr>
            <w:tcW w:w="860" w:type="pct"/>
            <w:vAlign w:val="center"/>
          </w:tcPr>
          <w:p w14:paraId="7CE1A16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投标文件加密、上传</w:t>
            </w:r>
          </w:p>
        </w:tc>
        <w:tc>
          <w:tcPr>
            <w:tcW w:w="3726" w:type="pct"/>
            <w:vAlign w:val="center"/>
          </w:tcPr>
          <w:p w14:paraId="76F9289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采用不见面开标，供应商须在投标截止时间前，将生成的“电子加密投标文件”上传递交至“政府采购云平台”，投标截止时间以后上传递交的投标文件将被“政府采购云平台”拒收。备注：供应商对不见面开评标系统技术操作咨询，可通过</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"https://edu.zcygov.cn/luban/xinjiang-e-biding"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https://edu.zcygov.cn/luban/xinjiang-e-biding</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自助查询，也可在政采云帮助中心常见问题解答和操作流程讲解视频中自助查询，网址为：</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"https://service.zcygov.cn/" \l "/help"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https://service.zcygov.cn/#/help</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，“项目采购”—“操作流程-电子招投标”—“政府采购项目电子交易管理操作指南-供应商”版面获取操作指南，同时对自助查询无法解决的问题可通过钉钉群及政采云在线客服获取服务支持。</w:t>
            </w:r>
          </w:p>
        </w:tc>
      </w:tr>
      <w:tr w14:paraId="7484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vMerge w:val="continue"/>
            <w:vAlign w:val="center"/>
          </w:tcPr>
          <w:p w14:paraId="09DA86B0">
            <w:pPr>
              <w:rPr>
                <w:rFonts w:hint="eastAsia" w:ascii="仿宋" w:hAnsi="仿宋" w:eastAsia="仿宋" w:cs="仿宋"/>
                <w:color w:val="auto"/>
                <w:sz w:val="28"/>
                <w:szCs w:val="28"/>
                <w:highlight w:val="none"/>
              </w:rPr>
            </w:pPr>
          </w:p>
        </w:tc>
        <w:tc>
          <w:tcPr>
            <w:tcW w:w="860" w:type="pct"/>
            <w:vAlign w:val="center"/>
          </w:tcPr>
          <w:p w14:paraId="1F6DCA0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供应商签到及电子响应文件解密</w:t>
            </w:r>
          </w:p>
        </w:tc>
        <w:tc>
          <w:tcPr>
            <w:tcW w:w="3726" w:type="pct"/>
            <w:vAlign w:val="center"/>
          </w:tcPr>
          <w:p w14:paraId="51EC624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供应商登录政采云平台，在投标截止时间前必须完成签到，(本项目解密时长为：30分钟，签名时长为：10 分钟</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开标时间后30分钟内 (用“项目采购-开标评标”功能进行解密投标文件。若供应商在规 定时间内未按时签到或解密的，视为无效投标。解密与加密投标文件须为同一个CA。</w:t>
            </w:r>
          </w:p>
        </w:tc>
      </w:tr>
      <w:tr w14:paraId="175B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13" w:type="pct"/>
            <w:vAlign w:val="center"/>
          </w:tcPr>
          <w:p w14:paraId="1012D9FE">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4</w:t>
            </w:r>
          </w:p>
        </w:tc>
        <w:tc>
          <w:tcPr>
            <w:tcW w:w="860" w:type="pct"/>
            <w:vAlign w:val="center"/>
          </w:tcPr>
          <w:p w14:paraId="3E419BB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投标文件是否退还</w:t>
            </w:r>
          </w:p>
        </w:tc>
        <w:tc>
          <w:tcPr>
            <w:tcW w:w="3726" w:type="pct"/>
            <w:vAlign w:val="center"/>
          </w:tcPr>
          <w:p w14:paraId="7600CA3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否</w:t>
            </w:r>
          </w:p>
        </w:tc>
      </w:tr>
      <w:tr w14:paraId="1488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413" w:type="pct"/>
            <w:vAlign w:val="center"/>
          </w:tcPr>
          <w:p w14:paraId="36F7BF89">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5</w:t>
            </w:r>
          </w:p>
        </w:tc>
        <w:tc>
          <w:tcPr>
            <w:tcW w:w="860" w:type="pct"/>
            <w:vAlign w:val="center"/>
          </w:tcPr>
          <w:p w14:paraId="597BCA1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开标时间及地点</w:t>
            </w:r>
          </w:p>
        </w:tc>
        <w:tc>
          <w:tcPr>
            <w:tcW w:w="3726" w:type="pct"/>
            <w:vAlign w:val="center"/>
          </w:tcPr>
          <w:p w14:paraId="7D043CE6">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2026年11月03日11:00（北京时间）</w:t>
            </w:r>
          </w:p>
          <w:p w14:paraId="26A14961">
            <w:pPr>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开标地点：</w:t>
            </w:r>
            <w:bookmarkStart w:id="29" w:name="EB34014fc957d649bb8986b84244ff4257"/>
            <w:bookmarkEnd w:id="29"/>
            <w:r>
              <w:rPr>
                <w:rFonts w:hint="eastAsia" w:ascii="仿宋" w:hAnsi="仿宋" w:eastAsia="仿宋" w:cs="仿宋"/>
                <w:color w:val="auto"/>
                <w:sz w:val="28"/>
                <w:szCs w:val="28"/>
                <w:highlight w:val="none"/>
              </w:rPr>
              <w:t>政采云一站式政府采购云平台（http://www.zcygov.cn/）</w:t>
            </w:r>
          </w:p>
        </w:tc>
      </w:tr>
      <w:tr w14:paraId="106A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413" w:type="pct"/>
            <w:vAlign w:val="center"/>
          </w:tcPr>
          <w:p w14:paraId="5FDDBFBC">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6</w:t>
            </w:r>
          </w:p>
        </w:tc>
        <w:tc>
          <w:tcPr>
            <w:tcW w:w="860" w:type="pct"/>
            <w:vAlign w:val="center"/>
          </w:tcPr>
          <w:p w14:paraId="5911716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评标委员会的组成</w:t>
            </w:r>
          </w:p>
        </w:tc>
        <w:tc>
          <w:tcPr>
            <w:tcW w:w="3726" w:type="pct"/>
            <w:vAlign w:val="center"/>
          </w:tcPr>
          <w:p w14:paraId="0D37672A">
            <w:pP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评标委员会由业主评委和专业评委组成构成</w:t>
            </w:r>
            <w:r>
              <w:rPr>
                <w:rFonts w:hint="eastAsia" w:ascii="仿宋" w:hAnsi="仿宋" w:eastAsia="仿宋" w:cs="仿宋"/>
                <w:b/>
                <w:color w:val="auto"/>
                <w:sz w:val="28"/>
                <w:szCs w:val="28"/>
                <w:highlight w:val="none"/>
              </w:rPr>
              <w:t>：</w:t>
            </w:r>
            <w:bookmarkStart w:id="30" w:name="EB72d16e85338144d4a2d954e860d91604"/>
            <w:bookmarkEnd w:id="30"/>
            <w:r>
              <w:rPr>
                <w:rFonts w:hint="eastAsia" w:ascii="仿宋" w:hAnsi="仿宋" w:eastAsia="仿宋" w:cs="仿宋"/>
                <w:b/>
                <w:color w:val="auto"/>
                <w:sz w:val="28"/>
                <w:szCs w:val="28"/>
                <w:highlight w:val="none"/>
                <w:u w:val="single"/>
                <w:lang w:val="en-US" w:eastAsia="zh-CN"/>
              </w:rPr>
              <w:t>5</w:t>
            </w:r>
            <w:r>
              <w:rPr>
                <w:rFonts w:hint="eastAsia" w:ascii="仿宋" w:hAnsi="仿宋" w:eastAsia="仿宋" w:cs="仿宋"/>
                <w:color w:val="auto"/>
                <w:sz w:val="28"/>
                <w:szCs w:val="28"/>
                <w:highlight w:val="none"/>
              </w:rPr>
              <w:t>人</w:t>
            </w:r>
            <w:r>
              <w:rPr>
                <w:rFonts w:hint="eastAsia" w:ascii="仿宋" w:hAnsi="仿宋" w:eastAsia="仿宋" w:cs="仿宋"/>
                <w:color w:val="auto"/>
                <w:sz w:val="28"/>
                <w:szCs w:val="28"/>
                <w:highlight w:val="none"/>
                <w:lang w:val="zh-CN"/>
              </w:rPr>
              <w:t>。</w:t>
            </w:r>
          </w:p>
          <w:p w14:paraId="217D705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其中业主评委</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1</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人，专业评委</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4 </w:t>
            </w:r>
            <w:r>
              <w:rPr>
                <w:rFonts w:hint="eastAsia" w:ascii="仿宋" w:hAnsi="仿宋" w:eastAsia="仿宋" w:cs="仿宋"/>
                <w:color w:val="auto"/>
                <w:sz w:val="28"/>
                <w:szCs w:val="28"/>
                <w:highlight w:val="none"/>
              </w:rPr>
              <w:t>人</w:t>
            </w:r>
          </w:p>
          <w:p w14:paraId="644B1796">
            <w:pPr>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业主评委的人数不得超过总人数的三分之一</w:t>
            </w:r>
            <w:r>
              <w:rPr>
                <w:rFonts w:hint="eastAsia" w:ascii="仿宋" w:hAnsi="仿宋" w:eastAsia="仿宋" w:cs="仿宋"/>
                <w:color w:val="auto"/>
                <w:sz w:val="28"/>
                <w:szCs w:val="28"/>
                <w:highlight w:val="none"/>
                <w:lang w:val="zh-CN"/>
              </w:rPr>
              <w:t>）</w:t>
            </w:r>
          </w:p>
          <w:p w14:paraId="2FD4C3DD">
            <w:pP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评委确定方式：</w:t>
            </w:r>
            <w:bookmarkStart w:id="31" w:name="EB6479c32eb2ce45839a2e1507d7cdac93"/>
            <w:bookmarkEnd w:id="31"/>
            <w:r>
              <w:rPr>
                <w:rFonts w:hint="eastAsia" w:ascii="仿宋" w:hAnsi="仿宋" w:eastAsia="仿宋" w:cs="仿宋"/>
                <w:color w:val="auto"/>
                <w:sz w:val="28"/>
                <w:szCs w:val="28"/>
                <w:highlight w:val="none"/>
              </w:rPr>
              <w:t>政府采购云平台线上随机抽取</w:t>
            </w:r>
          </w:p>
        </w:tc>
      </w:tr>
      <w:tr w14:paraId="143E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13" w:type="pct"/>
            <w:vAlign w:val="center"/>
          </w:tcPr>
          <w:p w14:paraId="6A0C4DA7">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7</w:t>
            </w:r>
          </w:p>
        </w:tc>
        <w:tc>
          <w:tcPr>
            <w:tcW w:w="860" w:type="pct"/>
            <w:vAlign w:val="center"/>
          </w:tcPr>
          <w:p w14:paraId="750BE7D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是否授权评标委员会确定中标人</w:t>
            </w:r>
          </w:p>
        </w:tc>
        <w:tc>
          <w:tcPr>
            <w:tcW w:w="3726" w:type="pct"/>
            <w:vAlign w:val="center"/>
          </w:tcPr>
          <w:p w14:paraId="64C92932">
            <w:pP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否，推荐中标候选人数：3 人，确定第一中标候选人为成交供应商。</w:t>
            </w:r>
          </w:p>
        </w:tc>
      </w:tr>
      <w:tr w14:paraId="2E5B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13" w:type="pct"/>
            <w:vAlign w:val="center"/>
          </w:tcPr>
          <w:p w14:paraId="356EC1BD">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8</w:t>
            </w:r>
          </w:p>
        </w:tc>
        <w:tc>
          <w:tcPr>
            <w:tcW w:w="860" w:type="pct"/>
            <w:vAlign w:val="center"/>
          </w:tcPr>
          <w:p w14:paraId="750B493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中标公示的媒介</w:t>
            </w:r>
          </w:p>
        </w:tc>
        <w:tc>
          <w:tcPr>
            <w:tcW w:w="3726" w:type="pct"/>
            <w:vAlign w:val="center"/>
          </w:tcPr>
          <w:p w14:paraId="4D0405B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公示媒介：新疆政府采购网、阿克苏地区行政公署网</w:t>
            </w:r>
          </w:p>
        </w:tc>
      </w:tr>
      <w:tr w14:paraId="0262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413" w:type="pct"/>
            <w:vAlign w:val="center"/>
          </w:tcPr>
          <w:p w14:paraId="78262A07">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29</w:t>
            </w:r>
          </w:p>
        </w:tc>
        <w:tc>
          <w:tcPr>
            <w:tcW w:w="860" w:type="pct"/>
            <w:vAlign w:val="center"/>
          </w:tcPr>
          <w:p w14:paraId="6B27468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履约保证金</w:t>
            </w:r>
          </w:p>
        </w:tc>
        <w:tc>
          <w:tcPr>
            <w:tcW w:w="3726" w:type="pct"/>
            <w:vAlign w:val="center"/>
          </w:tcPr>
          <w:p w14:paraId="3ACBAE2A">
            <w:pPr>
              <w:pStyle w:val="28"/>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要求，</w:t>
            </w:r>
            <w:r>
              <w:rPr>
                <w:rFonts w:hint="eastAsia" w:ascii="仿宋" w:hAnsi="仿宋" w:eastAsia="仿宋" w:cs="仿宋"/>
                <w:color w:val="auto"/>
                <w:sz w:val="28"/>
                <w:szCs w:val="28"/>
                <w:highlight w:val="none"/>
                <w:lang w:val="en-US" w:eastAsia="zh-CN"/>
              </w:rPr>
              <w:t>按合同价的10%收取</w:t>
            </w:r>
            <w:r>
              <w:rPr>
                <w:rFonts w:hint="eastAsia" w:ascii="仿宋" w:hAnsi="仿宋" w:eastAsia="仿宋" w:cs="仿宋"/>
                <w:color w:val="auto"/>
                <w:sz w:val="28"/>
                <w:szCs w:val="28"/>
                <w:highlight w:val="none"/>
                <w:lang w:eastAsia="zh-CN"/>
              </w:rPr>
              <w:t>：</w:t>
            </w:r>
          </w:p>
          <w:p w14:paraId="5CC8955C">
            <w:pPr>
              <w:pStyle w:val="41"/>
              <w:ind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履约</w:t>
            </w:r>
            <w:r>
              <w:rPr>
                <w:rFonts w:hint="eastAsia" w:ascii="仿宋" w:hAnsi="仿宋" w:eastAsia="仿宋" w:cs="仿宋"/>
                <w:color w:val="auto"/>
                <w:sz w:val="28"/>
                <w:szCs w:val="28"/>
                <w:highlight w:val="none"/>
              </w:rPr>
              <w:t>保证金提交方式：</w:t>
            </w:r>
            <w:r>
              <w:rPr>
                <w:rFonts w:hint="eastAsia" w:ascii="仿宋" w:hAnsi="仿宋" w:eastAsia="仿宋" w:cs="仿宋"/>
                <w:color w:val="auto"/>
                <w:sz w:val="28"/>
                <w:szCs w:val="28"/>
                <w:highlight w:val="none"/>
                <w:lang w:val="en-US" w:eastAsia="zh-CN"/>
              </w:rPr>
              <w:t>履约</w:t>
            </w:r>
            <w:r>
              <w:rPr>
                <w:rFonts w:hint="eastAsia" w:ascii="仿宋" w:hAnsi="仿宋" w:eastAsia="仿宋" w:cs="仿宋"/>
                <w:color w:val="auto"/>
                <w:sz w:val="28"/>
                <w:szCs w:val="28"/>
                <w:highlight w:val="none"/>
              </w:rPr>
              <w:t>保证金应当以支票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需背书人盖章并写明支付密码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、汇票、本票</w:t>
            </w:r>
            <w:r>
              <w:rPr>
                <w:rFonts w:hint="eastAsia" w:ascii="仿宋" w:hAnsi="仿宋" w:eastAsia="仿宋" w:cs="仿宋"/>
                <w:color w:val="auto"/>
                <w:sz w:val="28"/>
                <w:szCs w:val="28"/>
                <w:highlight w:val="none"/>
                <w:lang w:eastAsia="zh-CN"/>
              </w:rPr>
              <w:t>、银行电汇 、 汇款（网银转账）</w:t>
            </w:r>
            <w:r>
              <w:rPr>
                <w:rFonts w:hint="eastAsia" w:ascii="仿宋" w:hAnsi="仿宋" w:eastAsia="仿宋" w:cs="仿宋"/>
                <w:color w:val="auto"/>
                <w:sz w:val="28"/>
                <w:szCs w:val="28"/>
                <w:highlight w:val="none"/>
                <w:lang w:val="en-US" w:eastAsia="zh-CN"/>
              </w:rPr>
              <w:t>等</w:t>
            </w:r>
            <w:r>
              <w:rPr>
                <w:rFonts w:hint="eastAsia" w:ascii="仿宋" w:hAnsi="仿宋" w:eastAsia="仿宋" w:cs="仿宋"/>
                <w:color w:val="auto"/>
                <w:sz w:val="28"/>
                <w:szCs w:val="28"/>
                <w:highlight w:val="none"/>
                <w:lang w:eastAsia="zh-CN"/>
              </w:rPr>
              <w:t>非现金结算提</w:t>
            </w:r>
            <w:r>
              <w:rPr>
                <w:rFonts w:hint="eastAsia" w:ascii="仿宋" w:hAnsi="仿宋" w:eastAsia="仿宋" w:cs="仿宋"/>
                <w:color w:val="auto"/>
                <w:sz w:val="28"/>
                <w:szCs w:val="28"/>
                <w:highlight w:val="none"/>
              </w:rPr>
              <w:t>交。在完成合同签订后十五日内提交至</w:t>
            </w:r>
            <w:r>
              <w:rPr>
                <w:rFonts w:hint="eastAsia" w:ascii="仿宋" w:hAnsi="仿宋" w:eastAsia="仿宋" w:cs="仿宋"/>
                <w:color w:val="auto"/>
                <w:sz w:val="28"/>
                <w:szCs w:val="28"/>
                <w:highlight w:val="none"/>
                <w:lang w:eastAsia="zh-CN"/>
              </w:rPr>
              <w:t>新疆智能装备研究院</w:t>
            </w:r>
            <w:r>
              <w:rPr>
                <w:rFonts w:hint="eastAsia" w:ascii="仿宋" w:hAnsi="仿宋" w:eastAsia="仿宋" w:cs="仿宋"/>
                <w:color w:val="auto"/>
                <w:sz w:val="28"/>
                <w:szCs w:val="28"/>
                <w:highlight w:val="none"/>
              </w:rPr>
              <w:t xml:space="preserve">基本账户。未缴纳的视为自动放弃中标，所有损失均有供应商自行承担。 </w:t>
            </w:r>
          </w:p>
          <w:p w14:paraId="1616C3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不要求</w:t>
            </w:r>
          </w:p>
        </w:tc>
      </w:tr>
      <w:tr w14:paraId="0A46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jc w:val="center"/>
        </w:trPr>
        <w:tc>
          <w:tcPr>
            <w:tcW w:w="413" w:type="pct"/>
            <w:vAlign w:val="center"/>
          </w:tcPr>
          <w:p w14:paraId="23F0A123">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0</w:t>
            </w:r>
          </w:p>
        </w:tc>
        <w:tc>
          <w:tcPr>
            <w:tcW w:w="860" w:type="pct"/>
            <w:vAlign w:val="center"/>
          </w:tcPr>
          <w:p w14:paraId="616287B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本项目是否专门面向</w:t>
            </w:r>
            <w:r>
              <w:rPr>
                <w:rFonts w:hint="eastAsia" w:ascii="仿宋" w:hAnsi="仿宋" w:eastAsia="仿宋" w:cs="仿宋"/>
                <w:color w:val="auto"/>
                <w:sz w:val="28"/>
                <w:szCs w:val="28"/>
                <w:highlight w:val="none"/>
                <w:lang w:val="en-US" w:eastAsia="zh-CN"/>
              </w:rPr>
              <w:t>小微</w:t>
            </w:r>
            <w:r>
              <w:rPr>
                <w:rFonts w:hint="eastAsia" w:ascii="仿宋" w:hAnsi="仿宋" w:eastAsia="仿宋" w:cs="仿宋"/>
                <w:color w:val="auto"/>
                <w:sz w:val="28"/>
                <w:szCs w:val="28"/>
                <w:highlight w:val="none"/>
              </w:rPr>
              <w:t>企业</w:t>
            </w:r>
          </w:p>
        </w:tc>
        <w:tc>
          <w:tcPr>
            <w:tcW w:w="3726" w:type="pct"/>
            <w:vAlign w:val="center"/>
          </w:tcPr>
          <w:p w14:paraId="1D7633B7">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是 </w:t>
            </w:r>
          </w:p>
          <w:p w14:paraId="3EC31C6E">
            <w:pPr>
              <w:pStyle w:val="41"/>
              <w:ind w:firstLine="0" w:firstLineChars="0"/>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否 </w:t>
            </w:r>
            <w:r>
              <w:rPr>
                <w:rFonts w:hint="eastAsia" w:ascii="仿宋" w:hAnsi="仿宋" w:eastAsia="仿宋" w:cs="仿宋"/>
                <w:b/>
                <w:bCs/>
                <w:color w:val="auto"/>
                <w:sz w:val="28"/>
                <w:szCs w:val="28"/>
                <w:highlight w:val="none"/>
                <w:lang w:val="en-US" w:eastAsia="zh-CN"/>
              </w:rPr>
              <w:t xml:space="preserve">本项目非专门面向中小企业；对符合规定的小微企业报价给予10%扣除，用扣除后的价格参加评审 </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行业划分为：</w:t>
            </w:r>
            <w:r>
              <w:rPr>
                <w:rFonts w:hint="eastAsia" w:ascii="仿宋" w:hAnsi="仿宋" w:eastAsia="仿宋" w:cs="仿宋"/>
                <w:b/>
                <w:bCs/>
                <w:color w:val="auto"/>
                <w:sz w:val="28"/>
                <w:szCs w:val="28"/>
                <w:highlight w:val="none"/>
                <w:lang w:val="en-US" w:eastAsia="zh-CN"/>
              </w:rPr>
              <w:t>工业</w:t>
            </w:r>
            <w:r>
              <w:rPr>
                <w:rFonts w:hint="eastAsia" w:ascii="仿宋" w:hAnsi="仿宋" w:eastAsia="仿宋" w:cs="仿宋"/>
                <w:b/>
                <w:bCs/>
                <w:color w:val="auto"/>
                <w:sz w:val="28"/>
                <w:szCs w:val="28"/>
                <w:highlight w:val="none"/>
              </w:rPr>
              <w:t>）</w:t>
            </w:r>
          </w:p>
        </w:tc>
      </w:tr>
      <w:tr w14:paraId="23BB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413" w:type="pct"/>
            <w:vAlign w:val="center"/>
          </w:tcPr>
          <w:p w14:paraId="3F05149D">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1</w:t>
            </w:r>
          </w:p>
        </w:tc>
        <w:tc>
          <w:tcPr>
            <w:tcW w:w="860" w:type="pct"/>
            <w:vAlign w:val="center"/>
          </w:tcPr>
          <w:p w14:paraId="40F49E0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中小企业扶持政策</w:t>
            </w:r>
          </w:p>
        </w:tc>
        <w:tc>
          <w:tcPr>
            <w:tcW w:w="3726" w:type="pct"/>
            <w:vAlign w:val="center"/>
          </w:tcPr>
          <w:p w14:paraId="036062D2">
            <w:pPr>
              <w:pStyle w:val="41"/>
              <w:ind w:firstLine="443"/>
              <w:rPr>
                <w:rFonts w:hint="eastAsia" w:ascii="仿宋" w:hAnsi="仿宋" w:eastAsia="仿宋" w:cs="仿宋"/>
                <w:bCs/>
                <w:color w:val="auto"/>
                <w:sz w:val="28"/>
                <w:szCs w:val="28"/>
                <w:highlight w:val="none"/>
              </w:rPr>
            </w:pPr>
            <w:r>
              <w:rPr>
                <w:rFonts w:hint="eastAsia" w:ascii="仿宋" w:hAnsi="仿宋" w:eastAsia="仿宋" w:cs="仿宋"/>
                <w:color w:val="auto"/>
                <w:sz w:val="28"/>
                <w:szCs w:val="28"/>
                <w:highlight w:val="none"/>
              </w:rPr>
              <w:t>详见第四章“评审方法”对应内容</w:t>
            </w:r>
          </w:p>
        </w:tc>
      </w:tr>
      <w:tr w14:paraId="31AC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13" w:type="pct"/>
            <w:vAlign w:val="center"/>
          </w:tcPr>
          <w:p w14:paraId="7442F185">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2</w:t>
            </w:r>
          </w:p>
        </w:tc>
        <w:tc>
          <w:tcPr>
            <w:tcW w:w="860" w:type="pct"/>
            <w:vAlign w:val="center"/>
          </w:tcPr>
          <w:p w14:paraId="47387AF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优先采购节能、环境标志产品</w:t>
            </w:r>
          </w:p>
        </w:tc>
        <w:tc>
          <w:tcPr>
            <w:tcW w:w="3726" w:type="pct"/>
            <w:vAlign w:val="center"/>
          </w:tcPr>
          <w:p w14:paraId="5CD34FE4">
            <w:pPr>
              <w:pStyle w:val="41"/>
              <w:ind w:firstLine="44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详见第四章“评审方法”对应内容</w:t>
            </w:r>
          </w:p>
        </w:tc>
      </w:tr>
      <w:tr w14:paraId="4F3A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13" w:type="pct"/>
            <w:vAlign w:val="center"/>
          </w:tcPr>
          <w:p w14:paraId="4E505BC7">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3</w:t>
            </w:r>
          </w:p>
        </w:tc>
        <w:tc>
          <w:tcPr>
            <w:tcW w:w="860" w:type="pct"/>
            <w:vAlign w:val="center"/>
          </w:tcPr>
          <w:p w14:paraId="7BDDC5B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重大违法记录</w:t>
            </w:r>
          </w:p>
        </w:tc>
        <w:tc>
          <w:tcPr>
            <w:tcW w:w="3726" w:type="pct"/>
            <w:vAlign w:val="center"/>
          </w:tcPr>
          <w:p w14:paraId="05F626CB">
            <w:pPr>
              <w:pStyle w:val="41"/>
              <w:ind w:firstLine="0" w:firstLineChars="0"/>
              <w:rPr>
                <w:rFonts w:hint="eastAsia" w:ascii="仿宋" w:hAnsi="仿宋" w:eastAsia="仿宋" w:cs="仿宋"/>
                <w:color w:val="auto"/>
                <w:sz w:val="28"/>
                <w:szCs w:val="28"/>
                <w:highlight w:val="none"/>
              </w:rPr>
            </w:pPr>
            <w:bookmarkStart w:id="32" w:name="EB2ce5b88eba94499ba45199c3c51dafe2"/>
            <w:bookmarkEnd w:id="32"/>
            <w:r>
              <w:rPr>
                <w:rFonts w:hint="eastAsia" w:ascii="仿宋" w:hAnsi="仿宋" w:eastAsia="仿宋" w:cs="仿宋"/>
                <w:color w:val="auto"/>
                <w:sz w:val="28"/>
                <w:szCs w:val="28"/>
                <w:highlight w:val="none"/>
              </w:rPr>
              <w:t>供应商因违法经营受到刑事处罚或者责令停产停业、吊销许可证或者执照、较大数额罚款等行政处罚。</w:t>
            </w:r>
          </w:p>
        </w:tc>
      </w:tr>
      <w:tr w14:paraId="7D73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13" w:type="pct"/>
            <w:vAlign w:val="center"/>
          </w:tcPr>
          <w:p w14:paraId="21C57FBA">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4</w:t>
            </w:r>
          </w:p>
        </w:tc>
        <w:tc>
          <w:tcPr>
            <w:tcW w:w="860" w:type="pct"/>
            <w:vAlign w:val="center"/>
          </w:tcPr>
          <w:p w14:paraId="30C1CC60">
            <w:pPr>
              <w:rPr>
                <w:rFonts w:hint="eastAsia" w:ascii="仿宋" w:hAnsi="仿宋" w:eastAsia="仿宋" w:cs="仿宋"/>
                <w:bCs/>
                <w:color w:val="auto"/>
                <w:sz w:val="28"/>
                <w:szCs w:val="28"/>
                <w:highlight w:val="none"/>
              </w:rPr>
            </w:pPr>
            <w:r>
              <w:rPr>
                <w:rFonts w:hint="eastAsia" w:ascii="仿宋" w:hAnsi="仿宋" w:eastAsia="仿宋" w:cs="仿宋"/>
                <w:color w:val="auto"/>
                <w:sz w:val="28"/>
                <w:szCs w:val="28"/>
                <w:highlight w:val="none"/>
              </w:rPr>
              <w:t>实质性要求和条件是否允许偏离</w:t>
            </w:r>
          </w:p>
        </w:tc>
        <w:tc>
          <w:tcPr>
            <w:tcW w:w="3726" w:type="pct"/>
            <w:vAlign w:val="center"/>
          </w:tcPr>
          <w:p w14:paraId="15CA557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不允许</w:t>
            </w:r>
          </w:p>
          <w:p w14:paraId="0E3E9BB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允许，偏差范围：/</w:t>
            </w:r>
          </w:p>
          <w:p w14:paraId="12E8864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最高项数：/</w:t>
            </w:r>
          </w:p>
        </w:tc>
      </w:tr>
      <w:tr w14:paraId="23C7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13" w:type="pct"/>
            <w:tcBorders>
              <w:bottom w:val="single" w:color="auto" w:sz="4" w:space="0"/>
            </w:tcBorders>
            <w:vAlign w:val="center"/>
          </w:tcPr>
          <w:p w14:paraId="5194303C">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5</w:t>
            </w:r>
          </w:p>
        </w:tc>
        <w:tc>
          <w:tcPr>
            <w:tcW w:w="860" w:type="pct"/>
            <w:tcBorders>
              <w:bottom w:val="single" w:color="auto" w:sz="4" w:space="0"/>
            </w:tcBorders>
            <w:vAlign w:val="center"/>
          </w:tcPr>
          <w:p w14:paraId="3D0B3D7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付款方式</w:t>
            </w:r>
          </w:p>
        </w:tc>
        <w:tc>
          <w:tcPr>
            <w:tcW w:w="3726" w:type="pct"/>
            <w:tcBorders>
              <w:bottom w:val="single" w:color="auto" w:sz="4" w:space="0"/>
            </w:tcBorders>
            <w:vAlign w:val="center"/>
          </w:tcPr>
          <w:p w14:paraId="73411B79">
            <w:pPr>
              <w:pStyle w:val="41"/>
              <w:ind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详见采购需求</w:t>
            </w:r>
          </w:p>
        </w:tc>
      </w:tr>
      <w:tr w14:paraId="69C5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9" w:hRule="atLeast"/>
          <w:jc w:val="center"/>
        </w:trPr>
        <w:tc>
          <w:tcPr>
            <w:tcW w:w="413" w:type="pct"/>
            <w:tcBorders>
              <w:top w:val="single" w:color="auto" w:sz="4" w:space="0"/>
              <w:left w:val="single" w:color="auto" w:sz="4" w:space="0"/>
              <w:bottom w:val="single" w:color="auto" w:sz="4" w:space="0"/>
            </w:tcBorders>
            <w:vAlign w:val="center"/>
          </w:tcPr>
          <w:p w14:paraId="462B5E48">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6</w:t>
            </w:r>
          </w:p>
        </w:tc>
        <w:tc>
          <w:tcPr>
            <w:tcW w:w="860" w:type="pct"/>
            <w:tcBorders>
              <w:top w:val="single" w:color="auto" w:sz="4" w:space="0"/>
              <w:bottom w:val="single" w:color="auto" w:sz="4" w:space="0"/>
            </w:tcBorders>
            <w:vAlign w:val="center"/>
          </w:tcPr>
          <w:p w14:paraId="08CCD57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相关费用</w:t>
            </w:r>
          </w:p>
        </w:tc>
        <w:tc>
          <w:tcPr>
            <w:tcW w:w="3726" w:type="pct"/>
            <w:tcBorders>
              <w:top w:val="single" w:color="auto" w:sz="4" w:space="0"/>
              <w:bottom w:val="single" w:color="auto" w:sz="4" w:space="0"/>
              <w:right w:val="single" w:color="auto" w:sz="4" w:space="0"/>
            </w:tcBorders>
            <w:vAlign w:val="center"/>
          </w:tcPr>
          <w:p w14:paraId="3525D98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1.本次采用不见面开标，开标时请各投标人准时在新疆政府采购网参加开标会，准时签到；未递交投标文件及未签到的视为无效投标</w:t>
            </w:r>
            <w:r>
              <w:rPr>
                <w:rFonts w:hint="eastAsia" w:ascii="仿宋" w:hAnsi="仿宋" w:eastAsia="仿宋" w:cs="仿宋"/>
                <w:color w:val="auto"/>
                <w:sz w:val="28"/>
                <w:szCs w:val="28"/>
                <w:highlight w:val="none"/>
                <w:lang w:val="zh-CN"/>
              </w:rPr>
              <w:t>。</w:t>
            </w:r>
          </w:p>
          <w:p w14:paraId="0816B25D">
            <w:pPr>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zh-CN" w:eastAsia="zh-CN"/>
              </w:rPr>
              <w:t>招标代理服务费用按照发改价格〔2015〕299号通知要求，招标文件供应商须知正文第九条的差额定率累进法计算标准，（实际以</w:t>
            </w:r>
            <w:r>
              <w:rPr>
                <w:rFonts w:hint="eastAsia" w:ascii="仿宋" w:hAnsi="仿宋" w:eastAsia="仿宋" w:cs="仿宋"/>
                <w:color w:val="auto"/>
                <w:sz w:val="28"/>
                <w:szCs w:val="28"/>
                <w:highlight w:val="none"/>
                <w:lang w:val="en-US" w:eastAsia="zh-CN"/>
              </w:rPr>
              <w:t>成交</w:t>
            </w:r>
            <w:r>
              <w:rPr>
                <w:rFonts w:hint="eastAsia" w:ascii="仿宋" w:hAnsi="仿宋" w:eastAsia="仿宋" w:cs="仿宋"/>
                <w:color w:val="auto"/>
                <w:sz w:val="28"/>
                <w:szCs w:val="28"/>
                <w:highlight w:val="none"/>
                <w:lang w:val="zh-CN" w:eastAsia="zh-CN"/>
              </w:rPr>
              <w:t>金额为基数计取）。招标工作完成后，中标人向招标代理机构一次性付清。</w:t>
            </w:r>
          </w:p>
        </w:tc>
      </w:tr>
      <w:tr w14:paraId="77F0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13" w:type="pct"/>
            <w:tcBorders>
              <w:top w:val="single" w:color="auto" w:sz="4" w:space="0"/>
            </w:tcBorders>
            <w:vAlign w:val="center"/>
          </w:tcPr>
          <w:p w14:paraId="524B8856">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7</w:t>
            </w:r>
          </w:p>
        </w:tc>
        <w:tc>
          <w:tcPr>
            <w:tcW w:w="860" w:type="pct"/>
            <w:tcBorders>
              <w:top w:val="single" w:color="auto" w:sz="4" w:space="0"/>
            </w:tcBorders>
            <w:vAlign w:val="center"/>
          </w:tcPr>
          <w:p w14:paraId="36BA36C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节能、环保政府采购政策</w:t>
            </w:r>
          </w:p>
        </w:tc>
        <w:tc>
          <w:tcPr>
            <w:tcW w:w="3726" w:type="pct"/>
            <w:tcBorders>
              <w:top w:val="single" w:color="auto" w:sz="4" w:space="0"/>
            </w:tcBorders>
            <w:vAlign w:val="center"/>
          </w:tcPr>
          <w:p w14:paraId="20D3C9C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严格执行《财政部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采购产品类别属于政府强制采购产品类别的，应当按照要求提供依据国家确定的认证机构出具的、处于有效期之内的节能产品或环境标志产品认证证书，否则投标文件无效；属于政府优先采购产品类别的，应当按照要求提供依据国家确定的认证机构出具的、处于有效期之内的节能产品或环境标志产品认证证书，否则不予认定。</w:t>
            </w:r>
          </w:p>
        </w:tc>
      </w:tr>
      <w:tr w14:paraId="5640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13" w:type="pct"/>
            <w:vAlign w:val="center"/>
          </w:tcPr>
          <w:p w14:paraId="6B714CDC">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8</w:t>
            </w:r>
          </w:p>
        </w:tc>
        <w:tc>
          <w:tcPr>
            <w:tcW w:w="860" w:type="pct"/>
            <w:vAlign w:val="center"/>
          </w:tcPr>
          <w:p w14:paraId="749E92E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中小企业扶持政策</w:t>
            </w:r>
          </w:p>
        </w:tc>
        <w:tc>
          <w:tcPr>
            <w:tcW w:w="3726" w:type="pct"/>
            <w:vAlign w:val="center"/>
          </w:tcPr>
          <w:p w14:paraId="0277637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关于中小企业、残疾人福利性单位、监狱企业扶持政策落实的规定：本项目按照《新疆维吾尔自治区政府采购促进中小企业发展管理实施办法》（新财规〔2021〕6号）</w:t>
            </w:r>
          </w:p>
          <w:p w14:paraId="392EBBB2">
            <w:pP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□本项目专门面向中小微企业</w:t>
            </w: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val="en-US" w:eastAsia="zh-CN"/>
              </w:rPr>
              <w:t>中型、</w:t>
            </w:r>
            <w:r>
              <w:rPr>
                <w:rFonts w:hint="eastAsia" w:ascii="仿宋" w:hAnsi="仿宋" w:eastAsia="仿宋" w:cs="仿宋"/>
                <w:b w:val="0"/>
                <w:bCs w:val="0"/>
                <w:color w:val="auto"/>
                <w:sz w:val="28"/>
                <w:szCs w:val="28"/>
                <w:highlight w:val="none"/>
              </w:rPr>
              <w:t>小</w:t>
            </w:r>
            <w:r>
              <w:rPr>
                <w:rFonts w:hint="eastAsia" w:ascii="仿宋" w:hAnsi="仿宋" w:eastAsia="仿宋" w:cs="仿宋"/>
                <w:b w:val="0"/>
                <w:bCs w:val="0"/>
                <w:color w:val="auto"/>
                <w:sz w:val="28"/>
                <w:szCs w:val="28"/>
                <w:highlight w:val="none"/>
                <w:lang w:val="en-US" w:eastAsia="zh-CN"/>
              </w:rPr>
              <w:t>型、</w:t>
            </w:r>
            <w:r>
              <w:rPr>
                <w:rFonts w:hint="eastAsia" w:ascii="仿宋" w:hAnsi="仿宋" w:eastAsia="仿宋" w:cs="仿宋"/>
                <w:b w:val="0"/>
                <w:bCs w:val="0"/>
                <w:color w:val="auto"/>
                <w:sz w:val="28"/>
                <w:szCs w:val="28"/>
                <w:highlight w:val="none"/>
              </w:rPr>
              <w:t>微</w:t>
            </w:r>
            <w:r>
              <w:rPr>
                <w:rFonts w:hint="eastAsia" w:ascii="仿宋" w:hAnsi="仿宋" w:eastAsia="仿宋" w:cs="仿宋"/>
                <w:b w:val="0"/>
                <w:bCs w:val="0"/>
                <w:color w:val="auto"/>
                <w:sz w:val="28"/>
                <w:szCs w:val="28"/>
                <w:highlight w:val="none"/>
                <w:lang w:val="en-US" w:eastAsia="zh-CN"/>
              </w:rPr>
              <w:t>型</w:t>
            </w:r>
            <w:r>
              <w:rPr>
                <w:rFonts w:hint="eastAsia" w:ascii="仿宋" w:hAnsi="仿宋" w:eastAsia="仿宋" w:cs="仿宋"/>
                <w:b w:val="0"/>
                <w:bCs w:val="0"/>
                <w:color w:val="auto"/>
                <w:sz w:val="28"/>
                <w:szCs w:val="28"/>
                <w:highlight w:val="none"/>
              </w:rPr>
              <w:t>企业、残疾人福利性单位、监狱企业都享受本政策）</w:t>
            </w:r>
          </w:p>
          <w:p w14:paraId="50E366BE">
            <w:pP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bCs/>
                <w:color w:val="auto"/>
                <w:sz w:val="32"/>
                <w:szCs w:val="32"/>
                <w:highlight w:val="none"/>
              </w:rPr>
              <w:t>本项目对符合规定的小微企业报价给予</w:t>
            </w:r>
            <w:r>
              <w:rPr>
                <w:rFonts w:hint="eastAsia" w:ascii="仿宋" w:hAnsi="仿宋" w:eastAsia="仿宋" w:cs="仿宋"/>
                <w:b/>
                <w:bCs/>
                <w:color w:val="auto"/>
                <w:sz w:val="32"/>
                <w:szCs w:val="32"/>
                <w:highlight w:val="none"/>
                <w:lang w:val="en-US" w:eastAsia="zh-CN"/>
              </w:rPr>
              <w:t>10%</w:t>
            </w:r>
            <w:r>
              <w:rPr>
                <w:rFonts w:hint="eastAsia" w:ascii="仿宋" w:hAnsi="仿宋" w:eastAsia="仿宋" w:cs="仿宋"/>
                <w:b/>
                <w:bCs/>
                <w:color w:val="auto"/>
                <w:sz w:val="32"/>
                <w:szCs w:val="32"/>
                <w:highlight w:val="none"/>
              </w:rPr>
              <w:t>扣除，用扣除后的价格参加评审</w:t>
            </w:r>
          </w:p>
          <w:p w14:paraId="3EE9780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1、中小企业报价的价格扣除</w:t>
            </w:r>
          </w:p>
          <w:p w14:paraId="1DAE07F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（1）本项目对小微企业报价的价格给予</w:t>
            </w:r>
            <w:r>
              <w:rPr>
                <w:rFonts w:hint="eastAsia" w:ascii="仿宋" w:hAnsi="仿宋" w:eastAsia="仿宋" w:cs="仿宋"/>
                <w:b/>
                <w:bCs/>
                <w:color w:val="auto"/>
                <w:sz w:val="28"/>
                <w:szCs w:val="28"/>
                <w:highlight w:val="none"/>
              </w:rPr>
              <w:t>10%</w:t>
            </w:r>
            <w:r>
              <w:rPr>
                <w:rFonts w:hint="eastAsia" w:ascii="仿宋" w:hAnsi="仿宋" w:eastAsia="仿宋" w:cs="仿宋"/>
                <w:color w:val="auto"/>
                <w:sz w:val="28"/>
                <w:szCs w:val="28"/>
                <w:highlight w:val="none"/>
              </w:rPr>
              <w:t>的扣除，用扣除后的价格参与评审。</w:t>
            </w:r>
          </w:p>
          <w:p w14:paraId="3875939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（2）供应商需按照采购文件的要求提供《中小企业声明函》，详见第六章“投标文件格式”附件八。</w:t>
            </w:r>
          </w:p>
          <w:p w14:paraId="11AC969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（3）企业标准请参照《统计上大中小微型企业划分办法（2017）》文件规定自行填写。</w:t>
            </w:r>
          </w:p>
          <w:p w14:paraId="2519432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2、残疾人福利性单位报价的价格扣除</w:t>
            </w:r>
          </w:p>
          <w:p w14:paraId="5531AFB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（1）本项目对残疾人福利性单位视同小型、微型企业，给予10%的价格扣除，用扣除后的价格参与评审。</w:t>
            </w:r>
          </w:p>
          <w:p w14:paraId="6E2DFD8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（2）残疾人福利性单位需按照采购文件的要求提供《残疾人福利性单位声明函》。</w:t>
            </w:r>
          </w:p>
          <w:p w14:paraId="75650BC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（3）残疾人福利性单位标准请参照《关于促进残疾人就业政府采购政策的通知》（财库〔2017〕141号）。</w:t>
            </w:r>
          </w:p>
          <w:p w14:paraId="4081870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3、监狱和戒毒企业报价的价格扣除</w:t>
            </w:r>
          </w:p>
          <w:p w14:paraId="4425876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（1）本项目对监狱和戒毒企业（简称监狱企业）视同小型、微型企业，给予10%的价格扣除，用扣除后的价格参与评审。</w:t>
            </w:r>
          </w:p>
          <w:p w14:paraId="6EC9852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（2）监狱企业参加政府采购活动时，需提供由省级以上监狱管理局、戒毒管理局(含新疆生产建设兵团)出具的属于监狱企业的证明文件。供应商如不提供上述证明文件，价格将不做相应扣除。</w:t>
            </w:r>
          </w:p>
          <w:p w14:paraId="44058B6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（3）监狱企业标准请参照《关于政府采购支持监狱企业发展有关问题的通知》（财库[2014]68号）。</w:t>
            </w:r>
          </w:p>
          <w:p w14:paraId="23C283E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4、残疾人福利单位、监狱企业属于小型、微型企业的，不重复享受政策。</w:t>
            </w:r>
          </w:p>
          <w:p w14:paraId="784A19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大中型企业和其他自然人、法人或者其他组织与小型、微型企业（残疾人福利单位、监狱企业）组成联合体共同参加政府采购活动。联合协议中约定，小型、微型企业（残疾人福利单位、监狱企业）的协议合同金额占到联合体协议合同总金额30%以上的，给予联合体2%的价格扣除，用扣除后的价格参与评审。（注意：组成联合体的中小企业与联合体内其他企业之间不得存在直接控股、管理关系）</w:t>
            </w:r>
          </w:p>
          <w:p w14:paraId="4DCD40EA">
            <w:pPr>
              <w:rPr>
                <w:rFonts w:hint="eastAsia" w:ascii="仿宋" w:hAnsi="仿宋" w:eastAsia="仿宋" w:cs="仿宋"/>
                <w:color w:val="auto"/>
                <w:spacing w:val="14"/>
                <w:sz w:val="28"/>
                <w:szCs w:val="28"/>
                <w:highlight w:val="none"/>
              </w:rPr>
            </w:pPr>
            <w:r>
              <w:rPr>
                <w:rFonts w:hint="eastAsia" w:ascii="仿宋" w:hAnsi="仿宋" w:eastAsia="仿宋" w:cs="仿宋"/>
                <w:color w:val="auto"/>
                <w:sz w:val="28"/>
                <w:szCs w:val="28"/>
                <w:highlight w:val="none"/>
              </w:rPr>
              <w:t>6、联合体各方均为小型、微型企业（残疾人福利单位、监狱企业）的，联合体享受3%价格扣除，用扣除后的价格参与评审。</w:t>
            </w:r>
          </w:p>
        </w:tc>
      </w:tr>
      <w:tr w14:paraId="4D54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vAlign w:val="center"/>
          </w:tcPr>
          <w:p w14:paraId="7798CE6A">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39</w:t>
            </w:r>
          </w:p>
        </w:tc>
        <w:tc>
          <w:tcPr>
            <w:tcW w:w="860" w:type="pct"/>
            <w:vAlign w:val="center"/>
          </w:tcPr>
          <w:p w14:paraId="3C33A9B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标前准备</w:t>
            </w:r>
          </w:p>
        </w:tc>
        <w:tc>
          <w:tcPr>
            <w:tcW w:w="3726" w:type="pct"/>
            <w:vAlign w:val="center"/>
          </w:tcPr>
          <w:p w14:paraId="250309B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1、本项目实行网上投标，采用电子投标文件。若供应商参与投标，自行承担投标一切费用。</w:t>
            </w:r>
          </w:p>
          <w:p w14:paraId="0099178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0C27C87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3、供应商将政采云电子交易客户端下载、安装完成后，可通过账号密码或CA登录客户端进行投标文件制作。在使用政采云投标客户端时，建议使用WIN7及以上操作系统。客户端请至新疆政府采购网（</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"http://www.ccgp-xinjiang.gov.cn/"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http://www.ccgp-xinjiang.gov.cn/</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）下载专区查看，如有问题可拨打政采云客户服务热线95763进行咨询。</w:t>
            </w:r>
          </w:p>
          <w:p w14:paraId="6D4363B0">
            <w:pPr>
              <w:rPr>
                <w:rFonts w:hint="eastAsia" w:ascii="仿宋" w:hAnsi="仿宋" w:eastAsia="仿宋" w:cs="仿宋"/>
                <w:color w:val="auto"/>
                <w:spacing w:val="14"/>
                <w:sz w:val="28"/>
                <w:szCs w:val="28"/>
                <w:highlight w:val="none"/>
              </w:rPr>
            </w:pPr>
            <w:r>
              <w:rPr>
                <w:rFonts w:hint="eastAsia" w:ascii="仿宋" w:hAnsi="仿宋" w:eastAsia="仿宋" w:cs="仿宋"/>
                <w:color w:val="auto"/>
                <w:sz w:val="28"/>
                <w:szCs w:val="28"/>
                <w:highlight w:val="none"/>
              </w:rPr>
              <w:t>4.本项目采用新疆政府采购网政采云不见面开标系统进行开评标，各合格投标人须及时办理CA锁，不见面开标系统中上传的投标文件须进行CA加密上传。各投标人须在开标时及时对所上传投标文件进行解密；投标人在制作投标文件时须关联相关评审点，如因此原因出现废标、扣分等情况，各投标人自行负责。</w:t>
            </w:r>
          </w:p>
        </w:tc>
      </w:tr>
      <w:tr w14:paraId="633F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pct"/>
            <w:vAlign w:val="center"/>
          </w:tcPr>
          <w:p w14:paraId="336B524C">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val="en-US" w:eastAsia="zh-CN"/>
              </w:rPr>
              <w:t>0</w:t>
            </w:r>
          </w:p>
        </w:tc>
        <w:tc>
          <w:tcPr>
            <w:tcW w:w="860" w:type="pct"/>
            <w:vAlign w:val="center"/>
          </w:tcPr>
          <w:p w14:paraId="3740F3E5">
            <w:pPr>
              <w:rPr>
                <w:rFonts w:hint="eastAsia" w:ascii="仿宋" w:hAnsi="仿宋" w:eastAsia="仿宋" w:cs="仿宋"/>
                <w:color w:val="auto"/>
                <w:sz w:val="28"/>
                <w:szCs w:val="28"/>
                <w:highlight w:val="none"/>
                <w:lang w:val="zh-CN" w:bidi="zh-CN"/>
              </w:rPr>
            </w:pPr>
            <w:r>
              <w:rPr>
                <w:rFonts w:hint="eastAsia" w:ascii="仿宋" w:hAnsi="仿宋" w:eastAsia="仿宋" w:cs="仿宋"/>
                <w:color w:val="auto"/>
                <w:sz w:val="28"/>
                <w:szCs w:val="28"/>
                <w:highlight w:val="none"/>
              </w:rPr>
              <w:t>投</w:t>
            </w:r>
            <w:r>
              <w:rPr>
                <w:rFonts w:hint="eastAsia" w:ascii="仿宋" w:hAnsi="仿宋" w:eastAsia="仿宋" w:cs="仿宋"/>
                <w:color w:val="auto"/>
                <w:sz w:val="28"/>
                <w:szCs w:val="28"/>
                <w:highlight w:val="none"/>
                <w:lang w:val="zh-CN"/>
              </w:rPr>
              <w:t>标文件解密时间</w:t>
            </w:r>
          </w:p>
        </w:tc>
        <w:tc>
          <w:tcPr>
            <w:tcW w:w="3726" w:type="pct"/>
            <w:vAlign w:val="center"/>
          </w:tcPr>
          <w:p w14:paraId="3E95583B">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供应商应当在响应文件提交截止时间前，将生成的“电子加密响应文件”上传递交至“政府采购云平台”。响应文件提交截止时间以后上传提交的响应文件将被“政府采购云平台”拒收。</w:t>
            </w:r>
          </w:p>
          <w:p w14:paraId="19E3DFBE">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1.本项目解密时长为:30分钟，开标时间后30分钟内(用“项目采购-开标评标”功能进行解密响应文件。若供应商在规定时间内未按时签到或解密的，视为无效投标。解密与加密响应文件须为同一个 CA。</w:t>
            </w:r>
          </w:p>
          <w:p w14:paraId="2D59EEC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2.签名时长为:10分钟，请各供应商务必在接到通知后的 10 分钟内,使用数字证书完成电子签名确认报价的流程。若在规定的10 分钟时间内，供应商未进行确认报价操作，将被视作对该报价无任何异议，后续流程将按照无异议情况正常推进。请各供应商严格遵守时间规定，以免影响项目进程及自身权益。</w:t>
            </w:r>
          </w:p>
        </w:tc>
      </w:tr>
      <w:tr w14:paraId="1116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413" w:type="pct"/>
            <w:vAlign w:val="center"/>
          </w:tcPr>
          <w:p w14:paraId="144F1548">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val="en-US" w:eastAsia="zh-CN"/>
              </w:rPr>
              <w:t>1</w:t>
            </w:r>
          </w:p>
        </w:tc>
        <w:tc>
          <w:tcPr>
            <w:tcW w:w="860" w:type="pct"/>
            <w:vAlign w:val="center"/>
          </w:tcPr>
          <w:p w14:paraId="38F017E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招标文件质疑时效</w:t>
            </w:r>
          </w:p>
        </w:tc>
        <w:tc>
          <w:tcPr>
            <w:tcW w:w="3726" w:type="pct"/>
            <w:vAlign w:val="center"/>
          </w:tcPr>
          <w:p w14:paraId="6DD14A2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供应商对采购文件提出质疑的时间：潜在供应商已依法获取其可质疑的采购文件的，可以对该文件提出质疑。对采购文件提出质疑的，应当在获取采购文件或者采购文件公告期限届满之日起7个工作日内提出。</w:t>
            </w:r>
          </w:p>
        </w:tc>
      </w:tr>
      <w:tr w14:paraId="52F6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413" w:type="pct"/>
            <w:vAlign w:val="center"/>
          </w:tcPr>
          <w:p w14:paraId="397E3297">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val="en-US" w:eastAsia="zh-CN"/>
              </w:rPr>
              <w:t>2</w:t>
            </w:r>
          </w:p>
        </w:tc>
        <w:tc>
          <w:tcPr>
            <w:tcW w:w="860" w:type="pct"/>
            <w:vAlign w:val="center"/>
          </w:tcPr>
          <w:p w14:paraId="3967A79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低价不正当竞争预防措施</w:t>
            </w:r>
          </w:p>
        </w:tc>
        <w:tc>
          <w:tcPr>
            <w:tcW w:w="3726" w:type="pct"/>
            <w:vAlign w:val="center"/>
          </w:tcPr>
          <w:p w14:paraId="056E70A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根据财库〔2026〕2 号，关于推动解决政府采购异常低价问题的通知，强化政府采购异常低价审查：</w:t>
            </w:r>
          </w:p>
          <w:p w14:paraId="3E4B592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（一）采购人应当在采购文件中明确，政府采购评审中出现下列情形之一的，评审委员会应当启动异常低价投标（响应）审查程序：</w:t>
            </w:r>
          </w:p>
          <w:p w14:paraId="4426FCC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1．投标（响应）报价低于全部通过符合性审查供应商投标（响应）报价平均值 </w:t>
            </w:r>
            <w:r>
              <w:rPr>
                <w:rFonts w:hint="eastAsia" w:ascii="仿宋" w:hAnsi="仿宋" w:eastAsia="仿宋" w:cs="仿宋"/>
                <w:color w:val="auto"/>
                <w:sz w:val="28"/>
                <w:szCs w:val="28"/>
                <w:highlight w:val="none"/>
                <w:lang w:val="en-US" w:eastAsia="zh-CN"/>
              </w:rPr>
              <w:t>50</w:t>
            </w:r>
            <w:r>
              <w:rPr>
                <w:rFonts w:hint="eastAsia" w:ascii="仿宋" w:hAnsi="仿宋" w:eastAsia="仿宋" w:cs="仿宋"/>
                <w:color w:val="auto"/>
                <w:sz w:val="28"/>
                <w:szCs w:val="28"/>
                <w:highlight w:val="none"/>
              </w:rPr>
              <w:t>%的，即投标（响应）报价&lt;全部通过符合性审查供应商投标（响应）报价平均值×</w:t>
            </w:r>
            <w:r>
              <w:rPr>
                <w:rFonts w:hint="eastAsia" w:ascii="仿宋" w:hAnsi="仿宋" w:eastAsia="仿宋" w:cs="仿宋"/>
                <w:color w:val="auto"/>
                <w:sz w:val="28"/>
                <w:szCs w:val="28"/>
                <w:highlight w:val="none"/>
                <w:lang w:val="en-US" w:eastAsia="zh-CN"/>
              </w:rPr>
              <w:t>50</w:t>
            </w:r>
            <w:r>
              <w:rPr>
                <w:rFonts w:hint="eastAsia" w:ascii="仿宋" w:hAnsi="仿宋" w:eastAsia="仿宋" w:cs="仿宋"/>
                <w:color w:val="auto"/>
                <w:sz w:val="28"/>
                <w:szCs w:val="28"/>
                <w:highlight w:val="none"/>
              </w:rPr>
              <w:t>%；</w:t>
            </w:r>
          </w:p>
          <w:p w14:paraId="4C397E6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2．投标（响应）报价低于通过符合性审查的次低报价供应商投标（响应）报价 </w:t>
            </w:r>
            <w:r>
              <w:rPr>
                <w:rFonts w:hint="eastAsia" w:ascii="仿宋" w:hAnsi="仿宋" w:eastAsia="仿宋" w:cs="仿宋"/>
                <w:color w:val="auto"/>
                <w:sz w:val="28"/>
                <w:szCs w:val="28"/>
                <w:highlight w:val="none"/>
                <w:lang w:val="en-US" w:eastAsia="zh-CN"/>
              </w:rPr>
              <w:t>50</w:t>
            </w:r>
            <w:r>
              <w:rPr>
                <w:rFonts w:hint="eastAsia" w:ascii="仿宋" w:hAnsi="仿宋" w:eastAsia="仿宋" w:cs="仿宋"/>
                <w:color w:val="auto"/>
                <w:sz w:val="28"/>
                <w:szCs w:val="28"/>
                <w:highlight w:val="none"/>
              </w:rPr>
              <w:t>%的，即投标（响应）报价&lt;通过符合性审查的次低报价供应商投标（响应）报价×</w:t>
            </w:r>
            <w:r>
              <w:rPr>
                <w:rFonts w:hint="eastAsia" w:ascii="仿宋" w:hAnsi="仿宋" w:eastAsia="仿宋" w:cs="仿宋"/>
                <w:color w:val="auto"/>
                <w:sz w:val="28"/>
                <w:szCs w:val="28"/>
                <w:highlight w:val="none"/>
                <w:lang w:val="en-US" w:eastAsia="zh-CN"/>
              </w:rPr>
              <w:t>50</w:t>
            </w:r>
            <w:r>
              <w:rPr>
                <w:rFonts w:hint="eastAsia" w:ascii="仿宋" w:hAnsi="仿宋" w:eastAsia="仿宋" w:cs="仿宋"/>
                <w:color w:val="auto"/>
                <w:sz w:val="28"/>
                <w:szCs w:val="28"/>
                <w:highlight w:val="none"/>
              </w:rPr>
              <w:t>%；</w:t>
            </w:r>
          </w:p>
          <w:p w14:paraId="45E1D48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3．投标（响应）报价低于采购项目最高限价 </w:t>
            </w:r>
            <w:r>
              <w:rPr>
                <w:rFonts w:hint="eastAsia" w:ascii="仿宋" w:hAnsi="仿宋" w:eastAsia="仿宋" w:cs="仿宋"/>
                <w:color w:val="auto"/>
                <w:sz w:val="28"/>
                <w:szCs w:val="28"/>
                <w:highlight w:val="none"/>
                <w:lang w:val="en-US" w:eastAsia="zh-CN"/>
              </w:rPr>
              <w:t>45</w:t>
            </w:r>
            <w:r>
              <w:rPr>
                <w:rFonts w:hint="eastAsia" w:ascii="仿宋" w:hAnsi="仿宋" w:eastAsia="仿宋" w:cs="仿宋"/>
                <w:color w:val="auto"/>
                <w:sz w:val="28"/>
                <w:szCs w:val="28"/>
                <w:highlight w:val="none"/>
              </w:rPr>
              <w:t>%的，即投标（响应）报价&lt;采购项目最高限价×</w:t>
            </w:r>
            <w:r>
              <w:rPr>
                <w:rFonts w:hint="eastAsia" w:ascii="仿宋" w:hAnsi="仿宋" w:eastAsia="仿宋" w:cs="仿宋"/>
                <w:color w:val="auto"/>
                <w:sz w:val="28"/>
                <w:szCs w:val="28"/>
                <w:highlight w:val="none"/>
                <w:lang w:val="en-US" w:eastAsia="zh-CN"/>
              </w:rPr>
              <w:t>45</w:t>
            </w:r>
            <w:r>
              <w:rPr>
                <w:rFonts w:hint="eastAsia" w:ascii="仿宋" w:hAnsi="仿宋" w:eastAsia="仿宋" w:cs="仿宋"/>
                <w:color w:val="auto"/>
                <w:sz w:val="28"/>
                <w:szCs w:val="28"/>
                <w:highlight w:val="none"/>
              </w:rPr>
              <w:t>%；</w:t>
            </w:r>
          </w:p>
          <w:p w14:paraId="0A03CE9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4．评审委员会基于专业判断，认为供应商报价过低，有可能影响产品质量或者不能诚信履约的其他</w:t>
            </w:r>
            <w:r>
              <w:rPr>
                <w:rFonts w:hint="eastAsia" w:ascii="仿宋" w:hAnsi="仿宋" w:eastAsia="仿宋" w:cs="仿宋"/>
                <w:color w:val="auto"/>
                <w:sz w:val="28"/>
                <w:szCs w:val="28"/>
                <w:highlight w:val="none"/>
                <w:lang w:val="en-US" w:eastAsia="zh-CN"/>
              </w:rPr>
              <w:t>情</w:t>
            </w:r>
            <w:r>
              <w:rPr>
                <w:rFonts w:hint="eastAsia" w:ascii="仿宋" w:hAnsi="仿宋" w:eastAsia="仿宋" w:cs="仿宋"/>
                <w:color w:val="auto"/>
                <w:sz w:val="28"/>
                <w:szCs w:val="28"/>
                <w:highlight w:val="none"/>
              </w:rPr>
              <w:t>形。</w:t>
            </w:r>
          </w:p>
          <w:p w14:paraId="017C6AF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5．相关法律法规对供应商报价有规定的，从其规定。</w:t>
            </w:r>
          </w:p>
          <w:p w14:paraId="54BA453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（二）评审委员会启动异常低价投标（响应）审查后，属于前述第1项至第 4 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 3 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拒绝或者变相拒绝提供有效书面说明，证明材料不能证明其报价合理性的，评审委员会应当将其作为无效投标（响应）处理。供应商书面说明应当签字及加盖公章确认，否则无效。书面说明的签字确认，供应商为法人的，由其法定代表人或者代理人签字确认；供应商为其他组织的，由其主要负责人或者代理人签字确认；供应商为自然人的，由其本人或者代理人签字确认。</w:t>
            </w:r>
          </w:p>
          <w:p w14:paraId="2B49654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异常低价投标（响应）审查的启动原因、审查意见和审查结果应当在评审报告</w:t>
            </w:r>
          </w:p>
          <w:p w14:paraId="4B07094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中记录，并随供应商提供的相关书面说明及证明材料，以及评审委员会有关互联网浏览、查询历史一并归档。</w:t>
            </w:r>
          </w:p>
        </w:tc>
      </w:tr>
      <w:tr w14:paraId="49FD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413" w:type="pct"/>
            <w:vAlign w:val="center"/>
          </w:tcPr>
          <w:p w14:paraId="49D25725">
            <w:pP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val="en-US" w:eastAsia="zh-CN"/>
              </w:rPr>
              <w:t>3</w:t>
            </w:r>
          </w:p>
        </w:tc>
        <w:tc>
          <w:tcPr>
            <w:tcW w:w="860" w:type="pct"/>
            <w:vAlign w:val="center"/>
          </w:tcPr>
          <w:p w14:paraId="256603A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合同履约</w:t>
            </w:r>
          </w:p>
        </w:tc>
        <w:tc>
          <w:tcPr>
            <w:tcW w:w="3726" w:type="pct"/>
            <w:vAlign w:val="center"/>
          </w:tcPr>
          <w:p w14:paraId="604830DB">
            <w:pPr>
              <w:spacing w:line="24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1．采购人与中标、成交供应商应当在中标、成交通知书发出之日起30日之内，按照采购文件确定的事项签订政府采购合同。</w:t>
            </w:r>
          </w:p>
          <w:p w14:paraId="3A6A47C8">
            <w:pPr>
              <w:spacing w:line="24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中标、成交通知书对采购人和中标、成交供应商均具有法律效力。中标、成交通知书发出后，采购人改变中标、成交结果的，或者中标、成交供应商放弃中标、成交项目的，应当依法承担法律责任。</w:t>
            </w:r>
          </w:p>
          <w:p w14:paraId="50AE0B49">
            <w:pPr>
              <w:spacing w:line="24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法律依据：《政府采购法》第46条 </w:t>
            </w:r>
          </w:p>
          <w:p w14:paraId="0F4DB34D">
            <w:pPr>
              <w:spacing w:line="24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如不按时签订视为拒绝和采购人签订合同，如属于无正当理由的，按《中华人民共和国政府采购法》相关条款进行行政处罚，给采购人造成损失的，将依法追究其责任。</w:t>
            </w:r>
          </w:p>
          <w:p w14:paraId="77CE96AE">
            <w:pPr>
              <w:spacing w:line="24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2．中标或者成交供应商拒绝与采购人签订合同的，采购人可以按照评审报告推荐的中标或者成交候选人名单排序，确定下一候选人为中标或者成交供应商，也可以重新开展政府采购活动。</w:t>
            </w:r>
          </w:p>
          <w:p w14:paraId="210EB657">
            <w:pPr>
              <w:spacing w:line="24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法律依据：《政府采购法实施条例》第49条</w:t>
            </w:r>
          </w:p>
          <w:p w14:paraId="71259621">
            <w:pPr>
              <w:numPr>
                <w:ilvl w:val="0"/>
                <w:numId w:val="0"/>
              </w:numPr>
              <w:spacing w:line="24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3.</w:t>
            </w:r>
            <w:r>
              <w:rPr>
                <w:rFonts w:hint="eastAsia" w:ascii="仿宋" w:hAnsi="仿宋" w:eastAsia="仿宋" w:cs="仿宋"/>
                <w:color w:val="auto"/>
                <w:sz w:val="28"/>
                <w:szCs w:val="28"/>
                <w:highlight w:val="none"/>
              </w:rPr>
              <w:t>政府采购项目的采购合同自签订之日起</w:t>
            </w:r>
            <w:r>
              <w:rPr>
                <w:rFonts w:hint="eastAsia" w:ascii="仿宋" w:hAnsi="仿宋" w:eastAsia="仿宋" w:cs="仿宋"/>
                <w:color w:val="auto"/>
                <w:sz w:val="28"/>
                <w:szCs w:val="28"/>
                <w:highlight w:val="none"/>
                <w:lang w:val="en-US" w:eastAsia="zh-CN"/>
              </w:rPr>
              <w:t>两</w:t>
            </w:r>
            <w:r>
              <w:rPr>
                <w:rFonts w:hint="eastAsia" w:ascii="仿宋" w:hAnsi="仿宋" w:eastAsia="仿宋" w:cs="仿宋"/>
                <w:color w:val="auto"/>
                <w:sz w:val="28"/>
                <w:szCs w:val="28"/>
                <w:highlight w:val="none"/>
              </w:rPr>
              <w:t>个工作日内，</w:t>
            </w:r>
            <w:r>
              <w:rPr>
                <w:rFonts w:hint="eastAsia" w:ascii="仿宋" w:hAnsi="仿宋" w:eastAsia="仿宋" w:cs="仿宋"/>
                <w:color w:val="auto"/>
                <w:sz w:val="28"/>
                <w:szCs w:val="28"/>
                <w:highlight w:val="none"/>
                <w:lang w:val="en-US" w:eastAsia="zh-CN"/>
              </w:rPr>
              <w:t>中标供应商</w:t>
            </w:r>
            <w:r>
              <w:rPr>
                <w:rFonts w:hint="eastAsia" w:ascii="仿宋" w:hAnsi="仿宋" w:eastAsia="仿宋" w:cs="仿宋"/>
                <w:color w:val="auto"/>
                <w:sz w:val="28"/>
                <w:szCs w:val="28"/>
                <w:highlight w:val="none"/>
              </w:rPr>
              <w:t>须向我公司提供一份合同扫描件(PDF格式),备注项目名称及编号，发送至邮箱xjzy@xjzeyi.com。用于合同备案，逾期未提供，后果自负。</w:t>
            </w:r>
          </w:p>
          <w:p w14:paraId="20D23270">
            <w:pPr>
              <w:spacing w:line="24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法律依据：《政府采购法实施条例》第50条</w:t>
            </w:r>
          </w:p>
        </w:tc>
      </w:tr>
      <w:tr w14:paraId="3D03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413" w:type="pct"/>
            <w:vAlign w:val="center"/>
          </w:tcPr>
          <w:p w14:paraId="07B4D721">
            <w:pP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44</w:t>
            </w:r>
          </w:p>
        </w:tc>
        <w:tc>
          <w:tcPr>
            <w:tcW w:w="860" w:type="pct"/>
            <w:vAlign w:val="center"/>
          </w:tcPr>
          <w:p w14:paraId="663D2C56">
            <w:pPr>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lang w:val="en-US" w:eastAsia="zh-CN"/>
              </w:rPr>
              <w:t>是否适用本国产品标准</w:t>
            </w:r>
          </w:p>
        </w:tc>
        <w:tc>
          <w:tcPr>
            <w:tcW w:w="3726" w:type="pct"/>
            <w:vAlign w:val="center"/>
          </w:tcPr>
          <w:p w14:paraId="5E686671">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☑是  </w:t>
            </w:r>
          </w:p>
          <w:p w14:paraId="1B7E9093">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本项目采购本国产品。供应商须提供《本国产品声明函》或者相关证明材料（二者择一即可），方可享受20%价格扣除，其投标报价给予20% 的价格扣除，以扣除后的价格参与评审。</w:t>
            </w:r>
          </w:p>
          <w:p w14:paraId="0D508739">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未提供任何材料的，不享受价格扣除。</w:t>
            </w:r>
          </w:p>
          <w:p w14:paraId="10C4C7FB">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p w14:paraId="674A6571">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不适用国产产品政策的 9 类产品</w:t>
            </w:r>
          </w:p>
          <w:p w14:paraId="37710906">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1、房屋和构筑物（工程类，不按货物算）</w:t>
            </w:r>
          </w:p>
          <w:p w14:paraId="37320A18">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2、文物和陈列品</w:t>
            </w:r>
          </w:p>
          <w:p w14:paraId="6D79F1CC">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3、图书和档案</w:t>
            </w:r>
          </w:p>
          <w:p w14:paraId="2185EFF8">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4、特种动植物</w:t>
            </w:r>
          </w:p>
          <w:p w14:paraId="4BC3E0A9">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5、农林牧渔业产品（初级农产品、原粮、原药材）</w:t>
            </w:r>
          </w:p>
          <w:p w14:paraId="3F7F4B67">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6、矿与矿物（原矿、初级矿产品）</w:t>
            </w:r>
          </w:p>
          <w:p w14:paraId="6D62CEA9">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7、电力、城市燃气、蒸汽和热水、水</w:t>
            </w:r>
          </w:p>
          <w:p w14:paraId="5D8CCFAE">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8、食品、饮料和烟草原料（原料，非成品）</w:t>
            </w:r>
          </w:p>
          <w:p w14:paraId="3C1A80D2">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9、无形资产（专利、软件、著作权等）</w:t>
            </w:r>
          </w:p>
          <w:p w14:paraId="21E030DA">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注：初级农产品排除在外，加工品不在排除列表里，必须执行本国产品政策。</w:t>
            </w:r>
          </w:p>
          <w:p w14:paraId="11164D4D">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政策依据：</w:t>
            </w:r>
          </w:p>
          <w:p w14:paraId="29CFC8D0">
            <w:pPr>
              <w:keepNext w:val="0"/>
              <w:keepLines w:val="0"/>
              <w:pageBreakBefore w:val="0"/>
              <w:widowControl w:val="0"/>
              <w:kinsoku/>
              <w:wordWrap/>
              <w:overflowPunct/>
              <w:topLinePunct w:val="0"/>
              <w:autoSpaceDE/>
              <w:autoSpaceDN/>
              <w:bidi w:val="0"/>
              <w:adjustRightInd/>
              <w:snapToGrid/>
              <w:spacing w:before="32" w:beforeLines="10" w:line="264" w:lineRule="auto"/>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财库〔2025〕30号“关于贯彻落实《国务院办公厅关于在政府采购中实施本国产品标准及相关政策的通知》的意见”</w:t>
            </w:r>
          </w:p>
          <w:p w14:paraId="517A53D7">
            <w:pPr>
              <w:spacing w:line="24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4"/>
                <w:szCs w:val="24"/>
                <w:highlight w:val="none"/>
                <w:lang w:val="en-US" w:eastAsia="zh-CN"/>
              </w:rPr>
              <w:t>国办发〔2025〕34号《国务院办公厅关于在政府采购中实施本国产品标准及相关政策的通知》</w:t>
            </w:r>
          </w:p>
        </w:tc>
      </w:tr>
    </w:tbl>
    <w:p w14:paraId="17E8E5F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注：本表内容与招标文件其它内容不一致的，应当以本表内容为准。</w:t>
      </w:r>
      <w:bookmarkStart w:id="33" w:name="EB61dc4c9ac9c04154b29a6c247670320a"/>
      <w:r>
        <w:rPr>
          <w:rFonts w:hint="eastAsia" w:ascii="仿宋" w:hAnsi="仿宋" w:eastAsia="仿宋" w:cs="仿宋"/>
          <w:color w:val="auto"/>
          <w:sz w:val="28"/>
          <w:szCs w:val="28"/>
          <w:highlight w:val="none"/>
        </w:rPr>
        <w:t xml:space="preserve"> </w:t>
      </w:r>
      <w:bookmarkEnd w:id="33"/>
    </w:p>
    <w:p w14:paraId="5CCC024F">
      <w:pPr>
        <w:jc w:val="center"/>
        <w:outlineLvl w:val="1"/>
        <w:rPr>
          <w:rFonts w:hint="eastAsia" w:ascii="仿宋" w:hAnsi="仿宋" w:eastAsia="仿宋" w:cs="仿宋"/>
          <w:color w:val="auto"/>
          <w:sz w:val="28"/>
          <w:szCs w:val="28"/>
          <w:highlight w:val="none"/>
        </w:rPr>
      </w:pPr>
      <w:r>
        <w:rPr>
          <w:rFonts w:hint="eastAsia" w:ascii="仿宋" w:hAnsi="仿宋" w:eastAsia="仿宋" w:cs="仿宋"/>
          <w:color w:val="auto"/>
          <w:sz w:val="22"/>
          <w:szCs w:val="22"/>
          <w:highlight w:val="none"/>
        </w:rPr>
        <w:br w:type="page"/>
      </w:r>
      <w:bookmarkStart w:id="34" w:name="_Toc17418"/>
      <w:bookmarkStart w:id="35" w:name="_Toc30199"/>
      <w:r>
        <w:rPr>
          <w:rFonts w:hint="eastAsia" w:ascii="仿宋" w:hAnsi="仿宋" w:eastAsia="仿宋" w:cs="仿宋"/>
          <w:b/>
          <w:bCs/>
          <w:color w:val="auto"/>
          <w:sz w:val="28"/>
          <w:szCs w:val="28"/>
          <w:highlight w:val="none"/>
        </w:rPr>
        <w:t>投标人须知正文部分</w:t>
      </w:r>
      <w:bookmarkEnd w:id="0"/>
      <w:bookmarkEnd w:id="34"/>
      <w:bookmarkEnd w:id="35"/>
    </w:p>
    <w:p w14:paraId="19818404">
      <w:pPr>
        <w:pStyle w:val="25"/>
        <w:outlineLvl w:val="2"/>
        <w:rPr>
          <w:rStyle w:val="32"/>
          <w:rFonts w:hint="eastAsia" w:ascii="仿宋" w:hAnsi="仿宋" w:eastAsia="仿宋" w:cs="仿宋"/>
          <w:bCs/>
          <w:color w:val="auto"/>
          <w:sz w:val="28"/>
          <w:szCs w:val="28"/>
          <w:highlight w:val="none"/>
        </w:rPr>
      </w:pPr>
      <w:bookmarkStart w:id="36" w:name="_Toc30893"/>
      <w:bookmarkStart w:id="37" w:name="_Toc9264"/>
      <w:bookmarkStart w:id="38" w:name="_Toc519111260"/>
      <w:r>
        <w:rPr>
          <w:rStyle w:val="32"/>
          <w:rFonts w:hint="eastAsia" w:ascii="仿宋" w:hAnsi="仿宋" w:eastAsia="仿宋" w:cs="仿宋"/>
          <w:bCs/>
          <w:color w:val="auto"/>
          <w:sz w:val="28"/>
          <w:szCs w:val="28"/>
          <w:highlight w:val="none"/>
        </w:rPr>
        <w:t>一、总则</w:t>
      </w:r>
      <w:bookmarkEnd w:id="36"/>
      <w:bookmarkEnd w:id="37"/>
      <w:bookmarkEnd w:id="38"/>
    </w:p>
    <w:p w14:paraId="18B255D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1.说明</w:t>
      </w:r>
    </w:p>
    <w:p w14:paraId="0C93B80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1.1本招标文件适用于本次招标采购项目的招标投标。</w:t>
      </w:r>
    </w:p>
    <w:p w14:paraId="1A08A53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2.定义</w:t>
      </w:r>
    </w:p>
    <w:p w14:paraId="58B7D8D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2.1“采购人”见“投标人须知前附表”。</w:t>
      </w:r>
    </w:p>
    <w:p w14:paraId="2005CAF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2.2“采购代理机构”见“投标人须知前附表”。</w:t>
      </w:r>
    </w:p>
    <w:p w14:paraId="1947C43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2.3“招标货物”指招标文件第三部分所述所有货物。</w:t>
      </w:r>
    </w:p>
    <w:p w14:paraId="71402A9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2.4“潜在投标人”指符合招标文件各项规定的投标人。</w:t>
      </w:r>
    </w:p>
    <w:p w14:paraId="45AE687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2.5“投标人”指符合招标文件规定并参加投标的投标人。</w:t>
      </w:r>
    </w:p>
    <w:p w14:paraId="4EEADBC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2.6“投标人公章”在投标文件中指与投标人标准公章一致的投标人签章。</w:t>
      </w:r>
    </w:p>
    <w:p w14:paraId="22FE116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3.合格投标人的条件</w:t>
      </w:r>
    </w:p>
    <w:p w14:paraId="07EE411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3.1具有本项目生产、制造、供应或实施能力，符合、承认并承诺履行本文件各项规定的国内投标人均可参加投标。</w:t>
      </w:r>
    </w:p>
    <w:p w14:paraId="5A42AF7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3.2遵守有关的国家法律、法规和条例，具备《中华人民共和国政府采购法》和本文件中规定的条件：</w:t>
      </w:r>
    </w:p>
    <w:p w14:paraId="4B52725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1)具有独立承担民事责任的能力； </w:t>
      </w:r>
    </w:p>
    <w:p w14:paraId="34F8AAE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2)具有良好的商业信誉和健全的财务会计制度；</w:t>
      </w:r>
    </w:p>
    <w:p w14:paraId="42C2189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3)具有履行合同所必需的设备和专业技术能力；</w:t>
      </w:r>
    </w:p>
    <w:p w14:paraId="2B36588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4)具有依法缴纳税收和社会保障资金的良好记录；</w:t>
      </w:r>
    </w:p>
    <w:p w14:paraId="5EEF470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5)参加政府采购活动前三年内，在经营活动中没有重大违法记录；</w:t>
      </w:r>
    </w:p>
    <w:p w14:paraId="1C84A76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6)法律、行政法规规定的其他条件；</w:t>
      </w:r>
    </w:p>
    <w:p w14:paraId="28177F7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7)具有本招标文件第二部分“投标人须知前附表”中规定的资格条件。</w:t>
      </w:r>
    </w:p>
    <w:p w14:paraId="2882295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3.3投标人之间如果存在下列情形之一的，不得同时参加同一包（标段）或者不分包（标段）的同一项目投标：</w:t>
      </w:r>
    </w:p>
    <w:p w14:paraId="2479978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3.3.1法定代表人为同一个人的两个及两个以上法人；</w:t>
      </w:r>
    </w:p>
    <w:p w14:paraId="67B7A9A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3.3.2母公司、全资子公司及其控股公司；</w:t>
      </w:r>
    </w:p>
    <w:p w14:paraId="0BF3622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3.3.3参加投标的其他组织之间存在特殊的利害关系的；</w:t>
      </w:r>
    </w:p>
    <w:p w14:paraId="130A264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3.3.4法律和行政法规规定的其他情形。</w:t>
      </w:r>
    </w:p>
    <w:p w14:paraId="076B21A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3.4投标人委托代理人须持有《法定代表人授权委托书》。</w:t>
      </w:r>
    </w:p>
    <w:p w14:paraId="33F79FF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3.5本次招标是否允许由两个以上投标人组成一个联合体以一个投标人身份共同投标，按照招标文件第二部分“投标人须知前附表”中规定。如果允许，除均应符合上述规定外，还应符合下列要求：</w:t>
      </w:r>
    </w:p>
    <w:p w14:paraId="3DBFE64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联合体投标应提供“联合投标协议书”，该协议书对联合投标各方均具有法律约束力。联合投标体必须确定其中一方为投标的全权代表参加投标活动，并承担投标及履约活动中的全部责任与义务，且联合体各方无论是否实际参加、发生的情形怎样，一旦该联合体实际开始投标，联合体各方均应当就本次采购所引起或相关的任何或所有事项、义务、责任、损失等承担连带责任。申请参与本项目联合投标成员各自均应具备政府有权机构核发的有效营业执照；均应是自主经营、独立核算、处于持续正常经营状态的经济实体。</w:t>
      </w:r>
    </w:p>
    <w:p w14:paraId="05F2D43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2）联合体各方中至少应当有一方对应满足本项目规定的相应资质条件，并且联合体投标人整体应当符合本项目的资质要求，否则，其提交的联合投标将被拒绝。</w:t>
      </w:r>
    </w:p>
    <w:p w14:paraId="4FC41D5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3）由不同专业的投标人组成的联合体, 首先以投标的全权代表方的应答材料作为认定资质以及商务评审的依据；涉及行业专属的资质,按照所属行业所对应的投标人的应答材料确定。</w:t>
      </w:r>
    </w:p>
    <w:p w14:paraId="31A5966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联合体中标后，合同应由各成员的合法授权代表签字并加盖各成员公章，以便对联合体成员作为整体和他们各自作为独立体均具有法律约束力，但若该等签字或公章不齐全或缺乏，该联合体的牵头人的签署或类似的意思表示人具有代表该联合体的签署或意思表示的法律效力，并且据此各成员为履行合同应向采购代理机构与采购人承担连带责任。</w:t>
      </w:r>
    </w:p>
    <w:p w14:paraId="3886B49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5）联合体或其成员不得将其在合同项下的权利或义务全部或部分转让给第三人，有关分包事项或服务委托等须事先取得采购代理机构书面同意并且须遵守相关法律、法规、本次招标的全部相关规定。</w:t>
      </w:r>
    </w:p>
    <w:p w14:paraId="22CA1AC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6）联合体各方均不得同时再以自己独立的名义单独投标，也不得再同时参加其他的联合体投标。若该等情形被发现，其单独的投标和与此有关的联合体的投标均将被一并拒绝。</w:t>
      </w:r>
    </w:p>
    <w:p w14:paraId="3E715686">
      <w:pPr>
        <w:pStyle w:val="13"/>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3.6投标人不得与采购人、采购代理机构等有利害关系。</w:t>
      </w:r>
    </w:p>
    <w:p w14:paraId="1D11288D">
      <w:pPr>
        <w:pStyle w:val="13"/>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3.7投标人合法从采购代理机构处获得招标文件。</w:t>
      </w:r>
    </w:p>
    <w:p w14:paraId="364D62D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4.投标费用</w:t>
      </w:r>
    </w:p>
    <w:p w14:paraId="51D5C61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4.1投标人应承担所有与准备和参加投标有关的费用。</w:t>
      </w:r>
    </w:p>
    <w:p w14:paraId="111D677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5.纪律</w:t>
      </w:r>
    </w:p>
    <w:p w14:paraId="301693B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5.1投标人的投标行为应遵守国家的有关法律、法规和规章。</w:t>
      </w:r>
    </w:p>
    <w:p w14:paraId="6D2DFE1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5.2投标人不得相互串通投标报价，不得妨碍其他投标人的公平竞争，不得损害采购人或其他投标人的合法权益，投标人不得以向采购人、评标委员会成员行贿或者采取其他不正当手段谋取中标。</w:t>
      </w:r>
    </w:p>
    <w:p w14:paraId="1879A90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5.2.1有下列情形之一的，属于投标人相互串通投标：</w:t>
      </w:r>
    </w:p>
    <w:p w14:paraId="0E57126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5.2.1.1投标人之间协商投标报价等投标文件的实质性内容；</w:t>
      </w:r>
    </w:p>
    <w:p w14:paraId="3D6968C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5.2.1.2投标人之间约定中标人；</w:t>
      </w:r>
    </w:p>
    <w:p w14:paraId="0FE5B46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5.2.1.3投标人之间约定部分投标人放弃投标或者中标；</w:t>
      </w:r>
    </w:p>
    <w:p w14:paraId="7A475F0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5.2.1.4属于同一集团、协会、商会等组织成员的投标人按照该组织要求协同投标；</w:t>
      </w:r>
    </w:p>
    <w:p w14:paraId="1F16BBC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5.2.1.5投标人之间为谋取中标或者排斥特定投标人而采取的其他联合行动。</w:t>
      </w:r>
    </w:p>
    <w:p w14:paraId="462DDE5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5.2.2有下列情形之一的，视为投标人相互串通投标：</w:t>
      </w:r>
    </w:p>
    <w:p w14:paraId="68B67EE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5.2.2.1不同投标人的投标文件由同一单位或者个人编制；</w:t>
      </w:r>
    </w:p>
    <w:p w14:paraId="3C30181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5.2.2.2不同投标人委托同一单位或者个人办理投标事宜；</w:t>
      </w:r>
    </w:p>
    <w:p w14:paraId="1C19544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5.2.2.3不同投标人的投标文件载明的项目管理成员为同一人；</w:t>
      </w:r>
    </w:p>
    <w:p w14:paraId="12C3999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5.2.2.4不同投标人的投标文件异常一致或者投标报价呈规律性差异；</w:t>
      </w:r>
    </w:p>
    <w:p w14:paraId="74E7EF3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5.2.2.5不同投标人的投标文件相互混装；</w:t>
      </w:r>
    </w:p>
    <w:p w14:paraId="00D2495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5.2.2.6不同投标人的投标保证金从同一单位或者个人的账户转出。</w:t>
      </w:r>
    </w:p>
    <w:p w14:paraId="1E542F0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6.通知</w:t>
      </w:r>
    </w:p>
    <w:p w14:paraId="1E9DD22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6.1对与本项目有关的通知，采购代理机构将以书面或邮件形式向潜在投标人发出。收到通知的投标人须立即予以回复确认，但投标人未回复或采购代理机构未收到回复时，并不应当被理解为采购代理机构知道或应当知道投标人是否收到通知。因登记有误、传真线路故障或其它任何意外情形，导致所发出的通知延迟送达或无法到达投标人，采购代理机构不因此承担任何责任，有关的招标活动可以继续有效地进行。</w:t>
      </w:r>
      <w:bookmarkStart w:id="39" w:name="EB025ec78c141c4184a9d3fd53d6ec75bd"/>
    </w:p>
    <w:p w14:paraId="2793EBA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7偏离</w:t>
      </w:r>
    </w:p>
    <w:p w14:paraId="1A77835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偏离是指投标文件不满足或者不响应招标文件的要求。偏离分为偏离招标文件的实质性要求和条件及偏离招标文件的非实质性要求和条件。</w:t>
      </w:r>
    </w:p>
    <w:p w14:paraId="75F6437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投标文件偏离招标文件的实质性要求和条件，在评标时其投标将被否决。</w:t>
      </w:r>
    </w:p>
    <w:p w14:paraId="03865804">
      <w:pPr>
        <w:pStyle w:val="27"/>
        <w:ind w:firstLine="22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投标文件偏离招标文件的非实质性要求和条件见投标人须知前附表。</w:t>
      </w:r>
    </w:p>
    <w:bookmarkEnd w:id="39"/>
    <w:p w14:paraId="53EB3EA2">
      <w:pPr>
        <w:pStyle w:val="25"/>
        <w:outlineLvl w:val="2"/>
        <w:rPr>
          <w:rStyle w:val="32"/>
          <w:rFonts w:hint="eastAsia" w:ascii="仿宋" w:hAnsi="仿宋" w:eastAsia="仿宋" w:cs="仿宋"/>
          <w:bCs/>
          <w:color w:val="auto"/>
          <w:sz w:val="28"/>
          <w:szCs w:val="28"/>
          <w:highlight w:val="none"/>
        </w:rPr>
      </w:pPr>
      <w:bookmarkStart w:id="40" w:name="_Toc30676"/>
      <w:bookmarkStart w:id="41" w:name="_Toc519111261"/>
      <w:bookmarkStart w:id="42" w:name="_Toc5663"/>
      <w:r>
        <w:rPr>
          <w:rStyle w:val="32"/>
          <w:rFonts w:hint="eastAsia" w:ascii="仿宋" w:hAnsi="仿宋" w:eastAsia="仿宋" w:cs="仿宋"/>
          <w:bCs/>
          <w:color w:val="auto"/>
          <w:sz w:val="28"/>
          <w:szCs w:val="28"/>
          <w:highlight w:val="none"/>
        </w:rPr>
        <w:t>二、招标文件</w:t>
      </w:r>
      <w:bookmarkEnd w:id="40"/>
      <w:bookmarkEnd w:id="41"/>
      <w:bookmarkEnd w:id="42"/>
    </w:p>
    <w:p w14:paraId="02CEBB0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8.招标文件组成</w:t>
      </w:r>
    </w:p>
    <w:p w14:paraId="4FE8A2E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招标文件由招标文件目录所列内容组成。</w:t>
      </w:r>
    </w:p>
    <w:p w14:paraId="2ABF333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9.踏勘现场</w:t>
      </w:r>
    </w:p>
    <w:p w14:paraId="041CC30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9.1本项目是否统一组织投标人踏勘现场见招标文件第二部分“投标人须知前附表”中的规定。无论是否统一组织，投标人应对供货现场和周围环境进行勘察，以获取编制投标文件所需的资料。</w:t>
      </w:r>
    </w:p>
    <w:p w14:paraId="5E72117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9.2踏勘现场所发生的费用由投标人自行承担。采购人向投标人提供的有关供货现场的资料和数据，是采购人现有的能使投标人利用的资料。采购人对投标人由此而做出的推论、理解和结论概不负责。投标人未到供货现场实地踏勘的，中标后签订合同时和履约过程中，不得以不完全了解现场情况为由，提出任何形式的增加合同价款或索赔的要求。</w:t>
      </w:r>
    </w:p>
    <w:p w14:paraId="591612F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9.3除非有特殊要求，招标文件不单独提供供货使用地的自然环境、气候条件、公用设施等情况，投标人被视为熟悉上述与履行合同有关的一切情况。</w:t>
      </w:r>
    </w:p>
    <w:p w14:paraId="3EE1B7A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9.4除采购人原因外，投标人自行负责在踏勘现场中所发生的人员伤亡和财产损失。</w:t>
      </w:r>
    </w:p>
    <w:p w14:paraId="744ECD5D">
      <w:pPr>
        <w:rPr>
          <w:rFonts w:hint="eastAsia" w:ascii="仿宋" w:hAnsi="仿宋" w:eastAsia="仿宋" w:cs="仿宋"/>
          <w:bCs/>
          <w:color w:val="auto"/>
          <w:sz w:val="28"/>
          <w:szCs w:val="28"/>
          <w:highlight w:val="none"/>
        </w:rPr>
      </w:pPr>
      <w:r>
        <w:rPr>
          <w:rFonts w:hint="eastAsia" w:ascii="仿宋" w:hAnsi="仿宋" w:eastAsia="仿宋" w:cs="仿宋"/>
          <w:color w:val="auto"/>
          <w:sz w:val="28"/>
          <w:szCs w:val="28"/>
          <w:highlight w:val="none"/>
        </w:rPr>
        <w:t>10.知识产权</w:t>
      </w:r>
    </w:p>
    <w:p w14:paraId="0E29713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投标人须保证，采购人在中华人民共和国境内使用投标货物、资料、技术、服务或其任何一部分时，享有不受限制的无偿使用权，不会产生因第三方提出侵犯其专利权、商标权或其它知识产权而引起的法律或经济纠纷。如投标人不拥有相应的知识产权，则在投标报价中必须包括合法获取该知识产权的一切相关费用。如因此导致采购人损失的，投标人须承担全部赔偿责任。</w:t>
      </w:r>
    </w:p>
    <w:p w14:paraId="66E9B56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10.2投标人如欲在项目实施过程中采用自有知识成果，须在投标文件中声明，并提供相关知识产权证明文件。使用该知识成果后，投标人须提供开发接口和开发手册等技术文档。</w:t>
      </w:r>
    </w:p>
    <w:p w14:paraId="2EE2245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11.招标文件的澄清和修改</w:t>
      </w:r>
    </w:p>
    <w:p w14:paraId="3499D0B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投标人如果对招标文件有疑问或要求进行澄清的，应按照招标文件第二部分“投标人须知前附表”中规定向采购代理机构提出。提出后，请投标人及时领取答疑文件或澄清文件。必要时，采购代理机构将组织相关专家召开答疑会，如召开，答疑会安排另行通知。</w:t>
      </w:r>
    </w:p>
    <w:p w14:paraId="0BE9AB0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投标人在规定的时间内未对招标文件提出疑问或要求澄清的，采购代理机构将视其为同意，对在“答疑接受时间”后就招标文件内容提出的疑问及澄清要求将不予受理。</w:t>
      </w:r>
    </w:p>
    <w:p w14:paraId="1E538A4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11.2无论出于何种原因，采购代理机构主动或出于解答投标人疑问对已发出的招标文件进行必要澄清或修改的，应当在招标文件要求提交投标文件截止时间15日前，以当面交接、邮寄、传真或电子邮件、网站披露等其中至少一种方式，向潜在投标人发出澄清、修改的补充文件。需要为此调整投标文件提交截止时间的，应当重新确定，并就变更后的投标截止时间重新发出通知。</w:t>
      </w:r>
    </w:p>
    <w:p w14:paraId="05EDACD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特殊情况下，采购代理机构发布澄清、修改文件后，征得投标人同意，可不改变投标截止时间和开标时间。</w:t>
      </w:r>
    </w:p>
    <w:p w14:paraId="0A0CEAD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10.3采购代理机构一旦对招标文件作出了澄清、修改，即刻发生效力，采购代理机构有关的补充文件，将作为招标文件的组成部分，对所有现实的或潜在的投标人均具有约束力，而无论是否已经实际收到上述文件。同时，采购代理机构和投标人的权利及义务将受到新的截止期的约束。</w:t>
      </w:r>
    </w:p>
    <w:p w14:paraId="2C9AAE39">
      <w:pP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10.4采购代理机构对招标文件作出的澄清、修改以书面或邮件形式向潜在投标人发出。因登记有误等其它任何意外情形，导致投标人未及时获取的，采购代理机构不因此承担任何责任，且有关的招标活动继续有效地进行。当招标文件的澄清、修改及进行其他答复等就同一内容的表述不一致时，以最后发布的内容为准。</w:t>
      </w:r>
    </w:p>
    <w:p w14:paraId="451A924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10.5澄清、修改文件发出后，投标人必须使用最新的答疑、澄清文件制作投标文件，否则后果自负。</w:t>
      </w:r>
      <w:bookmarkStart w:id="43" w:name="EB95389bfbf74c4fd3a96f81cde95c43cd"/>
      <w:r>
        <w:rPr>
          <w:rFonts w:hint="eastAsia" w:ascii="仿宋" w:hAnsi="仿宋" w:eastAsia="仿宋" w:cs="仿宋"/>
          <w:color w:val="auto"/>
          <w:sz w:val="28"/>
          <w:szCs w:val="28"/>
          <w:highlight w:val="none"/>
        </w:rPr>
        <w:t xml:space="preserve"> </w:t>
      </w:r>
      <w:bookmarkEnd w:id="43"/>
      <w:bookmarkStart w:id="44" w:name="EB632682dc7bd24f9697b91bdadf704a7c"/>
      <w:r>
        <w:rPr>
          <w:rFonts w:hint="eastAsia" w:ascii="仿宋" w:hAnsi="仿宋" w:eastAsia="仿宋" w:cs="仿宋"/>
          <w:color w:val="auto"/>
          <w:sz w:val="28"/>
          <w:szCs w:val="28"/>
          <w:highlight w:val="none"/>
        </w:rPr>
        <w:t xml:space="preserve"> </w:t>
      </w:r>
      <w:bookmarkEnd w:id="44"/>
      <w:bookmarkStart w:id="45" w:name="EB0ee97c2df9374b61990b315328f26394"/>
      <w:r>
        <w:rPr>
          <w:rFonts w:hint="eastAsia" w:ascii="仿宋" w:hAnsi="仿宋" w:eastAsia="仿宋" w:cs="仿宋"/>
          <w:color w:val="auto"/>
          <w:sz w:val="28"/>
          <w:szCs w:val="28"/>
          <w:highlight w:val="none"/>
        </w:rPr>
        <w:t xml:space="preserve"> </w:t>
      </w:r>
      <w:bookmarkEnd w:id="45"/>
    </w:p>
    <w:p w14:paraId="276B8CC2">
      <w:pPr>
        <w:pStyle w:val="25"/>
        <w:outlineLvl w:val="2"/>
        <w:rPr>
          <w:rStyle w:val="32"/>
          <w:rFonts w:hint="eastAsia" w:ascii="仿宋" w:hAnsi="仿宋" w:eastAsia="仿宋" w:cs="仿宋"/>
          <w:bCs/>
          <w:color w:val="auto"/>
          <w:sz w:val="28"/>
          <w:szCs w:val="28"/>
          <w:highlight w:val="none"/>
        </w:rPr>
      </w:pPr>
      <w:bookmarkStart w:id="46" w:name="_Toc519111262"/>
      <w:bookmarkStart w:id="47" w:name="_Toc14305"/>
      <w:bookmarkStart w:id="48" w:name="_Toc28075"/>
      <w:r>
        <w:rPr>
          <w:rStyle w:val="32"/>
          <w:rFonts w:hint="eastAsia" w:ascii="仿宋" w:hAnsi="仿宋" w:eastAsia="仿宋" w:cs="仿宋"/>
          <w:bCs/>
          <w:color w:val="auto"/>
          <w:sz w:val="28"/>
          <w:szCs w:val="28"/>
          <w:highlight w:val="none"/>
        </w:rPr>
        <w:t>三、投标文件</w:t>
      </w:r>
      <w:bookmarkEnd w:id="46"/>
      <w:bookmarkEnd w:id="47"/>
      <w:bookmarkEnd w:id="48"/>
    </w:p>
    <w:p w14:paraId="6403C0D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11.投标文件的语言及计量单位</w:t>
      </w:r>
    </w:p>
    <w:p w14:paraId="7F092A0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11.1投标人提交的投标文件（包括技术文件和资料、图纸中的说明）以及投标人与采购代理机构就有关投标的所有来往函电均应使用中文简体字。</w:t>
      </w:r>
    </w:p>
    <w:p w14:paraId="1D9E446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11.2原版为外文的证书类文件，以及由外国人作出的本人签名、外国公司的名称或外国印章等可以是外文，但应当提供中文翻译文件并加盖投标人公章。必要时评标委员会可以要求投标人提供附有公证书的中文翻译文件或者与原版文件签章相一致的中文翻译文件。原版为外文的证书类、证明类文件，与投标人名称或其他实际情况不符的，投标人应当提供相关证明文件。</w:t>
      </w:r>
    </w:p>
    <w:p w14:paraId="5BB318F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11.3除非招标文件另有规定，投标文件所使用的计量单位，应使用国家法定计量单位。</w:t>
      </w:r>
    </w:p>
    <w:p w14:paraId="00D22EC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11.4对违反上述规定情形的，评标委员会有权要求投标人限期提供相应文件或决定对其投标予以拒绝。</w:t>
      </w:r>
    </w:p>
    <w:p w14:paraId="1A5A2B3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11.5电报、电话、传真形式的投标概不接受。投标人的投标文件一律不予退还。</w:t>
      </w:r>
    </w:p>
    <w:p w14:paraId="1039A8E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12.投标文件组成及编制</w:t>
      </w:r>
    </w:p>
    <w:p w14:paraId="0F11F19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12.1投标文件的组成详见第六部分“投标文件格式”。</w:t>
      </w:r>
    </w:p>
    <w:p w14:paraId="3E6ED2A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12.2投标文件的编制</w:t>
      </w:r>
    </w:p>
    <w:p w14:paraId="3C939B0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12.2.1投标文件按照招标文件中明确的投标文件目录和格式进行编制，保证目录清晰、内容完整。如有必要，可以增加附页，作为投标文件的组成部分。</w:t>
      </w:r>
    </w:p>
    <w:p w14:paraId="05B0568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12.2.2投标文件应当对招标文件有关交货期、投标有效期、采购需求、采购内容等实质性内容作出响应。投标文件在满足招标文件实质性要求的基础上，可以提出比招标文件要求更有利于招标人的承诺。   </w:t>
      </w:r>
    </w:p>
    <w:p w14:paraId="58F46F3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12.3.3投标单位可对供货现场以及其范围环境进行考察，以获取有关编制投标文件和签署实施合同所需的各项资料，投标单位应承担现场考察的费用、责任和风险。</w:t>
      </w:r>
    </w:p>
    <w:p w14:paraId="345B08E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13.5投标单位编制投标文件时，应当如实在技术响应表和商务响应表中填写响应情况。</w:t>
      </w:r>
    </w:p>
    <w:p w14:paraId="2370D4F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13.投标报价</w:t>
      </w:r>
    </w:p>
    <w:p w14:paraId="3AA7D6A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13.1所有投标报价均以人民币元为计算单位。只要投报了一个确定数额的总价，无论分项价格是否全部填报了相应的金额或免费字样，报价应被视为已经包含了但并不限于各项购买货物及其运送、安装、调试、验收、保险和相关服务等的费用和所需缴纳的所有价格、税、费。在其他情况下，由于分项报价填报不完整、不清楚或存在其他任何失误，所导致的任何不利后果均应当由投标人自行承担。</w:t>
      </w:r>
    </w:p>
    <w:p w14:paraId="53E2E8A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13.2投标人投报多包的，须对每包分别制作投标文件并报价</w:t>
      </w:r>
      <w:r>
        <w:rPr>
          <w:rFonts w:hint="eastAsia" w:ascii="仿宋" w:hAnsi="仿宋" w:eastAsia="仿宋" w:cs="仿宋"/>
          <w:b/>
          <w:color w:val="auto"/>
          <w:sz w:val="28"/>
          <w:szCs w:val="28"/>
          <w:highlight w:val="none"/>
        </w:rPr>
        <w:t>。</w:t>
      </w:r>
    </w:p>
    <w:p w14:paraId="430572DE">
      <w:pP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13.3除非招标文件另有规定，不接受可选择或可调整的投标方案和报价，任何有选择的或可调整的投标方案和报价将被视为非响应性投标而被拒绝。</w:t>
      </w:r>
    </w:p>
    <w:p w14:paraId="43147AB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13.4本项目是否接受进口产品按照招标文件第二部分“投标人须知前附表中”中的规定。</w:t>
      </w:r>
    </w:p>
    <w:p w14:paraId="03B40CE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13.5本项目是否允许投标人将项目的非主体、非关键性工作交由他人完成按照招标文件第二部分“投标人须知前附表”中的规定。如允许，投标人根据采购项目的实际情况，拟在中标后将中标项目的非主体、非关键性工作交由他人完成，须在技术文件中载明。</w:t>
      </w:r>
    </w:p>
    <w:p w14:paraId="2D5EE42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13.6投标人须严格按照报价明细表规定的内容填写货物单价以及其他事项。</w:t>
      </w:r>
    </w:p>
    <w:p w14:paraId="2C62E8B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13.7投标人对投标报价若有说明应在投标文件中显著处注明。</w:t>
      </w:r>
    </w:p>
    <w:p w14:paraId="69873BD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除政策性文件规定以外，投标人所报价格在合同实施期间不因市场变化因素而变动。</w:t>
      </w:r>
    </w:p>
    <w:p w14:paraId="041005F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13.8对于有配件、耗材、选件、备件和特殊工具的货物，还应填报投标货物配件、耗材、选件表和备件及特殊工具清单，注明品牌、型号、产地、功能、单价、批量折扣等内容，该表格格式由投标人自行设计。投标人按照上述要求分类报价，其目的是便于评标，但在任何情况下并不限制采购人以其他条款签订合同的权利。</w:t>
      </w:r>
    </w:p>
    <w:p w14:paraId="75C0D00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13.9最低报价不能作为中标的保证。</w:t>
      </w:r>
    </w:p>
    <w:p w14:paraId="00F9A8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14.投标有效期</w:t>
      </w:r>
    </w:p>
    <w:p w14:paraId="04CDE83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14.1本项目的投标有效期按照招标文件第二部分“投标人须知前附表中”中的规定。投标有效期自投标截止之日起计算，短于规定期限的投标将按无效投标处理。</w:t>
      </w:r>
    </w:p>
    <w:p w14:paraId="6A533A3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14.2在特殊情况下，采购代理机构可与投标人协商延长投标有效期。这种要求和答复都应以书面或邮件形式进行。此时，规定的投标保证金的有效期也相应延长。投标人可以拒绝接受延期要求而不会被没收保证金。同意延长有效期的投标人除按照采购代理机构要求修改投标有效期外，不能修改投标文件的其他内容。</w:t>
      </w:r>
    </w:p>
    <w:p w14:paraId="15EDFF7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15.投标内容填写说明</w:t>
      </w:r>
    </w:p>
    <w:p w14:paraId="666EA03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15.1投标人应详细阅读招标文件的全部内容。投标文件须对招标文件中的内容作出实质性和完整的响应，如果投标文件填报的内容不详，或没有提供招标文件中所要求的全部资料及数据，将可能导致投标被拒绝。</w:t>
      </w:r>
    </w:p>
    <w:p w14:paraId="3D056753">
      <w:pP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15.2投标文件须严格按照招标文件第六部分规定的格式提交，并按规定的统一格式逐项填写，不准有空项；无相应内容可填的项，应填写“无”、“没有相应指标”等明确的回答文字。由于编排混乱导致投标文件被拒绝的，其责任由投标人承担。投标文件未按规定提交或留有空项，将被视为不完整响应的投标文件，其投标有可能被拒绝</w:t>
      </w:r>
      <w:r>
        <w:rPr>
          <w:rFonts w:hint="eastAsia" w:ascii="仿宋" w:hAnsi="仿宋" w:eastAsia="仿宋" w:cs="仿宋"/>
          <w:b/>
          <w:color w:val="auto"/>
          <w:sz w:val="28"/>
          <w:szCs w:val="28"/>
          <w:highlight w:val="none"/>
        </w:rPr>
        <w:t>。</w:t>
      </w:r>
    </w:p>
    <w:p w14:paraId="1359B2F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15.3开标一览表为在开标仪式上唱标的内容，要求按格式统一填写，不得自行增减内容。</w:t>
      </w:r>
    </w:p>
    <w:p w14:paraId="7333A96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15.4投标人须注意：为合理节约政府采购评审成本，提倡诚实信用的投标行为，特别要求投标人应本着诚信精神，在本次投标文件的偏离表中，均以审慎的态度明确、清楚地披露各项偏离。若投标人对某一事项是否存在或是否属于偏离不能确定，亦必须在偏离表中清楚地表明该偏离事项，并可以注明不能确定的字样。任何情况下，对于投标人没有在偏离表中明确、清楚地披露的事项，包括可能属于被投标人在偏离表中遗漏披露的事项，一旦在评审中被发现存在偏离或被认定为属于偏离，则评标委员会有权视具体情形评审时予以处理，乃至对该投标予以拒绝。</w:t>
      </w:r>
    </w:p>
    <w:p w14:paraId="1FF8034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15.5投标人必须保证投标文件所提供的全部资料真实可靠，并接受采购代理机构或评标委员会对其中任何资料进一步审查的要求。</w:t>
      </w:r>
    </w:p>
    <w:p w14:paraId="08A1BF3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15.6投标人在投标文件及相关文件的签订、履行、通知等事项的文件中的单位盖章、印章、公章等处均指与当事人全称相一致的标准公章，不得使用其他形式（如带有“专用章”等字样的印章）。不符合本条规定的按无效投标处理。</w:t>
      </w:r>
      <w:bookmarkStart w:id="49" w:name="EB375a660a87bc46de991bb01ce9d3c87e"/>
      <w:r>
        <w:rPr>
          <w:rFonts w:hint="eastAsia" w:ascii="仿宋" w:hAnsi="仿宋" w:eastAsia="仿宋" w:cs="仿宋"/>
          <w:color w:val="auto"/>
          <w:sz w:val="28"/>
          <w:szCs w:val="28"/>
          <w:highlight w:val="none"/>
        </w:rPr>
        <w:t xml:space="preserve"> </w:t>
      </w:r>
      <w:bookmarkEnd w:id="49"/>
      <w:bookmarkStart w:id="50" w:name="EB8652ab10f8fb48a1bca0cd56bdb70bdf"/>
      <w:r>
        <w:rPr>
          <w:rFonts w:hint="eastAsia" w:ascii="仿宋" w:hAnsi="仿宋" w:eastAsia="仿宋" w:cs="仿宋"/>
          <w:color w:val="auto"/>
          <w:sz w:val="28"/>
          <w:szCs w:val="28"/>
          <w:highlight w:val="none"/>
        </w:rPr>
        <w:t xml:space="preserve"> </w:t>
      </w:r>
      <w:bookmarkEnd w:id="50"/>
      <w:bookmarkStart w:id="51" w:name="EB37ccbadaa0f64c5193a77496d92cca0e"/>
      <w:r>
        <w:rPr>
          <w:rFonts w:hint="eastAsia" w:ascii="仿宋" w:hAnsi="仿宋" w:eastAsia="仿宋" w:cs="仿宋"/>
          <w:color w:val="auto"/>
          <w:sz w:val="28"/>
          <w:szCs w:val="28"/>
          <w:highlight w:val="none"/>
        </w:rPr>
        <w:t xml:space="preserve"> </w:t>
      </w:r>
      <w:bookmarkEnd w:id="51"/>
    </w:p>
    <w:p w14:paraId="40324CD8">
      <w:pPr>
        <w:pStyle w:val="25"/>
        <w:outlineLvl w:val="2"/>
        <w:rPr>
          <w:rStyle w:val="32"/>
          <w:rFonts w:hint="eastAsia" w:ascii="仿宋" w:hAnsi="仿宋" w:eastAsia="仿宋" w:cs="仿宋"/>
          <w:bCs/>
          <w:color w:val="auto"/>
          <w:sz w:val="28"/>
          <w:szCs w:val="28"/>
          <w:highlight w:val="none"/>
        </w:rPr>
      </w:pPr>
      <w:bookmarkStart w:id="52" w:name="_Toc22224"/>
      <w:bookmarkStart w:id="53" w:name="_Toc8131"/>
      <w:bookmarkStart w:id="54" w:name="_Toc519111263"/>
      <w:r>
        <w:rPr>
          <w:rStyle w:val="32"/>
          <w:rFonts w:hint="eastAsia" w:ascii="仿宋" w:hAnsi="仿宋" w:eastAsia="仿宋" w:cs="仿宋"/>
          <w:bCs/>
          <w:color w:val="auto"/>
          <w:sz w:val="28"/>
          <w:szCs w:val="28"/>
          <w:highlight w:val="none"/>
        </w:rPr>
        <w:t>四、投标保证金</w:t>
      </w:r>
      <w:bookmarkEnd w:id="52"/>
      <w:bookmarkEnd w:id="53"/>
      <w:bookmarkEnd w:id="54"/>
    </w:p>
    <w:p w14:paraId="64BAD17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16.投标保证金 </w:t>
      </w:r>
    </w:p>
    <w:p w14:paraId="6E02714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16.1投标人应按照招标文件第二部分“投标人须知前附表”中的规定交纳。</w:t>
      </w:r>
    </w:p>
    <w:p w14:paraId="6EC0DA0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16.2未按要求提交投标保证金的，将被视为无效投标。</w:t>
      </w:r>
    </w:p>
    <w:p w14:paraId="777A318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16.3未中标的投标人的投标保证金在中标通知书发出之日起5个工作日内退还；中标人的投标保证金将在合同生效后5个工作日内退还。</w:t>
      </w:r>
    </w:p>
    <w:p w14:paraId="25CA541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16.4投标保证金退还一律采用网上银行转帐方式退还至投标人的汇款帐户，资金原路返回。</w:t>
      </w:r>
      <w:bookmarkStart w:id="55" w:name="EBcc7faae6b5d540b591cda779a2aa7880"/>
      <w:r>
        <w:rPr>
          <w:rFonts w:hint="eastAsia" w:ascii="仿宋" w:hAnsi="仿宋" w:eastAsia="仿宋" w:cs="仿宋"/>
          <w:color w:val="auto"/>
          <w:sz w:val="28"/>
          <w:szCs w:val="28"/>
          <w:highlight w:val="none"/>
        </w:rPr>
        <w:t xml:space="preserve"> </w:t>
      </w:r>
      <w:bookmarkEnd w:id="55"/>
      <w:bookmarkStart w:id="56" w:name="EB028ce0865c5043f5a7e1c06cc3930dac"/>
      <w:r>
        <w:rPr>
          <w:rFonts w:hint="eastAsia" w:ascii="仿宋" w:hAnsi="仿宋" w:eastAsia="仿宋" w:cs="仿宋"/>
          <w:color w:val="auto"/>
          <w:sz w:val="28"/>
          <w:szCs w:val="28"/>
          <w:highlight w:val="none"/>
        </w:rPr>
        <w:t xml:space="preserve"> </w:t>
      </w:r>
      <w:bookmarkEnd w:id="56"/>
      <w:bookmarkStart w:id="57" w:name="EBf1929d16032b4422bab371becffb21ba"/>
      <w:r>
        <w:rPr>
          <w:rFonts w:hint="eastAsia" w:ascii="仿宋" w:hAnsi="仿宋" w:eastAsia="仿宋" w:cs="仿宋"/>
          <w:color w:val="auto"/>
          <w:sz w:val="28"/>
          <w:szCs w:val="28"/>
          <w:highlight w:val="none"/>
        </w:rPr>
        <w:t xml:space="preserve"> </w:t>
      </w:r>
      <w:bookmarkEnd w:id="57"/>
    </w:p>
    <w:p w14:paraId="5E09E188">
      <w:pPr>
        <w:pStyle w:val="25"/>
        <w:outlineLvl w:val="2"/>
        <w:rPr>
          <w:rStyle w:val="32"/>
          <w:rFonts w:hint="eastAsia" w:ascii="仿宋" w:hAnsi="仿宋" w:eastAsia="仿宋" w:cs="仿宋"/>
          <w:bCs/>
          <w:color w:val="auto"/>
          <w:sz w:val="28"/>
          <w:szCs w:val="28"/>
          <w:highlight w:val="none"/>
        </w:rPr>
      </w:pPr>
      <w:bookmarkStart w:id="58" w:name="_Toc519111264"/>
      <w:bookmarkStart w:id="59" w:name="_Toc9368"/>
      <w:bookmarkStart w:id="60" w:name="_Toc3671"/>
      <w:r>
        <w:rPr>
          <w:rStyle w:val="32"/>
          <w:rFonts w:hint="eastAsia" w:ascii="仿宋" w:hAnsi="仿宋" w:eastAsia="仿宋" w:cs="仿宋"/>
          <w:bCs/>
          <w:color w:val="auto"/>
          <w:sz w:val="28"/>
          <w:szCs w:val="28"/>
          <w:highlight w:val="none"/>
        </w:rPr>
        <w:t>五、投标文件的递交</w:t>
      </w:r>
      <w:bookmarkEnd w:id="58"/>
      <w:bookmarkEnd w:id="59"/>
      <w:bookmarkEnd w:id="60"/>
    </w:p>
    <w:p w14:paraId="3C1E080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17.投标文件的密封和标记</w:t>
      </w:r>
    </w:p>
    <w:p w14:paraId="6727DF4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见供应商须知前附表。</w:t>
      </w:r>
    </w:p>
    <w:p w14:paraId="7FAD404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18.投标文件的递交</w:t>
      </w:r>
    </w:p>
    <w:p w14:paraId="3487679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18.1投标人应当在招标文件要求提交投标文件的截止时间前递交，并将加密的投标文件上传到“政采云”平台。</w:t>
      </w:r>
    </w:p>
    <w:p w14:paraId="499ED61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18.2在招标文件要求提交投标文件的截止时间之后送达的投标文件，为无效投标文件，采购代理机构将拒绝接收。</w:t>
      </w:r>
    </w:p>
    <w:p w14:paraId="6D87107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19.投标文件的修改和撤回</w:t>
      </w:r>
    </w:p>
    <w:p w14:paraId="718F40E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19.1投标人在递交投标文件后，可以修改或撤回其投标，但这种修改和撤回，必须在规定的投标截止时间前。在投标截止时间后，投标人不得要求修改或撤回其投标文件。</w:t>
      </w:r>
    </w:p>
    <w:p w14:paraId="1FB8D2A1">
      <w:pPr>
        <w:pStyle w:val="25"/>
        <w:outlineLvl w:val="2"/>
        <w:rPr>
          <w:rStyle w:val="32"/>
          <w:rFonts w:hint="eastAsia" w:ascii="仿宋" w:hAnsi="仿宋" w:eastAsia="仿宋" w:cs="仿宋"/>
          <w:bCs/>
          <w:color w:val="auto"/>
          <w:sz w:val="28"/>
          <w:szCs w:val="28"/>
          <w:highlight w:val="none"/>
        </w:rPr>
      </w:pPr>
      <w:bookmarkStart w:id="61" w:name="_Toc9228"/>
      <w:bookmarkStart w:id="62" w:name="_Toc26338"/>
      <w:bookmarkStart w:id="63" w:name="_Toc519111265"/>
      <w:r>
        <w:rPr>
          <w:rStyle w:val="32"/>
          <w:rFonts w:hint="eastAsia" w:ascii="仿宋" w:hAnsi="仿宋" w:eastAsia="仿宋" w:cs="仿宋"/>
          <w:bCs/>
          <w:color w:val="auto"/>
          <w:sz w:val="28"/>
          <w:szCs w:val="28"/>
          <w:highlight w:val="none"/>
        </w:rPr>
        <w:t>六、开标</w:t>
      </w:r>
      <w:bookmarkEnd w:id="61"/>
      <w:bookmarkEnd w:id="62"/>
      <w:bookmarkEnd w:id="63"/>
    </w:p>
    <w:p w14:paraId="10752AB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20.开标</w:t>
      </w:r>
      <w:bookmarkStart w:id="64" w:name="_Toc519111266"/>
    </w:p>
    <w:p w14:paraId="79F4086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（1）采购人和采购代理机构将按规定的开标时间和地点组织评审。监督部门将视情况派代表到现场进行监督。供应商不足3家的，不得评审。</w:t>
      </w:r>
    </w:p>
    <w:p w14:paraId="21F3C03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供应商在开标前，提前登录政采云平台做好准备，并保证设备正常。供应商应于投标文件提交截止时间之前将电子投标文件上传到“政采云”平台。应按照本项目投标文件和政采云平台的要求编制、加密传输投标文件。</w:t>
      </w:r>
    </w:p>
    <w:p w14:paraId="1F220BF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开标时将检查所有投标文件（加密电子标书上传）情况，并在确认无误后，供应商在政采云平台解密投标文件（30分钟），对投标文件进行唱标。唱标以供应商提交的投标文件中“开标一览表”的内容为准，并对唱标内容作以记录。电子开标系统开标后需供应商在线确认报价时，各供应商应在规定的时间内确认报价，若超出时间未进行确认报价的供应商，系统将自动默认该供应商已经确认报价。</w:t>
      </w:r>
    </w:p>
    <w:p w14:paraId="78320AF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（4）开标时，由采购代理机构向评审小组介绍项目基本情况并宣布有关纪律和开标程序。</w:t>
      </w:r>
    </w:p>
    <w:p w14:paraId="32DAEEA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val="en-US" w:eastAsia="zh-CN"/>
        </w:rPr>
        <w:t>采购人或采购代理机构</w:t>
      </w:r>
      <w:r>
        <w:rPr>
          <w:rFonts w:hint="eastAsia" w:ascii="仿宋" w:hAnsi="仿宋" w:eastAsia="仿宋" w:cs="仿宋"/>
          <w:color w:val="auto"/>
          <w:sz w:val="28"/>
          <w:szCs w:val="28"/>
          <w:highlight w:val="none"/>
        </w:rPr>
        <w:t>依据法律法规和招标文件中规定的内容，对供应商进行资格审查。未通过资格审查的供应商不得进入详细评审，其投标文件将被拒绝。</w:t>
      </w:r>
    </w:p>
    <w:p w14:paraId="14028FE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（6）评审小组开启供应商公开报价并进行初步审查和详细评审（只有初步审查合格的供应商，其投标文件方可进入评审阶段。）</w:t>
      </w:r>
    </w:p>
    <w:p w14:paraId="415767D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（7）供应商代表对评审过程和评审记录有疑义，以及认为采购人、采购代理机构相关工作人员有需要回避的情形的，应当场提出询问或者回避申请。</w:t>
      </w:r>
    </w:p>
    <w:p w14:paraId="51374B3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注：在开标过程中如评审小组对评标文件有疑问，询标内容汇总后将发起询标函，供应商应对询标函提出的问题做出澄清或说明</w:t>
      </w:r>
    </w:p>
    <w:p w14:paraId="514C7775">
      <w:pPr>
        <w:pStyle w:val="25"/>
        <w:outlineLvl w:val="2"/>
        <w:rPr>
          <w:rStyle w:val="32"/>
          <w:rFonts w:hint="eastAsia" w:ascii="仿宋" w:hAnsi="仿宋" w:eastAsia="仿宋" w:cs="仿宋"/>
          <w:bCs/>
          <w:color w:val="auto"/>
          <w:sz w:val="28"/>
          <w:szCs w:val="28"/>
          <w:highlight w:val="none"/>
        </w:rPr>
      </w:pPr>
      <w:bookmarkStart w:id="65" w:name="_Toc7672"/>
      <w:bookmarkStart w:id="66" w:name="_Toc27553"/>
      <w:r>
        <w:rPr>
          <w:rStyle w:val="32"/>
          <w:rFonts w:hint="eastAsia" w:ascii="仿宋" w:hAnsi="仿宋" w:eastAsia="仿宋" w:cs="仿宋"/>
          <w:bCs/>
          <w:color w:val="auto"/>
          <w:sz w:val="28"/>
          <w:szCs w:val="28"/>
          <w:highlight w:val="none"/>
        </w:rPr>
        <w:t>七、评标步骤和要求</w:t>
      </w:r>
      <w:bookmarkEnd w:id="64"/>
      <w:bookmarkEnd w:id="65"/>
      <w:bookmarkEnd w:id="66"/>
    </w:p>
    <w:p w14:paraId="7D8FA97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21.组建评标委员会</w:t>
      </w:r>
    </w:p>
    <w:p w14:paraId="0B65B5B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21.1采购代理机构根据有关法律法规和本招标文件的规定，结合招标项目的特点组建评标委员会，对投标文件进行评估和比较。评标委员会由五人以上单数组成，其中经济、技术等方面的专家不少于三分之二。</w:t>
      </w:r>
    </w:p>
    <w:p w14:paraId="57F8114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21.2参与过本项目的论证专家不得作为评标专家参加评标，采购人不得以专家身份参与评标。</w:t>
      </w:r>
    </w:p>
    <w:p w14:paraId="62BACF2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22.资格审查</w:t>
      </w:r>
    </w:p>
    <w:p w14:paraId="33AA755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22.1开标过程中，</w:t>
      </w:r>
      <w:r>
        <w:rPr>
          <w:rFonts w:hint="eastAsia" w:ascii="仿宋" w:hAnsi="仿宋" w:eastAsia="仿宋" w:cs="仿宋"/>
          <w:color w:val="auto"/>
          <w:sz w:val="28"/>
          <w:szCs w:val="28"/>
          <w:highlight w:val="none"/>
          <w:lang w:val="en-US" w:eastAsia="zh-CN"/>
        </w:rPr>
        <w:t>采购人或采购代理机构</w:t>
      </w:r>
      <w:r>
        <w:rPr>
          <w:rFonts w:hint="eastAsia" w:ascii="仿宋" w:hAnsi="仿宋" w:eastAsia="仿宋" w:cs="仿宋"/>
          <w:color w:val="auto"/>
          <w:sz w:val="28"/>
          <w:szCs w:val="28"/>
          <w:highlight w:val="none"/>
        </w:rPr>
        <w:t>依法对投标人的资格进行核实。合格投标人不足3家的，不得评标。</w:t>
      </w:r>
    </w:p>
    <w:p w14:paraId="2D63965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23.初步评审</w:t>
      </w:r>
    </w:p>
    <w:p w14:paraId="608A7ED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23.1评标委员会审查投标文件是否符合招标文件的基本要求：内容是否完整、资格证明文件是否合格、文件签署是否齐全、有无计算错误等。</w:t>
      </w:r>
    </w:p>
    <w:p w14:paraId="3C31AB2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23.2评标委员会审查投标文件是否实质上响应招标文件的要求。</w:t>
      </w:r>
    </w:p>
    <w:p w14:paraId="5880640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1）实质上响应的投标是指与招标文件上的条款、条件和规格相符，没有重大偏离或保留，否则将视为无效投标。</w:t>
      </w:r>
    </w:p>
    <w:p w14:paraId="5089CDA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重大偏离或保留系指投标货物的质量、数量和交付日期等明显不能满足招标文件的要求，或者实质上与招标文件不一致，纠正这些偏离或保留将对其他实质上响应要求的投标人的竞争地位产生不公正的影响。包括但不限于：</w:t>
      </w:r>
    </w:p>
    <w:p w14:paraId="51A3AEE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A、未按要求交纳投标保证金的；</w:t>
      </w:r>
    </w:p>
    <w:p w14:paraId="0F7A8E7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B、未按招标文件规定要求密封、签署、盖章的；</w:t>
      </w:r>
    </w:p>
    <w:p w14:paraId="6BB8594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C、未按投标文件份数要求提交投标文件的；</w:t>
      </w:r>
    </w:p>
    <w:p w14:paraId="1A46B24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D、投标人的报价超过了采购预算或最高限价的；</w:t>
      </w:r>
    </w:p>
    <w:p w14:paraId="2532C07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E、投标有效期不足的；</w:t>
      </w:r>
    </w:p>
    <w:p w14:paraId="270F3BB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F、不符合招标文件中规定的实质性要求和条件的；</w:t>
      </w:r>
    </w:p>
    <w:p w14:paraId="0E72160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G、联合体投标文件未附联合体投标协议书的（如有）；</w:t>
      </w:r>
    </w:p>
    <w:p w14:paraId="49C3AF6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H、有串通投标或弄虚作假或有其他违法行为的；</w:t>
      </w:r>
    </w:p>
    <w:p w14:paraId="732D10B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I、投标人名称或组织结构与报名时不一致且无有效变更证明的；</w:t>
      </w:r>
    </w:p>
    <w:p w14:paraId="22E6C71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J、投标文件含有采购人不能接受的附加条件的；</w:t>
      </w:r>
    </w:p>
    <w:p w14:paraId="0A71C25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K、法律、法规及本招标文件规定的其他无效投标的情形。</w:t>
      </w:r>
    </w:p>
    <w:p w14:paraId="4938269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23.3投标文件的细微偏差是指在实质上响应招标文件要求，但在个别地方存在漏项或者提供了不完整的技术信息和数据等情况，并且补正这些遗漏或者不完整，不会对其他投标人造成不公正的结果。细微偏差不影响投标文件的有效性。</w:t>
      </w:r>
    </w:p>
    <w:p w14:paraId="0A2C68A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23.4初步评审中，对明显的文字和计算错误按下述原则处理，若出现相互矛盾之处，应以排列在先的原则为准优先处理：</w:t>
      </w:r>
    </w:p>
    <w:p w14:paraId="64B7E90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1）投标文件中的开标一览表与明细表内容不一致的，以开标一览表为准。</w:t>
      </w:r>
    </w:p>
    <w:p w14:paraId="7E73458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2）如果以文字表示的数据与数字表示的有差别，以文字为准修正数字。如果大写金额和小写金额不一致的，以大写金额为准；</w:t>
      </w:r>
    </w:p>
    <w:p w14:paraId="273FF8C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3）如果单价乘以数量不等于总价，以单价为准修正总价，但单价金额小数点有明显错位的，应以总价为准，并修改单价。如果明细价格相加不等于汇总价格，以明细价格为准。</w:t>
      </w:r>
    </w:p>
    <w:p w14:paraId="5C38D4D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4）调整后的数据对投标人具有约束力，投标人不同意以上修正，其投标将被拒绝。</w:t>
      </w:r>
    </w:p>
    <w:p w14:paraId="0B4B474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23.5评标委员会对投标文件的判定，只依据投标文件内容本身，不依据其他外来证明。</w:t>
      </w:r>
    </w:p>
    <w:p w14:paraId="61FA479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24.投标的澄清</w:t>
      </w:r>
    </w:p>
    <w:p w14:paraId="5999025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24.1评标委员会有权要求投标人对投标文件中含义不明确、对同类问题表述不一致或者有明显文字和计算错误等内容作必要的澄清、说明或者补正。该要求应当采用书面形式，并由评标委员会成员签字。评标委员会不接受投标人主动提出的澄清、说明或者补正。</w:t>
      </w:r>
    </w:p>
    <w:p w14:paraId="5DFB639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24.2投标人必须按照评标委员会通知的内容和时间做出书面答复，该答复经法定代表人或授权代理人的签字认可，将作为投标文件内容的一部分。澄清、说明或者补正不得超出投标文件的范围或者改变投标文件的实质性内容。投标人拒不按照要求对投标文件进行澄清、说明或者补正的，评标委员会可拒绝该投标。</w:t>
      </w:r>
    </w:p>
    <w:p w14:paraId="1028D3E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24.3如评标委员会一致认为某个投标人的报价明显不合理，有降低质量、不能诚信履行的可能时，评标委员会有权决定是否通知投标人限期进行书面解释或提供相关证明材料。若已要求，而该投标人在规定期限内未做出解释、作出的解释不合理或不能提供证明材料的，经评标委员会取得一致意见后，可拒绝该投标。</w:t>
      </w:r>
    </w:p>
    <w:p w14:paraId="095701C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25.详细评审</w:t>
      </w:r>
    </w:p>
    <w:p w14:paraId="69EC824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25.1评标委员会只对实质上响应招标文件的投标进行评价和比较；评审应严格按照招标文件第二部分“投标人须知前附表”中规定以及招标文件的要求进行。具体要求等详见招标文件第四部分“评审方法”。</w:t>
      </w:r>
    </w:p>
    <w:p w14:paraId="314F3DE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25.2评标委员会依法独立评审，严格遵守评审工作纪律。对需要共同认定的事项存在争议的，按照少数服从多数的原则作出评审结论。持不同意见的评标委员会成员应当在评标报告上签署不同意见并说明理由，不签署不同意见的视为同意。</w:t>
      </w:r>
    </w:p>
    <w:p w14:paraId="4806ABC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26.确定中标人</w:t>
      </w:r>
    </w:p>
    <w:p w14:paraId="42F8912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26.1 评标委员会根据评审结果及招标文件的规定确定中标候选人。</w:t>
      </w:r>
    </w:p>
    <w:p w14:paraId="54E4CD1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27.评标过程要求</w:t>
      </w:r>
    </w:p>
    <w:p w14:paraId="689DFD3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27.1开标之后，直到签订合同止，凡是属于审查、澄清、评价和比较投标的有关资料以及定标意向等，均不向投标人或者其他与评标无关的人员透露。</w:t>
      </w:r>
    </w:p>
    <w:p w14:paraId="1007465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27.2在确定中标人之前，投标人试图在投标文件审查、澄清、比较和评标时对评标委员会、采购人和采购代理机构施加任何影响都可能导致其投标无效。</w:t>
      </w:r>
    </w:p>
    <w:p w14:paraId="0221ABD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28.投标人瑕疵滞后发现的处理规则</w:t>
      </w:r>
    </w:p>
    <w:p w14:paraId="60CAB1E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28.1无论基于何种原因，各项本应作拒绝处理的情形即便未被及时发现而使该投标人进入初审、综合评审或其他后续程序，包括已经签订合同的情形，一旦投标人被拒绝或该投标人的此前评议结果被取消，其现有的位置将被其他投标人依序替代，相关的一切损失均由该投标人承担。</w:t>
      </w:r>
    </w:p>
    <w:p w14:paraId="5B17870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29.采购项目废标</w:t>
      </w:r>
    </w:p>
    <w:p w14:paraId="30A399B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29.1在评标过程中，评标委员会发现有下列情形之一的，应对采购项目予以废标：</w:t>
      </w:r>
    </w:p>
    <w:p w14:paraId="0F4CE59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1）符合专业条件的投标人或者对招标文件作实质响应的投标人数量不足，导致进入详细评审、打分阶段的投标人不足3家的； </w:t>
      </w:r>
    </w:p>
    <w:p w14:paraId="141078B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2）投标人的报价均超过了采购预算；</w:t>
      </w:r>
    </w:p>
    <w:p w14:paraId="56F4F54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3）出现影响采购公正的违法、违规行为的；</w:t>
      </w:r>
    </w:p>
    <w:p w14:paraId="0E727FF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4）因重大变故，采购任务取消的。</w:t>
      </w:r>
    </w:p>
    <w:p w14:paraId="59A49C3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除前款第四项规定的情形外，项目废标后，如未变更采购方式，采购代理机构将依法重新组织招标。</w:t>
      </w:r>
    </w:p>
    <w:p w14:paraId="1B09061B">
      <w:pPr>
        <w:pStyle w:val="25"/>
        <w:outlineLvl w:val="2"/>
        <w:rPr>
          <w:rStyle w:val="32"/>
          <w:rFonts w:hint="eastAsia" w:ascii="仿宋" w:hAnsi="仿宋" w:eastAsia="仿宋" w:cs="仿宋"/>
          <w:bCs/>
          <w:color w:val="auto"/>
          <w:sz w:val="28"/>
          <w:szCs w:val="28"/>
          <w:highlight w:val="none"/>
        </w:rPr>
      </w:pPr>
      <w:bookmarkStart w:id="67" w:name="_Toc176"/>
      <w:bookmarkStart w:id="68" w:name="_Toc28490"/>
      <w:bookmarkStart w:id="69" w:name="_Toc519111267"/>
      <w:r>
        <w:rPr>
          <w:rStyle w:val="32"/>
          <w:rFonts w:hint="eastAsia" w:ascii="仿宋" w:hAnsi="仿宋" w:eastAsia="仿宋" w:cs="仿宋"/>
          <w:bCs/>
          <w:color w:val="auto"/>
          <w:sz w:val="28"/>
          <w:szCs w:val="28"/>
          <w:highlight w:val="none"/>
        </w:rPr>
        <w:t>八、履约保证金</w:t>
      </w:r>
      <w:bookmarkEnd w:id="67"/>
      <w:bookmarkEnd w:id="68"/>
      <w:bookmarkEnd w:id="69"/>
    </w:p>
    <w:p w14:paraId="443BE86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30.履约保证金：见投标须知前附表</w:t>
      </w:r>
    </w:p>
    <w:p w14:paraId="49500399">
      <w:pPr>
        <w:pStyle w:val="25"/>
        <w:outlineLvl w:val="2"/>
        <w:rPr>
          <w:rStyle w:val="32"/>
          <w:rFonts w:hint="eastAsia" w:ascii="仿宋" w:hAnsi="仿宋" w:eastAsia="仿宋" w:cs="仿宋"/>
          <w:bCs/>
          <w:color w:val="auto"/>
          <w:sz w:val="28"/>
          <w:szCs w:val="28"/>
          <w:highlight w:val="none"/>
        </w:rPr>
      </w:pPr>
      <w:bookmarkStart w:id="70" w:name="_Toc519111268"/>
      <w:bookmarkStart w:id="71" w:name="_Toc1606"/>
      <w:bookmarkStart w:id="72" w:name="_Toc11341"/>
      <w:r>
        <w:rPr>
          <w:rStyle w:val="32"/>
          <w:rFonts w:hint="eastAsia" w:ascii="仿宋" w:hAnsi="仿宋" w:eastAsia="仿宋" w:cs="仿宋"/>
          <w:bCs/>
          <w:color w:val="auto"/>
          <w:sz w:val="28"/>
          <w:szCs w:val="28"/>
          <w:highlight w:val="none"/>
        </w:rPr>
        <w:t>九、代理服务费</w:t>
      </w:r>
      <w:bookmarkEnd w:id="70"/>
      <w:bookmarkEnd w:id="71"/>
      <w:bookmarkEnd w:id="72"/>
    </w:p>
    <w:p w14:paraId="1DA6DD4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31.代理服务费</w:t>
      </w:r>
    </w:p>
    <w:p w14:paraId="258488D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31.1代理服务费按照招标文件第二部分“投标人须知前附表”中规定由中标人交纳，请投标人在测算投标报价时充分考虑这一因素。</w:t>
      </w:r>
      <w:bookmarkStart w:id="73" w:name="EB6c955fb4b23e43e88b338064273e7dcf"/>
      <w:r>
        <w:rPr>
          <w:rFonts w:hint="eastAsia" w:ascii="仿宋" w:hAnsi="仿宋" w:eastAsia="仿宋" w:cs="仿宋"/>
          <w:color w:val="auto"/>
          <w:sz w:val="28"/>
          <w:szCs w:val="28"/>
          <w:highlight w:val="none"/>
        </w:rPr>
        <w:t xml:space="preserve"> </w:t>
      </w:r>
      <w:bookmarkEnd w:id="73"/>
      <w:bookmarkStart w:id="74" w:name="EBb901cf6a467447d89fdcb9a3592c3316"/>
    </w:p>
    <w:p w14:paraId="18ABCB12">
      <w:pPr>
        <w:spacing w:line="38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附:</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"http://www.cin.gov.cn/law/other/2003010201.doc" \t "_blank" </w:instrText>
      </w:r>
      <w:r>
        <w:rPr>
          <w:rFonts w:hint="eastAsia" w:ascii="仿宋" w:hAnsi="仿宋" w:eastAsia="仿宋" w:cs="仿宋"/>
          <w:color w:val="auto"/>
          <w:sz w:val="28"/>
          <w:szCs w:val="28"/>
          <w:highlight w:val="none"/>
        </w:rPr>
        <w:fldChar w:fldCharType="separate"/>
      </w:r>
      <w:r>
        <w:rPr>
          <w:rStyle w:val="33"/>
          <w:rFonts w:hint="eastAsia" w:ascii="仿宋" w:hAnsi="仿宋" w:eastAsia="仿宋" w:cs="仿宋"/>
          <w:color w:val="auto"/>
          <w:sz w:val="28"/>
          <w:szCs w:val="28"/>
          <w:highlight w:val="none"/>
        </w:rPr>
        <w:t>招标代理服务计</w:t>
      </w:r>
      <w:r>
        <w:rPr>
          <w:rStyle w:val="33"/>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算方法</w:t>
      </w:r>
    </w:p>
    <w:tbl>
      <w:tblPr>
        <w:tblStyle w:val="3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1915"/>
        <w:gridCol w:w="1947"/>
        <w:gridCol w:w="1987"/>
      </w:tblGrid>
      <w:tr w14:paraId="17F1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673" w:type="dxa"/>
          </w:tcPr>
          <w:p w14:paraId="119A3859">
            <w:pPr>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63360" behindDoc="0" locked="0" layoutInCell="1" allowOverlap="1">
                      <wp:simplePos x="0" y="0"/>
                      <wp:positionH relativeFrom="column">
                        <wp:posOffset>-84455</wp:posOffset>
                      </wp:positionH>
                      <wp:positionV relativeFrom="paragraph">
                        <wp:posOffset>-3810</wp:posOffset>
                      </wp:positionV>
                      <wp:extent cx="1713230" cy="597535"/>
                      <wp:effectExtent l="1270" t="4445" r="19050" b="7620"/>
                      <wp:wrapNone/>
                      <wp:docPr id="13" name="直接连接符 13"/>
                      <wp:cNvGraphicFramePr/>
                      <a:graphic xmlns:a="http://schemas.openxmlformats.org/drawingml/2006/main">
                        <a:graphicData uri="http://schemas.microsoft.com/office/word/2010/wordprocessingShape">
                          <wps:wsp>
                            <wps:cNvCnPr/>
                            <wps:spPr>
                              <a:xfrm>
                                <a:off x="1079500" y="1322705"/>
                                <a:ext cx="1713230" cy="5975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65pt;margin-top:-0.3pt;height:47.05pt;width:134.9pt;z-index:251663360;mso-width-relative:page;mso-height-relative:page;" filled="f" stroked="t" coordsize="21600,21600" o:gfxdata="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LClcJ1wAAAAgBAAAPAAAAAAAAAAEAIAAAACIAAABkcnMvZG93bnJldi54bWxQSwECFAAU&#10;AAAACACHTuJAF2PGWvIBAADEAwAADgAAAAAAAAABACAAAAAmAQAAZHJzL2Uyb0RvYy54bWxQSwUG&#10;AAAAAAYABgBZAQAAigUAAAAA&#10;">
                      <v:fill on="f" focussize="0,0"/>
                      <v:stroke weight="0.5pt" color="#000000 [3213]" miterlimit="8" joinstyle="miter"/>
                      <v:imagedata o:title=""/>
                      <o:lock v:ext="edit" aspectratio="f"/>
                    </v:line>
                  </w:pict>
                </mc:Fallback>
              </mc:AlternateContent>
            </w:r>
            <w:r>
              <w:rPr>
                <w:rFonts w:hint="eastAsia" w:ascii="仿宋" w:hAnsi="仿宋" w:eastAsia="仿宋" w:cs="仿宋"/>
                <w:color w:val="auto"/>
                <w:sz w:val="28"/>
                <w:szCs w:val="28"/>
                <w:highlight w:val="none"/>
              </w:rPr>
              <w:t>　　　　　　服务类型</w:t>
            </w:r>
          </w:p>
          <w:p w14:paraId="64707AC2">
            <w:pPr>
              <w:jc w:val="both"/>
              <w:rPr>
                <w:rFonts w:hint="eastAsia" w:ascii="仿宋" w:hAnsi="仿宋" w:eastAsia="仿宋" w:cs="仿宋"/>
                <w:color w:val="auto"/>
                <w:sz w:val="28"/>
                <w:szCs w:val="28"/>
                <w:highlight w:val="none"/>
              </w:rPr>
            </w:pPr>
          </w:p>
          <w:p w14:paraId="4A2248CE">
            <w:pPr>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中标金额</w:t>
            </w:r>
          </w:p>
        </w:tc>
        <w:tc>
          <w:tcPr>
            <w:tcW w:w="1915" w:type="dxa"/>
          </w:tcPr>
          <w:p w14:paraId="204FE8FF">
            <w:pPr>
              <w:spacing w:line="72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货物招标</w:t>
            </w:r>
          </w:p>
        </w:tc>
        <w:tc>
          <w:tcPr>
            <w:tcW w:w="1947" w:type="dxa"/>
          </w:tcPr>
          <w:p w14:paraId="34AA302A">
            <w:pPr>
              <w:spacing w:line="72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服务招标</w:t>
            </w:r>
          </w:p>
        </w:tc>
        <w:tc>
          <w:tcPr>
            <w:tcW w:w="1987" w:type="dxa"/>
          </w:tcPr>
          <w:p w14:paraId="00069793">
            <w:pPr>
              <w:spacing w:line="72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工程招标</w:t>
            </w:r>
          </w:p>
        </w:tc>
      </w:tr>
      <w:tr w14:paraId="22CB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673" w:type="dxa"/>
          </w:tcPr>
          <w:p w14:paraId="28CDB8E6">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100万元以下</w:t>
            </w:r>
          </w:p>
        </w:tc>
        <w:tc>
          <w:tcPr>
            <w:tcW w:w="1915" w:type="dxa"/>
          </w:tcPr>
          <w:p w14:paraId="773B116F">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w:t>
            </w:r>
          </w:p>
        </w:tc>
        <w:tc>
          <w:tcPr>
            <w:tcW w:w="1947" w:type="dxa"/>
          </w:tcPr>
          <w:p w14:paraId="3018BAB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w:t>
            </w:r>
          </w:p>
        </w:tc>
        <w:tc>
          <w:tcPr>
            <w:tcW w:w="1987" w:type="dxa"/>
          </w:tcPr>
          <w:p w14:paraId="3FBF23B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w:t>
            </w:r>
          </w:p>
        </w:tc>
      </w:tr>
      <w:tr w14:paraId="4E92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673" w:type="dxa"/>
          </w:tcPr>
          <w:p w14:paraId="627712C2">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100-500万元</w:t>
            </w:r>
          </w:p>
        </w:tc>
        <w:tc>
          <w:tcPr>
            <w:tcW w:w="1915" w:type="dxa"/>
          </w:tcPr>
          <w:p w14:paraId="0D177C8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w:t>
            </w:r>
          </w:p>
        </w:tc>
        <w:tc>
          <w:tcPr>
            <w:tcW w:w="1947" w:type="dxa"/>
          </w:tcPr>
          <w:p w14:paraId="5911685D">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0.8%</w:t>
            </w:r>
          </w:p>
        </w:tc>
        <w:tc>
          <w:tcPr>
            <w:tcW w:w="1987" w:type="dxa"/>
          </w:tcPr>
          <w:p w14:paraId="0BDD9466">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0.7%</w:t>
            </w:r>
          </w:p>
        </w:tc>
      </w:tr>
      <w:tr w14:paraId="3B2E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71DC5173">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500-1000万元</w:t>
            </w:r>
          </w:p>
        </w:tc>
        <w:tc>
          <w:tcPr>
            <w:tcW w:w="1915" w:type="dxa"/>
          </w:tcPr>
          <w:p w14:paraId="2C2DAB3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0.8%</w:t>
            </w:r>
          </w:p>
        </w:tc>
        <w:tc>
          <w:tcPr>
            <w:tcW w:w="1947" w:type="dxa"/>
          </w:tcPr>
          <w:p w14:paraId="6F0EB30C">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0.45%</w:t>
            </w:r>
          </w:p>
        </w:tc>
        <w:tc>
          <w:tcPr>
            <w:tcW w:w="1987" w:type="dxa"/>
          </w:tcPr>
          <w:p w14:paraId="21F7D18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0.55%</w:t>
            </w:r>
          </w:p>
        </w:tc>
      </w:tr>
      <w:tr w14:paraId="75D1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7F9DCDE3">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1000-5000万元</w:t>
            </w:r>
          </w:p>
        </w:tc>
        <w:tc>
          <w:tcPr>
            <w:tcW w:w="1915" w:type="dxa"/>
          </w:tcPr>
          <w:p w14:paraId="63F067F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0.5%</w:t>
            </w:r>
          </w:p>
        </w:tc>
        <w:tc>
          <w:tcPr>
            <w:tcW w:w="1947" w:type="dxa"/>
          </w:tcPr>
          <w:p w14:paraId="18D0406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0.25%</w:t>
            </w:r>
          </w:p>
        </w:tc>
        <w:tc>
          <w:tcPr>
            <w:tcW w:w="1987" w:type="dxa"/>
          </w:tcPr>
          <w:p w14:paraId="084262B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0.35%</w:t>
            </w:r>
          </w:p>
        </w:tc>
      </w:tr>
      <w:tr w14:paraId="5031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0E330B80">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5000万元-1亿元</w:t>
            </w:r>
          </w:p>
        </w:tc>
        <w:tc>
          <w:tcPr>
            <w:tcW w:w="1915" w:type="dxa"/>
          </w:tcPr>
          <w:p w14:paraId="574CECF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0.25%</w:t>
            </w:r>
          </w:p>
        </w:tc>
        <w:tc>
          <w:tcPr>
            <w:tcW w:w="1947" w:type="dxa"/>
          </w:tcPr>
          <w:p w14:paraId="3D2B93CD">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0.1%</w:t>
            </w:r>
          </w:p>
        </w:tc>
        <w:tc>
          <w:tcPr>
            <w:tcW w:w="1987" w:type="dxa"/>
          </w:tcPr>
          <w:p w14:paraId="4BD1F1A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0.2%</w:t>
            </w:r>
          </w:p>
        </w:tc>
      </w:tr>
      <w:tr w14:paraId="6A30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05632BD8">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1-5亿元</w:t>
            </w:r>
          </w:p>
        </w:tc>
        <w:tc>
          <w:tcPr>
            <w:tcW w:w="1915" w:type="dxa"/>
          </w:tcPr>
          <w:p w14:paraId="4895A57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0.05%</w:t>
            </w:r>
          </w:p>
        </w:tc>
        <w:tc>
          <w:tcPr>
            <w:tcW w:w="1947" w:type="dxa"/>
          </w:tcPr>
          <w:p w14:paraId="2FFA396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0.05%</w:t>
            </w:r>
          </w:p>
        </w:tc>
        <w:tc>
          <w:tcPr>
            <w:tcW w:w="1987" w:type="dxa"/>
          </w:tcPr>
          <w:p w14:paraId="2D77DB9D">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0.05%</w:t>
            </w:r>
          </w:p>
        </w:tc>
      </w:tr>
      <w:tr w14:paraId="1261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6DDA6ACF">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5-10亿元</w:t>
            </w:r>
          </w:p>
        </w:tc>
        <w:tc>
          <w:tcPr>
            <w:tcW w:w="1915" w:type="dxa"/>
          </w:tcPr>
          <w:p w14:paraId="6F40805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0.035%</w:t>
            </w:r>
          </w:p>
        </w:tc>
        <w:tc>
          <w:tcPr>
            <w:tcW w:w="1947" w:type="dxa"/>
          </w:tcPr>
          <w:p w14:paraId="1889185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0.035%</w:t>
            </w:r>
          </w:p>
        </w:tc>
        <w:tc>
          <w:tcPr>
            <w:tcW w:w="1987" w:type="dxa"/>
          </w:tcPr>
          <w:p w14:paraId="5E76E5F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0.035%</w:t>
            </w:r>
          </w:p>
        </w:tc>
      </w:tr>
      <w:tr w14:paraId="37B5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3560F032">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10-50亿元</w:t>
            </w:r>
          </w:p>
        </w:tc>
        <w:tc>
          <w:tcPr>
            <w:tcW w:w="1915" w:type="dxa"/>
          </w:tcPr>
          <w:p w14:paraId="62EB89B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0.008%</w:t>
            </w:r>
          </w:p>
        </w:tc>
        <w:tc>
          <w:tcPr>
            <w:tcW w:w="1947" w:type="dxa"/>
          </w:tcPr>
          <w:p w14:paraId="010F7D1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0.008%</w:t>
            </w:r>
          </w:p>
        </w:tc>
        <w:tc>
          <w:tcPr>
            <w:tcW w:w="1987" w:type="dxa"/>
          </w:tcPr>
          <w:p w14:paraId="4A3D96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0.008%</w:t>
            </w:r>
          </w:p>
        </w:tc>
      </w:tr>
      <w:tr w14:paraId="6CBE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576A2377">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50-100亿元</w:t>
            </w:r>
          </w:p>
        </w:tc>
        <w:tc>
          <w:tcPr>
            <w:tcW w:w="1915" w:type="dxa"/>
          </w:tcPr>
          <w:p w14:paraId="1DDF68F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0.006%</w:t>
            </w:r>
          </w:p>
        </w:tc>
        <w:tc>
          <w:tcPr>
            <w:tcW w:w="1947" w:type="dxa"/>
          </w:tcPr>
          <w:p w14:paraId="1ECBAD2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0.006%</w:t>
            </w:r>
          </w:p>
        </w:tc>
        <w:tc>
          <w:tcPr>
            <w:tcW w:w="1987" w:type="dxa"/>
          </w:tcPr>
          <w:p w14:paraId="06BF1CBF">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0.006%</w:t>
            </w:r>
          </w:p>
        </w:tc>
      </w:tr>
      <w:tr w14:paraId="1CAA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6388B0C8">
            <w:pPr>
              <w:spacing w:line="48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100亿元以上</w:t>
            </w:r>
          </w:p>
        </w:tc>
        <w:tc>
          <w:tcPr>
            <w:tcW w:w="1915" w:type="dxa"/>
          </w:tcPr>
          <w:p w14:paraId="0DF2DD2C">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0.004%</w:t>
            </w:r>
          </w:p>
        </w:tc>
        <w:tc>
          <w:tcPr>
            <w:tcW w:w="1947" w:type="dxa"/>
          </w:tcPr>
          <w:p w14:paraId="391BA5C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0.004%</w:t>
            </w:r>
          </w:p>
        </w:tc>
        <w:tc>
          <w:tcPr>
            <w:tcW w:w="1987" w:type="dxa"/>
          </w:tcPr>
          <w:p w14:paraId="74B346A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0.004%</w:t>
            </w:r>
          </w:p>
        </w:tc>
      </w:tr>
    </w:tbl>
    <w:p w14:paraId="5ED1B0BE">
      <w:pPr>
        <w:rPr>
          <w:rFonts w:hint="eastAsia" w:ascii="仿宋" w:hAnsi="仿宋" w:eastAsia="仿宋" w:cs="仿宋"/>
          <w:color w:val="auto"/>
          <w:sz w:val="28"/>
          <w:szCs w:val="28"/>
          <w:highlight w:val="none"/>
        </w:rPr>
      </w:pPr>
    </w:p>
    <w:p w14:paraId="2D765346">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注:1.按本表费率计算的收费为招标代理服务全过程的收费基准价格，单独提供编制招标文件(有标底的含标底）服务的，可按规定标准的30%计收。</w:t>
      </w:r>
    </w:p>
    <w:p w14:paraId="2F656DA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2.招标代理服务收费按差额定率累进法计算。例如:某工程招标代理业务中标金额为 6000万元，计算招标代理服务收费额如下:</w:t>
      </w:r>
    </w:p>
    <w:p w14:paraId="612BCB72">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100万元×1.0%=1万元</w:t>
      </w:r>
    </w:p>
    <w:p w14:paraId="6828CE52">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(500-100）万元×0.7%=2.8万元</w:t>
      </w:r>
    </w:p>
    <w:p w14:paraId="00800DF0">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(1000-500）×0.55%=2.75万元</w:t>
      </w:r>
    </w:p>
    <w:p w14:paraId="4BA3641D">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(5000-1000）×0.35%=14万元</w:t>
      </w:r>
    </w:p>
    <w:p w14:paraId="564481A7">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( 6000-5000）×0.2%=2万元</w:t>
      </w:r>
    </w:p>
    <w:p w14:paraId="1D2ED629">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合计收费=1+2.8+2.75+14+2=22.55（万元）</w:t>
      </w:r>
    </w:p>
    <w:p w14:paraId="28DAAB5A">
      <w:pPr>
        <w:spacing w:line="6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注:招标代理服务费没有协商费用的以最高投标限价（招标控制价）为基数按收费标准计取；</w:t>
      </w:r>
    </w:p>
    <w:p w14:paraId="5877FF84">
      <w:pPr>
        <w:rPr>
          <w:rFonts w:hint="eastAsia" w:ascii="仿宋" w:hAnsi="仿宋" w:eastAsia="仿宋" w:cs="仿宋"/>
          <w:color w:val="auto"/>
          <w:sz w:val="28"/>
          <w:szCs w:val="28"/>
          <w:highlight w:val="none"/>
        </w:rPr>
      </w:pPr>
    </w:p>
    <w:bookmarkEnd w:id="74"/>
    <w:p w14:paraId="6882B74F">
      <w:pPr>
        <w:pStyle w:val="25"/>
        <w:outlineLvl w:val="2"/>
        <w:rPr>
          <w:rStyle w:val="32"/>
          <w:rFonts w:hint="eastAsia" w:ascii="仿宋" w:hAnsi="仿宋" w:eastAsia="仿宋" w:cs="仿宋"/>
          <w:bCs/>
          <w:color w:val="auto"/>
          <w:sz w:val="28"/>
          <w:szCs w:val="28"/>
          <w:highlight w:val="none"/>
        </w:rPr>
      </w:pPr>
      <w:bookmarkStart w:id="75" w:name="_Toc2026"/>
      <w:bookmarkStart w:id="76" w:name="_Toc11022"/>
      <w:bookmarkStart w:id="77" w:name="_Toc519111269"/>
      <w:r>
        <w:rPr>
          <w:rStyle w:val="32"/>
          <w:rFonts w:hint="eastAsia" w:ascii="仿宋" w:hAnsi="仿宋" w:eastAsia="仿宋" w:cs="仿宋"/>
          <w:bCs/>
          <w:color w:val="auto"/>
          <w:sz w:val="28"/>
          <w:szCs w:val="28"/>
          <w:highlight w:val="none"/>
        </w:rPr>
        <w:t>十、签订、审核合同</w:t>
      </w:r>
      <w:bookmarkEnd w:id="75"/>
      <w:bookmarkEnd w:id="76"/>
      <w:bookmarkEnd w:id="77"/>
    </w:p>
    <w:p w14:paraId="79BF40A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32.中标通知</w:t>
      </w:r>
    </w:p>
    <w:p w14:paraId="3920BA5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32.1中标人确定后,采购代理机构将发布中标公告，并以书面形式向中标人发出中标通知书，但该中标结果的有效性不依赖于未中标的投标人是否已经收到该通知。中标人应缴纳代理服务费并经采购代理机构确认后，委派专人持介绍信或授权书和身份证件前往采购代理机构领取中标通知书。中标通知书对采购人和中标人具有同等法律效力。中标通知书发出以后，采购人改变中标结果或者中标人放弃中标，应当承担相应的法律责任。</w:t>
      </w:r>
    </w:p>
    <w:p w14:paraId="3799436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32.2采购代理机构对未中标的投标人不作未中标原因的解释，但中标结果的有效性不以未中标的投标人是否收到相应的通知为前提。</w:t>
      </w:r>
    </w:p>
    <w:p w14:paraId="0DBB3E7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32.3中标通知书是合同的组成部分。</w:t>
      </w:r>
    </w:p>
    <w:p w14:paraId="63589E6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33.签订合同</w:t>
      </w:r>
    </w:p>
    <w:p w14:paraId="59C24F6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33.1中标人须在中标通知书发出之日起</w:t>
      </w:r>
      <w:r>
        <w:rPr>
          <w:rFonts w:hint="eastAsia" w:ascii="仿宋" w:hAnsi="仿宋" w:eastAsia="仿宋" w:cs="仿宋"/>
          <w:color w:val="auto"/>
          <w:sz w:val="28"/>
          <w:szCs w:val="28"/>
          <w:highlight w:val="none"/>
          <w:lang w:val="en-US" w:eastAsia="zh-CN"/>
        </w:rPr>
        <w:t>30日</w:t>
      </w:r>
      <w:r>
        <w:rPr>
          <w:rFonts w:hint="eastAsia" w:ascii="仿宋" w:hAnsi="仿宋" w:eastAsia="仿宋" w:cs="仿宋"/>
          <w:color w:val="auto"/>
          <w:sz w:val="28"/>
          <w:szCs w:val="28"/>
          <w:highlight w:val="none"/>
        </w:rPr>
        <w:t>内与采购人签订采购合同。</w:t>
      </w:r>
    </w:p>
    <w:p w14:paraId="0E6C144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33.2中标人须按照招标文件、投标文件及评标过程中的有关澄清、说明或者补正文件的内容与采购人签订合同。中标人不得再与采购人签订背离合同实质性内容的其他协议或声明。</w:t>
      </w:r>
    </w:p>
    <w:p w14:paraId="6352D20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33.3采购人如需追加与合同标的相同的货物，在不改变合同其他条款的前提下，提交追加合同的申请经审核后，可与中标人签订补充合同，但所有补充合同的采购金额不得超过原合同金额的百分之十。</w:t>
      </w:r>
    </w:p>
    <w:p w14:paraId="7B50B93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33.4中标人一旦中标及签订合同后，不得转包，亦不得将合同全部及任何权利、义务向第三方转让。</w:t>
      </w:r>
    </w:p>
    <w:p w14:paraId="62DDC51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33.5中标人不履行合同的，采购人可在报经同级人民政府财政部门核准后，与排位在中标人之后的第一位中标候选投标人签订合同，以此类推；或在报经同级人民政府财政部门核准后重新组织采购。</w:t>
      </w:r>
    </w:p>
    <w:p w14:paraId="70E0302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33.6违反32.1条、32.2条的规定，给对方造成损失的，应承担赔偿责任。</w:t>
      </w:r>
    </w:p>
    <w:p w14:paraId="63A4CFC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34.审核合同</w:t>
      </w:r>
    </w:p>
    <w:p w14:paraId="44C36CA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34.1中标人持政府采购合同于签订合同之日起2个工作日内进行备案留存。</w:t>
      </w:r>
      <w:bookmarkStart w:id="78" w:name="EBa988c80f708b478fb07bfc90609eef70"/>
      <w:r>
        <w:rPr>
          <w:rFonts w:hint="eastAsia" w:ascii="仿宋" w:hAnsi="仿宋" w:eastAsia="仿宋" w:cs="仿宋"/>
          <w:color w:val="auto"/>
          <w:sz w:val="28"/>
          <w:szCs w:val="28"/>
          <w:highlight w:val="none"/>
        </w:rPr>
        <w:t xml:space="preserve"> </w:t>
      </w:r>
      <w:bookmarkEnd w:id="78"/>
    </w:p>
    <w:p w14:paraId="182BB2A3">
      <w:pPr>
        <w:pStyle w:val="25"/>
        <w:outlineLvl w:val="2"/>
        <w:rPr>
          <w:rStyle w:val="32"/>
          <w:rFonts w:hint="eastAsia" w:ascii="仿宋" w:hAnsi="仿宋" w:eastAsia="仿宋" w:cs="仿宋"/>
          <w:bCs/>
          <w:color w:val="auto"/>
          <w:sz w:val="28"/>
          <w:szCs w:val="28"/>
          <w:highlight w:val="none"/>
        </w:rPr>
      </w:pPr>
      <w:bookmarkStart w:id="79" w:name="_Toc519111270"/>
      <w:bookmarkStart w:id="80" w:name="_Toc14569"/>
      <w:bookmarkStart w:id="81" w:name="_Toc9263"/>
      <w:r>
        <w:rPr>
          <w:rStyle w:val="32"/>
          <w:rFonts w:hint="eastAsia" w:ascii="仿宋" w:hAnsi="仿宋" w:eastAsia="仿宋" w:cs="仿宋"/>
          <w:bCs/>
          <w:color w:val="auto"/>
          <w:sz w:val="28"/>
          <w:szCs w:val="28"/>
          <w:highlight w:val="none"/>
        </w:rPr>
        <w:t>十一、处罚、询问和质疑</w:t>
      </w:r>
      <w:bookmarkEnd w:id="79"/>
      <w:bookmarkEnd w:id="80"/>
      <w:bookmarkEnd w:id="81"/>
      <w:r>
        <w:rPr>
          <w:rStyle w:val="32"/>
          <w:rFonts w:hint="eastAsia" w:ascii="仿宋" w:hAnsi="仿宋" w:eastAsia="仿宋" w:cs="仿宋"/>
          <w:bCs/>
          <w:color w:val="auto"/>
          <w:sz w:val="28"/>
          <w:szCs w:val="28"/>
          <w:highlight w:val="none"/>
        </w:rPr>
        <w:t xml:space="preserve"> </w:t>
      </w:r>
    </w:p>
    <w:p w14:paraId="5F70CFA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35.处罚</w:t>
      </w:r>
    </w:p>
    <w:p w14:paraId="05DA717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35.1发生下列情况之一，投标人的保证金不予退还；情节严重的将其列入不良记录名单。</w:t>
      </w:r>
    </w:p>
    <w:p w14:paraId="283EABA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1）开标后在投标有效期内，投标人撤回其投标；</w:t>
      </w:r>
    </w:p>
    <w:p w14:paraId="074B267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2）中标后无正当理由不与采购人签订合同的；</w:t>
      </w:r>
    </w:p>
    <w:p w14:paraId="690E868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3）中标人与采购人订立背离合同实质性内容的其他协议；</w:t>
      </w:r>
    </w:p>
    <w:p w14:paraId="6D4CD6B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4）将中标项目转让给他人，或者在投标文件中未说明，且未经采购代理机构同意，将中标项目分包给他人的；</w:t>
      </w:r>
    </w:p>
    <w:p w14:paraId="37D52DB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5）存在串通投标行为的；</w:t>
      </w:r>
    </w:p>
    <w:p w14:paraId="084801E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6）存在弄虚作假或提供虚假材料谋取中标的；</w:t>
      </w:r>
    </w:p>
    <w:p w14:paraId="4D7EB44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7）投标人其他未按招标文件规定和合同约定履行义务的行为。</w:t>
      </w:r>
    </w:p>
    <w:p w14:paraId="10D6865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36．询问</w:t>
      </w:r>
    </w:p>
    <w:p w14:paraId="10EDB30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36.1投标人对采购事项有疑问的，可以向采购人或采购代理机构提出询问。</w:t>
      </w:r>
    </w:p>
    <w:p w14:paraId="09FA803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37.投标人有权就招标事宜提出质疑</w:t>
      </w:r>
    </w:p>
    <w:p w14:paraId="6A169CC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37.1投标人认为招标文件、采购过程和中标结果使自已的权益受到损害的，可以在知道或者应知其权益受到损害之日起7个工作日内，以书面形式提出质疑。</w:t>
      </w:r>
    </w:p>
    <w:p w14:paraId="008A028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37.2质疑应当按照《中华人民共和国政府采购法》、《中华人民共和国政府采购法实施条例》、《政府采购供应商投诉处理办法》等法律法规的相关规定，以书面形式向采购代理机构提出。</w:t>
      </w:r>
    </w:p>
    <w:p w14:paraId="498F7BF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37.3质疑书应当附上相关证明材料，否则质疑将视为无有效证据支持，将被予以驳回，并不得以上述理由要求延长质疑有效期。未递交投标文件的投标人，其未参加后续采购活动，不得对递交投标文件截止后的采购过程、采购结果提出质疑。</w:t>
      </w:r>
    </w:p>
    <w:p w14:paraId="209274F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37.4质疑人可以采取直接送达或者邮寄方式提交质疑书。采购代理机构收到质疑书后，对质疑书进行审查，对符合质疑条件的将办理签收手续，自签收质疑书之日起即为受理。</w:t>
      </w:r>
    </w:p>
    <w:p w14:paraId="2D9CFCD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37.5采购代理机构将在受理书面质疑后7个工作日内审查质疑事项，作出答复或相关处理决定，并以书面形式通知质疑人和其他相关投标人，但答复的内容不涉及商业秘密。</w:t>
      </w:r>
    </w:p>
    <w:p w14:paraId="7A9BD1C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37.6投标人进行虚假和恶意质疑的，采购代理机构将提请有关部门将其列入不良记录名单，在一至三年内禁止参加政府采购活动，并将处理决定在相关政府采购媒体上公布。</w:t>
      </w:r>
    </w:p>
    <w:p w14:paraId="46CB1F0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37.7质疑人对答复不满意以及采购代理机构未在规定的时间内作出答复的，可以在答复期满后15个工作日内向上级部门投拆。</w:t>
      </w:r>
    </w:p>
    <w:p w14:paraId="797111E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37.8供应商在法定质疑期内一次性提出针对同一采购程序环节的质疑。</w:t>
      </w:r>
    </w:p>
    <w:p w14:paraId="01C888AA">
      <w:pPr>
        <w:pStyle w:val="25"/>
        <w:outlineLvl w:val="2"/>
        <w:rPr>
          <w:rStyle w:val="32"/>
          <w:rFonts w:hint="eastAsia" w:ascii="仿宋" w:hAnsi="仿宋" w:eastAsia="仿宋" w:cs="仿宋"/>
          <w:bCs/>
          <w:color w:val="auto"/>
          <w:sz w:val="28"/>
          <w:szCs w:val="28"/>
          <w:highlight w:val="none"/>
        </w:rPr>
      </w:pPr>
      <w:bookmarkStart w:id="82" w:name="_Toc10763"/>
      <w:bookmarkStart w:id="83" w:name="_Toc10007"/>
      <w:bookmarkStart w:id="84" w:name="_Toc519111271"/>
      <w:r>
        <w:rPr>
          <w:rStyle w:val="32"/>
          <w:rFonts w:hint="eastAsia" w:ascii="仿宋" w:hAnsi="仿宋" w:eastAsia="仿宋" w:cs="仿宋"/>
          <w:bCs/>
          <w:color w:val="auto"/>
          <w:sz w:val="28"/>
          <w:szCs w:val="28"/>
          <w:highlight w:val="none"/>
        </w:rPr>
        <w:t>十二、保密和披露</w:t>
      </w:r>
      <w:bookmarkEnd w:id="82"/>
      <w:bookmarkEnd w:id="83"/>
      <w:bookmarkEnd w:id="84"/>
    </w:p>
    <w:p w14:paraId="052F88A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38.保密和披露</w:t>
      </w:r>
    </w:p>
    <w:p w14:paraId="0B9A063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38.1投标人自领取招标文件之日起，须承担本招标项目保密义务，不得将因本次招标获得的信息向第三人外传。由采购人向投标人提供的图纸、详细资料、样品、模型、模件和所有其它资料，被视为保密资料，仅被用于它所规定的用途。除非得到采购人的同意，不能向任何第三方透露。开标结束后，应采购人要求，投标人应归还所有从采购人处获得的保密资料。</w:t>
      </w:r>
    </w:p>
    <w:p w14:paraId="2EEC9E5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38.2采购代理机构有权将投标人提供的所有资料向有关政府部门或评审标书的有关人员披露。</w:t>
      </w:r>
    </w:p>
    <w:p w14:paraId="4683800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38.3在采购代理机构认为适当时、国家机关调查、审查、审计时以及其他符合法律规定的情形下，采购代理机构无须事先征求投标人同意而可以披露关于采购过程、合同文本、签署情况的资料、投标人的名称及地址、投标文件的有关信息以及补充条款等，但应当在合理的必要范围内。对任何已经公布过的内容或与之内容相同的资料，以及投标人已经泄露或公开的，无须再承担保密责任。</w:t>
      </w:r>
    </w:p>
    <w:p w14:paraId="3DD321E6">
      <w:pPr>
        <w:pStyle w:val="39"/>
        <w:rPr>
          <w:rFonts w:hint="eastAsia" w:ascii="仿宋" w:hAnsi="仿宋" w:eastAsia="仿宋" w:cs="仿宋"/>
          <w:color w:val="auto"/>
          <w:sz w:val="28"/>
          <w:szCs w:val="28"/>
          <w:highlight w:val="none"/>
        </w:rPr>
      </w:pPr>
    </w:p>
    <w:p w14:paraId="67C8457A">
      <w:pPr>
        <w:pStyle w:val="39"/>
        <w:rPr>
          <w:rFonts w:hint="eastAsia" w:ascii="仿宋" w:hAnsi="仿宋" w:eastAsia="仿宋" w:cs="仿宋"/>
          <w:color w:val="auto"/>
          <w:sz w:val="28"/>
          <w:szCs w:val="28"/>
          <w:highlight w:val="none"/>
        </w:rPr>
      </w:pPr>
    </w:p>
    <w:p w14:paraId="091E39C2">
      <w:pPr>
        <w:pStyle w:val="39"/>
        <w:rPr>
          <w:rFonts w:hint="eastAsia" w:ascii="仿宋" w:hAnsi="仿宋" w:eastAsia="仿宋" w:cs="仿宋"/>
          <w:color w:val="auto"/>
          <w:sz w:val="28"/>
          <w:szCs w:val="28"/>
          <w:highlight w:val="none"/>
        </w:rPr>
      </w:pPr>
    </w:p>
    <w:p w14:paraId="54C2D53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517B9AA4">
      <w:pPr>
        <w:outlineLvl w:val="9"/>
        <w:rPr>
          <w:rFonts w:hint="eastAsia" w:ascii="仿宋" w:hAnsi="仿宋" w:eastAsia="仿宋" w:cs="仿宋"/>
          <w:color w:val="auto"/>
          <w:sz w:val="28"/>
          <w:szCs w:val="28"/>
          <w:highlight w:val="none"/>
        </w:rPr>
      </w:pPr>
      <w:bookmarkStart w:id="85" w:name="_Toc4202"/>
      <w:r>
        <w:rPr>
          <w:rFonts w:hint="eastAsia" w:ascii="仿宋" w:hAnsi="仿宋" w:eastAsia="仿宋" w:cs="仿宋"/>
          <w:color w:val="auto"/>
          <w:sz w:val="28"/>
          <w:szCs w:val="28"/>
          <w:highlight w:val="none"/>
        </w:rPr>
        <w:t>附件：</w:t>
      </w:r>
      <w:bookmarkEnd w:id="85"/>
    </w:p>
    <w:p w14:paraId="0DE86DBB">
      <w:pPr>
        <w:jc w:val="center"/>
        <w:rPr>
          <w:rFonts w:hint="eastAsia" w:ascii="仿宋" w:hAnsi="仿宋" w:eastAsia="仿宋" w:cs="仿宋"/>
          <w:color w:val="auto"/>
          <w:sz w:val="28"/>
          <w:szCs w:val="28"/>
          <w:highlight w:val="none"/>
        </w:rPr>
      </w:pPr>
      <w:bookmarkStart w:id="86" w:name="_Toc519111272"/>
      <w:bookmarkStart w:id="87" w:name="_Toc787"/>
      <w:r>
        <w:rPr>
          <w:rFonts w:hint="eastAsia" w:ascii="仿宋" w:hAnsi="仿宋" w:eastAsia="仿宋" w:cs="仿宋"/>
          <w:color w:val="auto"/>
          <w:sz w:val="28"/>
          <w:szCs w:val="28"/>
          <w:highlight w:val="none"/>
        </w:rPr>
        <w:t>质疑函范本</w:t>
      </w:r>
    </w:p>
    <w:p w14:paraId="28C664D8">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一、质疑供应商基本信息</w:t>
      </w:r>
    </w:p>
    <w:p w14:paraId="5E177800">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质疑供应商：                                                              </w:t>
      </w:r>
    </w:p>
    <w:p w14:paraId="4563876B">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地址：                             邮编：                                    </w:t>
      </w:r>
    </w:p>
    <w:p w14:paraId="164EF189">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联系人：                           联系电话：                                       </w:t>
      </w:r>
    </w:p>
    <w:p w14:paraId="6D94CA31">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授权代表：                                                                 </w:t>
      </w:r>
    </w:p>
    <w:p w14:paraId="001DA733">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联系电话：                                                                </w:t>
      </w:r>
    </w:p>
    <w:p w14:paraId="0CA40A80">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地址：                              邮编：                                     </w:t>
      </w:r>
    </w:p>
    <w:p w14:paraId="0C33821C">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二、质疑项目基本情况</w:t>
      </w:r>
    </w:p>
    <w:p w14:paraId="2F13111B">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质疑项目的名称：                                                          </w:t>
      </w:r>
    </w:p>
    <w:p w14:paraId="0983F216">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质疑项目的编号：                    包号：                           </w:t>
      </w:r>
    </w:p>
    <w:p w14:paraId="25EAE832">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采购人名称：                                                              </w:t>
      </w:r>
    </w:p>
    <w:p w14:paraId="3FDA9477">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采购文件获取日期：                                                        </w:t>
      </w:r>
    </w:p>
    <w:p w14:paraId="3F7E6BF4">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三、质疑事项具体内容</w:t>
      </w:r>
    </w:p>
    <w:p w14:paraId="7000377F">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质疑事项1：                                                              </w:t>
      </w:r>
    </w:p>
    <w:p w14:paraId="535DE465">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事实依据：                                                                                                                                      </w:t>
      </w:r>
    </w:p>
    <w:p w14:paraId="540FC7D6">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法律依据：                                                                                                                                          </w:t>
      </w:r>
    </w:p>
    <w:p w14:paraId="7C725214">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质疑事项2</w:t>
      </w:r>
    </w:p>
    <w:p w14:paraId="48C3B457">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p w14:paraId="16EA36D0">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四、与质疑事项相关的质疑请求</w:t>
      </w:r>
    </w:p>
    <w:p w14:paraId="32458ECC">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请求：                                                                     </w:t>
      </w:r>
    </w:p>
    <w:p w14:paraId="3183FBA8">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签字(签章)：                   公章：                      </w:t>
      </w:r>
    </w:p>
    <w:p w14:paraId="2F5A23D0">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日期：    </w:t>
      </w:r>
    </w:p>
    <w:p w14:paraId="301CBCDA">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质疑函制作说明：</w:t>
      </w:r>
    </w:p>
    <w:p w14:paraId="5985CC50">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1.供应商提出质疑时，应提交质疑函和必要的证明材料。</w:t>
      </w:r>
    </w:p>
    <w:p w14:paraId="7CFC0016">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A9C42D4">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3.质疑供应商若对项目的某一分包进行质疑，质疑函中应列明具体分包号。</w:t>
      </w:r>
    </w:p>
    <w:p w14:paraId="07BC9C28">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4.质疑函的质疑事项应具体、明确，并有必要的事实依据和法律依据。</w:t>
      </w:r>
    </w:p>
    <w:p w14:paraId="69BF558A">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5.质疑函的质疑请求应与质疑事项相关。</w:t>
      </w:r>
    </w:p>
    <w:p w14:paraId="6C417303">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6.质疑供应商为自然人的，质疑函应由本人签字；质疑供应商为法人或者其他组织的，质疑函应由法定代表人、主要负责人，或者其授权代表签字或者盖章，并加盖公章。</w:t>
      </w:r>
    </w:p>
    <w:p w14:paraId="25E618CD">
      <w:pPr>
        <w:ind w:firstLine="281"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7.供应商在法定质疑期内一次性提出针对同一采购程序环节的质疑。</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7934"/>
      </w:tblGrid>
      <w:tr w14:paraId="3EC7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restart"/>
            <w:vAlign w:val="center"/>
          </w:tcPr>
          <w:p w14:paraId="07523ABB">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质疑函接收方式</w:t>
            </w:r>
          </w:p>
        </w:tc>
        <w:tc>
          <w:tcPr>
            <w:tcW w:w="8189" w:type="dxa"/>
            <w:vAlign w:val="center"/>
          </w:tcPr>
          <w:p w14:paraId="0B4ED824">
            <w:pPr>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color w:val="auto"/>
                <w:sz w:val="28"/>
                <w:szCs w:val="28"/>
                <w:highlight w:val="none"/>
              </w:rPr>
              <w:t xml:space="preserve">☑ </w:t>
            </w:r>
            <w:r>
              <w:rPr>
                <w:rFonts w:hint="eastAsia" w:ascii="仿宋" w:hAnsi="仿宋" w:eastAsia="仿宋" w:cs="仿宋"/>
                <w:b/>
                <w:bCs/>
                <w:color w:val="auto"/>
                <w:sz w:val="28"/>
                <w:szCs w:val="28"/>
                <w:highlight w:val="none"/>
              </w:rPr>
              <w:t>书面质疑递交（或邮寄）地址：</w:t>
            </w:r>
            <w:r>
              <w:rPr>
                <w:rFonts w:hint="eastAsia" w:ascii="仿宋" w:hAnsi="仿宋" w:eastAsia="仿宋" w:cs="仿宋"/>
                <w:b/>
                <w:bCs/>
                <w:color w:val="auto"/>
                <w:sz w:val="28"/>
                <w:szCs w:val="28"/>
                <w:highlight w:val="none"/>
                <w:lang w:val="zh-CN"/>
              </w:rPr>
              <w:t>新疆智能装备研究院</w:t>
            </w:r>
          </w:p>
          <w:p w14:paraId="78A3CBA2">
            <w:pPr>
              <w:jc w:val="center"/>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lang w:val="zh-CN"/>
              </w:rPr>
              <w:t>联系人：</w:t>
            </w:r>
            <w:r>
              <w:rPr>
                <w:rFonts w:hint="eastAsia" w:ascii="仿宋" w:hAnsi="仿宋" w:eastAsia="仿宋" w:cs="仿宋"/>
                <w:b/>
                <w:bCs/>
                <w:color w:val="auto"/>
                <w:sz w:val="28"/>
                <w:szCs w:val="28"/>
                <w:highlight w:val="none"/>
                <w:lang w:eastAsia="zh-CN"/>
              </w:rPr>
              <w:t>李笑霖</w:t>
            </w:r>
            <w:r>
              <w:rPr>
                <w:rFonts w:hint="eastAsia" w:ascii="仿宋" w:hAnsi="仿宋" w:eastAsia="仿宋" w:cs="仿宋"/>
                <w:b/>
                <w:bCs/>
                <w:color w:val="auto"/>
                <w:sz w:val="28"/>
                <w:szCs w:val="28"/>
                <w:highlight w:val="none"/>
                <w:lang w:val="zh-CN"/>
              </w:rPr>
              <w:t> </w:t>
            </w:r>
            <w:r>
              <w:rPr>
                <w:rFonts w:hint="eastAsia" w:ascii="仿宋" w:hAnsi="仿宋" w:eastAsia="仿宋" w:cs="仿宋"/>
                <w:b/>
                <w:bCs/>
                <w:color w:val="auto"/>
                <w:sz w:val="28"/>
                <w:szCs w:val="28"/>
                <w:highlight w:val="none"/>
              </w:rPr>
              <w:t xml:space="preserve"> </w:t>
            </w:r>
            <w:r>
              <w:rPr>
                <w:rFonts w:hint="eastAsia" w:ascii="仿宋" w:hAnsi="仿宋" w:eastAsia="仿宋" w:cs="仿宋"/>
                <w:b/>
                <w:bCs/>
                <w:color w:val="auto"/>
                <w:sz w:val="28"/>
                <w:szCs w:val="28"/>
                <w:highlight w:val="none"/>
                <w:lang w:val="zh-CN"/>
              </w:rPr>
              <w:t xml:space="preserve">电话：16670700857 </w:t>
            </w:r>
          </w:p>
        </w:tc>
      </w:tr>
      <w:tr w14:paraId="00AD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continue"/>
            <w:vAlign w:val="center"/>
          </w:tcPr>
          <w:p w14:paraId="16C60511">
            <w:pPr>
              <w:jc w:val="center"/>
              <w:rPr>
                <w:rFonts w:hint="eastAsia" w:ascii="仿宋" w:hAnsi="仿宋" w:eastAsia="仿宋" w:cs="仿宋"/>
                <w:color w:val="auto"/>
                <w:sz w:val="28"/>
                <w:szCs w:val="28"/>
                <w:highlight w:val="none"/>
              </w:rPr>
            </w:pPr>
          </w:p>
        </w:tc>
        <w:tc>
          <w:tcPr>
            <w:tcW w:w="8189" w:type="dxa"/>
            <w:vAlign w:val="center"/>
          </w:tcPr>
          <w:p w14:paraId="45BD0D21">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b/>
                <w:bCs/>
                <w:color w:val="auto"/>
                <w:sz w:val="28"/>
                <w:szCs w:val="28"/>
                <w:highlight w:val="none"/>
              </w:rPr>
              <w:t>书面质疑递交（或邮寄）地址：</w:t>
            </w:r>
            <w:r>
              <w:rPr>
                <w:rFonts w:hint="eastAsia" w:ascii="仿宋" w:hAnsi="仿宋" w:eastAsia="仿宋" w:cs="仿宋"/>
                <w:b/>
                <w:bCs/>
                <w:color w:val="auto"/>
                <w:sz w:val="28"/>
                <w:szCs w:val="28"/>
                <w:highlight w:val="none"/>
                <w:lang w:eastAsia="zh-CN"/>
              </w:rPr>
              <w:t>新疆阿克苏地区阿克苏市幸福南路6号锦程·玫瑰园小区1#2#楼401商铺</w:t>
            </w:r>
            <w:r>
              <w:rPr>
                <w:rFonts w:hint="eastAsia" w:ascii="仿宋" w:hAnsi="仿宋" w:eastAsia="仿宋" w:cs="仿宋"/>
                <w:b/>
                <w:bCs/>
                <w:color w:val="auto"/>
                <w:sz w:val="28"/>
                <w:szCs w:val="28"/>
                <w:highlight w:val="none"/>
              </w:rPr>
              <w:t>新疆泽一项目管理有限公司，翟代波15899319351或胡双双19999778019收；同时将质疑文件扫描件发送至新疆泽一项目管理有限公司企业邮箱（邮箱地址：</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"mailto:xjzy@xjzeyi.com）" </w:instrText>
            </w:r>
            <w:r>
              <w:rPr>
                <w:rFonts w:hint="eastAsia" w:ascii="仿宋" w:hAnsi="仿宋" w:eastAsia="仿宋" w:cs="仿宋"/>
                <w:color w:val="auto"/>
                <w:sz w:val="28"/>
                <w:szCs w:val="28"/>
                <w:highlight w:val="none"/>
              </w:rPr>
              <w:fldChar w:fldCharType="separate"/>
            </w:r>
            <w:r>
              <w:rPr>
                <w:rStyle w:val="33"/>
                <w:rFonts w:hint="eastAsia" w:ascii="仿宋" w:hAnsi="仿宋" w:eastAsia="仿宋" w:cs="仿宋"/>
                <w:b/>
                <w:bCs/>
                <w:color w:val="auto"/>
                <w:sz w:val="28"/>
                <w:szCs w:val="28"/>
                <w:highlight w:val="none"/>
              </w:rPr>
              <w:t>xjzy@xjzeyi.com）</w:t>
            </w:r>
            <w:r>
              <w:rPr>
                <w:rStyle w:val="33"/>
                <w:rFonts w:hint="eastAsia" w:ascii="仿宋" w:hAnsi="仿宋" w:eastAsia="仿宋" w:cs="仿宋"/>
                <w:b/>
                <w:bCs/>
                <w:color w:val="auto"/>
                <w:sz w:val="28"/>
                <w:szCs w:val="28"/>
                <w:highlight w:val="none"/>
              </w:rPr>
              <w:fldChar w:fldCharType="end"/>
            </w:r>
          </w:p>
        </w:tc>
      </w:tr>
    </w:tbl>
    <w:p w14:paraId="1D3D7A23">
      <w:pPr>
        <w:ind w:firstLine="281" w:firstLineChars="1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注：质疑函附件应提供营业执照扫描件、法定代表人身份证扫描件、授权委托人应附供应商授权委托书及被委托人身份证扫描件、获取招标文件回执单。</w:t>
      </w:r>
    </w:p>
    <w:p w14:paraId="5A834D5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0CCAB351">
      <w:pPr>
        <w:keepNext w:val="0"/>
        <w:keepLines w:val="0"/>
        <w:pageBreakBefore w:val="0"/>
        <w:widowControl w:val="0"/>
        <w:numPr>
          <w:ilvl w:val="0"/>
          <w:numId w:val="3"/>
        </w:numPr>
        <w:kinsoku/>
        <w:wordWrap/>
        <w:overflowPunct/>
        <w:topLinePunct w:val="0"/>
        <w:autoSpaceDE/>
        <w:autoSpaceDN/>
        <w:bidi w:val="0"/>
        <w:adjustRightInd/>
        <w:snapToGrid/>
        <w:ind w:firstLine="722" w:firstLineChars="200"/>
        <w:jc w:val="center"/>
        <w:textAlignment w:val="auto"/>
        <w:outlineLvl w:val="0"/>
        <w:rPr>
          <w:rFonts w:hint="eastAsia" w:ascii="仿宋" w:hAnsi="仿宋" w:eastAsia="仿宋" w:cs="仿宋"/>
          <w:b/>
          <w:bCs/>
          <w:color w:val="auto"/>
          <w:sz w:val="36"/>
          <w:szCs w:val="36"/>
          <w:highlight w:val="none"/>
        </w:rPr>
      </w:pPr>
      <w:bookmarkStart w:id="88" w:name="_Toc21095"/>
      <w:r>
        <w:rPr>
          <w:rFonts w:hint="eastAsia" w:ascii="仿宋" w:hAnsi="仿宋" w:eastAsia="仿宋" w:cs="仿宋"/>
          <w:b/>
          <w:bCs/>
          <w:color w:val="auto"/>
          <w:sz w:val="36"/>
          <w:szCs w:val="36"/>
          <w:highlight w:val="none"/>
        </w:rPr>
        <w:t xml:space="preserve"> </w:t>
      </w:r>
      <w:bookmarkStart w:id="89" w:name="_Toc12345"/>
      <w:r>
        <w:rPr>
          <w:rFonts w:hint="eastAsia" w:ascii="仿宋" w:hAnsi="仿宋" w:eastAsia="仿宋" w:cs="仿宋"/>
          <w:b/>
          <w:bCs/>
          <w:color w:val="auto"/>
          <w:sz w:val="36"/>
          <w:szCs w:val="36"/>
          <w:highlight w:val="none"/>
        </w:rPr>
        <w:t>采购需求</w:t>
      </w:r>
      <w:bookmarkEnd w:id="86"/>
      <w:bookmarkEnd w:id="87"/>
      <w:bookmarkEnd w:id="88"/>
      <w:bookmarkEnd w:id="89"/>
      <w:bookmarkStart w:id="90" w:name="_Toc480371714"/>
      <w:bookmarkStart w:id="91" w:name="_Toc13420"/>
      <w:bookmarkStart w:id="92" w:name="_Toc12614"/>
      <w:bookmarkStart w:id="93" w:name="_Toc519111274"/>
      <w:bookmarkStart w:id="94" w:name="_Toc480368415"/>
    </w:p>
    <w:tbl>
      <w:tblPr>
        <w:tblStyle w:val="29"/>
        <w:tblW w:w="9215" w:type="dxa"/>
        <w:tblInd w:w="93" w:type="dxa"/>
        <w:tblLayout w:type="fixed"/>
        <w:tblCellMar>
          <w:top w:w="0" w:type="dxa"/>
          <w:left w:w="108" w:type="dxa"/>
          <w:bottom w:w="0" w:type="dxa"/>
          <w:right w:w="108" w:type="dxa"/>
        </w:tblCellMar>
      </w:tblPr>
      <w:tblGrid>
        <w:gridCol w:w="692"/>
        <w:gridCol w:w="832"/>
        <w:gridCol w:w="723"/>
        <w:gridCol w:w="2059"/>
        <w:gridCol w:w="4658"/>
        <w:gridCol w:w="251"/>
      </w:tblGrid>
      <w:tr w14:paraId="4BCCC734">
        <w:tblPrEx>
          <w:tblCellMar>
            <w:top w:w="0" w:type="dxa"/>
            <w:left w:w="108" w:type="dxa"/>
            <w:bottom w:w="0" w:type="dxa"/>
            <w:right w:w="108" w:type="dxa"/>
          </w:tblCellMar>
        </w:tblPrEx>
        <w:trPr>
          <w:gridAfter w:val="1"/>
          <w:wAfter w:w="251" w:type="dxa"/>
          <w:trHeight w:val="90" w:hRule="atLeast"/>
        </w:trPr>
        <w:tc>
          <w:tcPr>
            <w:tcW w:w="8964" w:type="dxa"/>
            <w:gridSpan w:val="5"/>
            <w:tcBorders>
              <w:top w:val="nil"/>
              <w:left w:val="nil"/>
              <w:bottom w:val="nil"/>
              <w:right w:val="nil"/>
            </w:tcBorders>
            <w:vAlign w:val="center"/>
          </w:tcPr>
          <w:p w14:paraId="362AF508">
            <w:pPr>
              <w:widowControl/>
              <w:jc w:val="left"/>
              <w:textAlignment w:val="center"/>
              <w:rPr>
                <w:color w:val="auto"/>
                <w:highlight w:val="none"/>
              </w:rPr>
            </w:pPr>
            <w:bookmarkStart w:id="95" w:name="_Toc21567"/>
          </w:p>
        </w:tc>
      </w:tr>
      <w:tr w14:paraId="7602016E">
        <w:tblPrEx>
          <w:tblCellMar>
            <w:top w:w="0" w:type="dxa"/>
            <w:left w:w="108" w:type="dxa"/>
            <w:bottom w:w="0" w:type="dxa"/>
            <w:right w:w="108" w:type="dxa"/>
          </w:tblCellMar>
        </w:tblPrEx>
        <w:trPr>
          <w:gridAfter w:val="1"/>
          <w:wAfter w:w="251" w:type="dxa"/>
          <w:trHeight w:val="90" w:hRule="atLeast"/>
        </w:trPr>
        <w:tc>
          <w:tcPr>
            <w:tcW w:w="8964" w:type="dxa"/>
            <w:gridSpan w:val="5"/>
            <w:tcBorders>
              <w:top w:val="nil"/>
              <w:left w:val="nil"/>
              <w:bottom w:val="nil"/>
              <w:right w:val="nil"/>
            </w:tcBorders>
            <w:vAlign w:val="center"/>
          </w:tcPr>
          <w:p w14:paraId="6DDB7AE7">
            <w:pPr>
              <w:widowControl/>
              <w:autoSpaceDE w:val="0"/>
              <w:autoSpaceDN w:val="0"/>
              <w:adjustRightInd w:val="0"/>
              <w:spacing w:line="276" w:lineRule="auto"/>
              <w:jc w:val="left"/>
              <w:textAlignment w:val="center"/>
              <w:rPr>
                <w:rFonts w:ascii="微软雅黑" w:hAnsi="微软雅黑" w:eastAsia="微软雅黑" w:cs="微软雅黑"/>
                <w:color w:val="auto"/>
                <w:kern w:val="0"/>
                <w:sz w:val="24"/>
                <w:highlight w:val="none"/>
              </w:rPr>
            </w:pPr>
          </w:p>
        </w:tc>
      </w:tr>
      <w:tr w14:paraId="4C15E147">
        <w:tblPrEx>
          <w:tblCellMar>
            <w:top w:w="0" w:type="dxa"/>
            <w:left w:w="108" w:type="dxa"/>
            <w:bottom w:w="0" w:type="dxa"/>
            <w:right w:w="108" w:type="dxa"/>
          </w:tblCellMar>
        </w:tblPrEx>
        <w:trPr>
          <w:trHeight w:val="1743" w:hRule="atLeast"/>
        </w:trPr>
        <w:tc>
          <w:tcPr>
            <w:tcW w:w="692" w:type="dxa"/>
            <w:tcBorders>
              <w:top w:val="single" w:color="000000" w:sz="4" w:space="0"/>
              <w:left w:val="single" w:color="000000" w:sz="4" w:space="0"/>
              <w:bottom w:val="single" w:color="000000" w:sz="4" w:space="0"/>
              <w:right w:val="single" w:color="000000" w:sz="4" w:space="0"/>
            </w:tcBorders>
            <w:noWrap/>
            <w:vAlign w:val="center"/>
          </w:tcPr>
          <w:p w14:paraId="6E1CE77A">
            <w:pPr>
              <w:autoSpaceDE/>
              <w:autoSpaceDN/>
              <w:adjustRightInd/>
              <w:spacing w:line="360" w:lineRule="auto"/>
              <w:jc w:val="center"/>
              <w:rPr>
                <w:rFonts w:hint="eastAsia" w:ascii="宋体" w:hAnsi="宋体" w:eastAsia="宋体" w:cs="宋体"/>
                <w:kern w:val="2"/>
                <w:highlight w:val="none"/>
              </w:rPr>
            </w:pPr>
            <w:r>
              <w:rPr>
                <w:rFonts w:hint="eastAsia" w:ascii="宋体" w:hAnsi="宋体" w:eastAsia="宋体" w:cs="宋体"/>
                <w:kern w:val="2"/>
                <w:highlight w:val="none"/>
              </w:rPr>
              <w:t>序号</w:t>
            </w:r>
          </w:p>
        </w:tc>
        <w:tc>
          <w:tcPr>
            <w:tcW w:w="832" w:type="dxa"/>
            <w:tcBorders>
              <w:top w:val="single" w:color="000000" w:sz="4" w:space="0"/>
              <w:left w:val="single" w:color="000000" w:sz="4" w:space="0"/>
              <w:bottom w:val="single" w:color="000000" w:sz="4" w:space="0"/>
              <w:right w:val="single" w:color="000000" w:sz="4" w:space="0"/>
            </w:tcBorders>
            <w:vAlign w:val="center"/>
          </w:tcPr>
          <w:p w14:paraId="65E931A6">
            <w:pPr>
              <w:autoSpaceDE/>
              <w:autoSpaceDN/>
              <w:adjustRightInd/>
              <w:spacing w:line="360" w:lineRule="auto"/>
              <w:jc w:val="center"/>
              <w:rPr>
                <w:rFonts w:hint="eastAsia" w:ascii="宋体" w:hAnsi="宋体" w:eastAsia="宋体" w:cs="宋体"/>
                <w:kern w:val="2"/>
                <w:highlight w:val="none"/>
              </w:rPr>
            </w:pPr>
            <w:r>
              <w:rPr>
                <w:rFonts w:hint="eastAsia" w:ascii="宋体" w:hAnsi="宋体" w:eastAsia="宋体" w:cs="宋体"/>
                <w:kern w:val="2"/>
                <w:highlight w:val="none"/>
              </w:rPr>
              <w:t>采购标的名称</w:t>
            </w:r>
          </w:p>
        </w:tc>
        <w:tc>
          <w:tcPr>
            <w:tcW w:w="723" w:type="dxa"/>
            <w:tcBorders>
              <w:top w:val="single" w:color="000000" w:sz="4" w:space="0"/>
              <w:left w:val="single" w:color="000000" w:sz="4" w:space="0"/>
              <w:bottom w:val="single" w:color="000000" w:sz="4" w:space="0"/>
              <w:right w:val="single" w:color="000000" w:sz="4" w:space="0"/>
            </w:tcBorders>
            <w:vAlign w:val="center"/>
          </w:tcPr>
          <w:p w14:paraId="3E2290BC">
            <w:pPr>
              <w:autoSpaceDE/>
              <w:autoSpaceDN/>
              <w:adjustRightInd/>
              <w:spacing w:line="360" w:lineRule="auto"/>
              <w:jc w:val="center"/>
              <w:rPr>
                <w:rFonts w:hint="eastAsia" w:ascii="宋体" w:hAnsi="宋体" w:eastAsia="宋体" w:cs="宋体"/>
                <w:kern w:val="2"/>
                <w:highlight w:val="none"/>
              </w:rPr>
            </w:pPr>
            <w:r>
              <w:rPr>
                <w:rFonts w:hint="eastAsia" w:ascii="宋体" w:hAnsi="宋体" w:eastAsia="宋体" w:cs="宋体"/>
                <w:kern w:val="2"/>
                <w:highlight w:val="none"/>
              </w:rPr>
              <w:t>采购标的数量</w:t>
            </w:r>
          </w:p>
        </w:tc>
        <w:tc>
          <w:tcPr>
            <w:tcW w:w="2059" w:type="dxa"/>
            <w:tcBorders>
              <w:top w:val="single" w:color="000000" w:sz="4" w:space="0"/>
              <w:left w:val="single" w:color="000000" w:sz="4" w:space="0"/>
              <w:bottom w:val="single" w:color="000000" w:sz="4" w:space="0"/>
              <w:right w:val="single" w:color="000000" w:sz="4" w:space="0"/>
            </w:tcBorders>
            <w:vAlign w:val="center"/>
          </w:tcPr>
          <w:p w14:paraId="4F17578F">
            <w:pPr>
              <w:autoSpaceDE/>
              <w:autoSpaceDN/>
              <w:adjustRightInd/>
              <w:spacing w:line="360" w:lineRule="auto"/>
              <w:jc w:val="center"/>
              <w:rPr>
                <w:rFonts w:hint="eastAsia" w:ascii="宋体" w:hAnsi="宋体" w:eastAsia="宋体" w:cs="宋体"/>
                <w:kern w:val="2"/>
                <w:highlight w:val="none"/>
              </w:rPr>
            </w:pPr>
            <w:r>
              <w:rPr>
                <w:rFonts w:hint="eastAsia" w:ascii="宋体" w:hAnsi="宋体" w:eastAsia="宋体" w:cs="宋体"/>
                <w:kern w:val="2"/>
                <w:highlight w:val="none"/>
              </w:rPr>
              <w:t>主要功能或目标</w:t>
            </w:r>
          </w:p>
        </w:tc>
        <w:tc>
          <w:tcPr>
            <w:tcW w:w="4909" w:type="dxa"/>
            <w:gridSpan w:val="2"/>
            <w:tcBorders>
              <w:top w:val="single" w:color="000000" w:sz="4" w:space="0"/>
              <w:left w:val="single" w:color="000000" w:sz="4" w:space="0"/>
              <w:bottom w:val="single" w:color="000000" w:sz="4" w:space="0"/>
              <w:right w:val="single" w:color="000000" w:sz="4" w:space="0"/>
            </w:tcBorders>
            <w:vAlign w:val="center"/>
          </w:tcPr>
          <w:p w14:paraId="4D86EBEE">
            <w:pPr>
              <w:autoSpaceDE/>
              <w:autoSpaceDN/>
              <w:adjustRightInd/>
              <w:spacing w:line="360" w:lineRule="auto"/>
              <w:ind w:firstLine="241" w:firstLineChars="100"/>
              <w:jc w:val="center"/>
              <w:rPr>
                <w:rFonts w:hint="eastAsia" w:ascii="宋体" w:hAnsi="宋体" w:eastAsia="宋体" w:cs="宋体"/>
                <w:kern w:val="2"/>
                <w:highlight w:val="none"/>
              </w:rPr>
            </w:pPr>
            <w:r>
              <w:rPr>
                <w:rFonts w:hint="eastAsia" w:ascii="宋体" w:hAnsi="宋体" w:eastAsia="宋体" w:cs="宋体"/>
                <w:kern w:val="2"/>
                <w:highlight w:val="none"/>
              </w:rPr>
              <w:t>需满足的</w:t>
            </w:r>
            <w:r>
              <w:rPr>
                <w:rFonts w:hint="eastAsia" w:ascii="宋体" w:hAnsi="宋体" w:eastAsia="宋体" w:cs="宋体"/>
                <w:kern w:val="2"/>
                <w:highlight w:val="none"/>
                <w:lang w:val="en-US" w:eastAsia="zh-CN"/>
              </w:rPr>
              <w:t>技术</w:t>
            </w:r>
            <w:r>
              <w:rPr>
                <w:rFonts w:hint="eastAsia" w:ascii="宋体" w:hAnsi="宋体" w:eastAsia="宋体" w:cs="宋体"/>
                <w:kern w:val="2"/>
                <w:highlight w:val="none"/>
              </w:rPr>
              <w:t>要求</w:t>
            </w:r>
          </w:p>
        </w:tc>
      </w:tr>
      <w:tr w14:paraId="610E2700">
        <w:tblPrEx>
          <w:tblCellMar>
            <w:top w:w="0" w:type="dxa"/>
            <w:left w:w="108" w:type="dxa"/>
            <w:bottom w:w="0" w:type="dxa"/>
            <w:right w:w="108" w:type="dxa"/>
          </w:tblCellMar>
        </w:tblPrEx>
        <w:trPr>
          <w:trHeight w:val="4582" w:hRule="atLeast"/>
        </w:trPr>
        <w:tc>
          <w:tcPr>
            <w:tcW w:w="692" w:type="dxa"/>
            <w:tcBorders>
              <w:top w:val="single" w:color="000000" w:sz="4" w:space="0"/>
              <w:left w:val="single" w:color="000000" w:sz="4" w:space="0"/>
              <w:bottom w:val="single" w:color="000000" w:sz="4" w:space="0"/>
              <w:right w:val="single" w:color="000000" w:sz="4" w:space="0"/>
            </w:tcBorders>
            <w:noWrap/>
            <w:vAlign w:val="center"/>
          </w:tcPr>
          <w:p w14:paraId="7E703622">
            <w:pPr>
              <w:autoSpaceDE/>
              <w:autoSpaceDN/>
              <w:adjustRightInd/>
              <w:spacing w:line="360" w:lineRule="auto"/>
              <w:ind w:firstLine="241" w:firstLineChars="100"/>
              <w:rPr>
                <w:rFonts w:hint="eastAsia" w:ascii="宋体" w:hAnsi="宋体" w:eastAsia="宋体" w:cs="宋体"/>
                <w:kern w:val="2"/>
                <w:highlight w:val="none"/>
              </w:rPr>
            </w:pPr>
            <w:r>
              <w:rPr>
                <w:rFonts w:hint="eastAsia" w:ascii="宋体" w:hAnsi="宋体" w:eastAsia="宋体" w:cs="宋体"/>
                <w:kern w:val="2"/>
                <w:highlight w:val="none"/>
              </w:rPr>
              <w:t>1</w:t>
            </w:r>
          </w:p>
        </w:tc>
        <w:tc>
          <w:tcPr>
            <w:tcW w:w="832" w:type="dxa"/>
            <w:tcBorders>
              <w:top w:val="single" w:color="000000" w:sz="4" w:space="0"/>
              <w:left w:val="single" w:color="000000" w:sz="4" w:space="0"/>
              <w:bottom w:val="single" w:color="000000" w:sz="4" w:space="0"/>
              <w:right w:val="single" w:color="000000" w:sz="4" w:space="0"/>
            </w:tcBorders>
            <w:vAlign w:val="center"/>
          </w:tcPr>
          <w:p w14:paraId="31D9B249">
            <w:pPr>
              <w:autoSpaceDE/>
              <w:autoSpaceDN/>
              <w:adjustRightInd/>
              <w:spacing w:line="360" w:lineRule="auto"/>
              <w:rPr>
                <w:rFonts w:hint="eastAsia" w:ascii="宋体" w:hAnsi="宋体" w:eastAsia="宋体" w:cs="宋体"/>
                <w:kern w:val="2"/>
                <w:highlight w:val="none"/>
              </w:rPr>
            </w:pPr>
            <w:r>
              <w:rPr>
                <w:rFonts w:hint="eastAsia" w:ascii="宋体" w:hAnsi="宋体" w:eastAsia="宋体" w:cs="宋体"/>
                <w:kern w:val="2"/>
                <w:highlight w:val="none"/>
              </w:rPr>
              <w:t>可改造挖掘机无人化实验平台</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07995EC8">
            <w:pPr>
              <w:autoSpaceDE/>
              <w:autoSpaceDN/>
              <w:adjustRightInd/>
              <w:spacing w:line="360" w:lineRule="auto"/>
              <w:rPr>
                <w:rFonts w:hint="eastAsia" w:ascii="宋体" w:hAnsi="宋体" w:eastAsia="宋体" w:cs="宋体"/>
                <w:kern w:val="2"/>
                <w:highlight w:val="none"/>
              </w:rPr>
            </w:pPr>
            <w:r>
              <w:rPr>
                <w:rFonts w:hint="eastAsia" w:ascii="宋体" w:hAnsi="宋体" w:eastAsia="宋体" w:cs="宋体"/>
                <w:kern w:val="2"/>
                <w:highlight w:val="none"/>
              </w:rPr>
              <w:t>1套</w:t>
            </w:r>
          </w:p>
        </w:tc>
        <w:tc>
          <w:tcPr>
            <w:tcW w:w="2059" w:type="dxa"/>
            <w:tcBorders>
              <w:top w:val="single" w:color="000000" w:sz="4" w:space="0"/>
              <w:left w:val="single" w:color="000000" w:sz="4" w:space="0"/>
              <w:bottom w:val="single" w:color="000000" w:sz="4" w:space="0"/>
              <w:right w:val="single" w:color="000000" w:sz="4" w:space="0"/>
            </w:tcBorders>
            <w:vAlign w:val="center"/>
          </w:tcPr>
          <w:p w14:paraId="21D5E457">
            <w:pPr>
              <w:autoSpaceDE/>
              <w:autoSpaceDN/>
              <w:adjustRightInd/>
              <w:spacing w:line="360" w:lineRule="auto"/>
              <w:ind w:firstLine="241" w:firstLineChars="100"/>
              <w:rPr>
                <w:rFonts w:hint="eastAsia" w:ascii="宋体" w:hAnsi="宋体" w:eastAsia="宋体" w:cs="宋体"/>
                <w:kern w:val="2"/>
                <w:highlight w:val="none"/>
              </w:rPr>
            </w:pPr>
            <w:r>
              <w:rPr>
                <w:rFonts w:hint="eastAsia" w:ascii="宋体" w:hAnsi="宋体" w:eastAsia="宋体" w:cs="宋体"/>
                <w:kern w:val="2"/>
                <w:highlight w:val="none"/>
              </w:rPr>
              <w:t>建设一套面向露天矿智能挖掘与挖机—矿卡协同装载研究的实体实验平台。平台由电动液压挖掘机本体、开放式机载智能控制器、多源传感器接入模块、边缘计算单元、数据采集通信系统及安全控制装置等组成。</w:t>
            </w:r>
            <w:r>
              <w:rPr>
                <w:rFonts w:hint="eastAsia" w:ascii="宋体" w:hAnsi="宋体" w:eastAsia="宋体" w:cs="宋体"/>
                <w:kern w:val="2"/>
                <w:highlight w:val="none"/>
              </w:rPr>
              <w:br w:type="textWrapping"/>
            </w:r>
            <w:r>
              <w:rPr>
                <w:rFonts w:hint="eastAsia" w:ascii="宋体" w:hAnsi="宋体" w:eastAsia="宋体" w:cs="宋体"/>
                <w:kern w:val="2"/>
                <w:highlight w:val="none"/>
              </w:rPr>
              <w:t>平台应具备设备状态感知、数据采集、控制接口开放、智能算法部署和二次开发能力，支持开展挖掘、回转、卸料、行走、远程操控及无人驾驶等实验研究，可为挖机—矿卡协同装载过程中的状态感知、作业空间建模、智能交互、多斗次装载决策和无人化控制算法验证提供实验条件。</w:t>
            </w:r>
          </w:p>
        </w:tc>
        <w:tc>
          <w:tcPr>
            <w:tcW w:w="4909" w:type="dxa"/>
            <w:gridSpan w:val="2"/>
            <w:tcBorders>
              <w:top w:val="single" w:color="000000" w:sz="4" w:space="0"/>
              <w:left w:val="single" w:color="000000" w:sz="4" w:space="0"/>
              <w:bottom w:val="single" w:color="000000" w:sz="4" w:space="0"/>
              <w:right w:val="single" w:color="000000" w:sz="4" w:space="0"/>
            </w:tcBorders>
            <w:vAlign w:val="center"/>
          </w:tcPr>
          <w:p w14:paraId="25A5B499">
            <w:pPr>
              <w:autoSpaceDE/>
              <w:autoSpaceDN/>
              <w:adjustRightInd/>
              <w:spacing w:line="360" w:lineRule="auto"/>
              <w:ind w:firstLine="241" w:firstLineChars="100"/>
              <w:rPr>
                <w:rFonts w:hint="eastAsia" w:ascii="宋体" w:hAnsi="宋体" w:eastAsia="宋体" w:cs="宋体"/>
                <w:kern w:val="2"/>
                <w:highlight w:val="none"/>
              </w:rPr>
            </w:pPr>
            <w:r>
              <w:rPr>
                <w:rFonts w:hint="eastAsia" w:ascii="宋体" w:hAnsi="宋体" w:eastAsia="宋体" w:cs="宋体"/>
                <w:b/>
                <w:bCs/>
                <w:kern w:val="2"/>
                <w:highlight w:val="none"/>
              </w:rPr>
              <w:t>核心产品1. 挖掘机本体要求：</w:t>
            </w:r>
            <w:r>
              <w:rPr>
                <w:rFonts w:hint="eastAsia" w:ascii="宋体" w:hAnsi="宋体" w:eastAsia="宋体" w:cs="宋体"/>
                <w:kern w:val="2"/>
                <w:highlight w:val="none"/>
              </w:rPr>
              <w:t>采用20吨级纯电动履带式液压挖掘机，整机工作质量不低于20 t，标准斗容不低于1.0 m³，电机额定功率不低于150 kW；最大挖掘高度不低于9.5 m，最大卸载高度不低于6.7 m，最大挖掘深度不低于6.3 m，最大挖掘半径不低于9.5 m。整机具备行走、回转、动臂、斗杆和铲斗等机构的电液控制与二次开发条件，保留人工操作功能，满足无人化改造和智能控制实验需求。</w:t>
            </w:r>
            <w:r>
              <w:rPr>
                <w:rFonts w:hint="eastAsia" w:ascii="宋体" w:hAnsi="宋体" w:eastAsia="宋体" w:cs="宋体"/>
                <w:kern w:val="2"/>
                <w:highlight w:val="none"/>
              </w:rPr>
              <w:br w:type="textWrapping"/>
            </w:r>
            <w:r>
              <w:rPr>
                <w:rFonts w:hint="eastAsia" w:ascii="宋体" w:hAnsi="宋体" w:eastAsia="宋体" w:cs="宋体"/>
                <w:kern w:val="2"/>
                <w:highlight w:val="none"/>
              </w:rPr>
              <w:t>2. 开放式智能控制与二次开发要求：供应商需提供开放式机载智能控制器，并完成该设备与原有挖掘机电液控制系统的对接适配工作。控制器可接收并执行行走、回转、动臂、斗杆、铲斗等全执行机构控制指令，支持人工、远程、全自动三种作业模式切换，可搭载无人驾驶算法，配套完成各类控制接口联调验证。设备整机应开放挖掘机电液控制底层权限，支持用户二次开发，实现行走、回转、动臂、斗杆、铲斗等基础动作自主控制开发，并预留功能扩展能力，兼容多类型新增传感器接入。控制器应具备独立智能计算能力，支撑无人驾驶算法部署、控制接口校验和设备自主决策；硬件集成CAN总线、工业以太网、RS485、模拟量、数字量、编码器等多类型通信接口，实现多源传感数据同步采集、预处理、本地存储与实时转发。供应商须同步交付完整技术资料，包括硬件接口定义、通信协议规范、标准化数据字典及配套二次开发SDK开发工具包。</w:t>
            </w:r>
            <w:r>
              <w:rPr>
                <w:rFonts w:hint="eastAsia" w:ascii="宋体" w:hAnsi="宋体" w:eastAsia="宋体" w:cs="宋体"/>
                <w:kern w:val="2"/>
                <w:highlight w:val="none"/>
              </w:rPr>
              <w:br w:type="textWrapping"/>
            </w:r>
            <w:r>
              <w:rPr>
                <w:rFonts w:hint="eastAsia" w:ascii="宋体" w:hAnsi="宋体" w:eastAsia="宋体" w:cs="宋体"/>
                <w:kern w:val="2"/>
                <w:highlight w:val="none"/>
              </w:rPr>
              <w:t>3. 基础传感器配置要求：平台应加装满足无人化实验需求的基础传感器配置，用于采集设备运行状态、机构运动状态及作业过程信息，为感知算法开发、状态分析和无人化控制研究提供数据基础。基础传感器应完成与机载控制系统及数据采集系统的集成，支持传感数据实时采集、传输和调用，满足实验平台后续功能扩展和二次开发需求。</w:t>
            </w:r>
            <w:r>
              <w:rPr>
                <w:rFonts w:hint="eastAsia" w:ascii="宋体" w:hAnsi="宋体" w:eastAsia="宋体" w:cs="宋体"/>
                <w:kern w:val="2"/>
                <w:highlight w:val="none"/>
              </w:rPr>
              <w:br w:type="textWrapping"/>
            </w:r>
            <w:r>
              <w:rPr>
                <w:rFonts w:hint="eastAsia" w:ascii="宋体" w:hAnsi="宋体" w:eastAsia="宋体" w:cs="宋体"/>
                <w:kern w:val="2"/>
                <w:highlight w:val="none"/>
              </w:rPr>
              <w:t>4. 安全控制要求：平台应设置独立急停、安全联锁、故障降级、通信中断保护、控制权限管理和人工优先接管机制，确保异常情况下设备能够停止运行或切换至安全状态。</w:t>
            </w:r>
            <w:r>
              <w:rPr>
                <w:rFonts w:hint="eastAsia" w:ascii="宋体" w:hAnsi="宋体" w:eastAsia="宋体" w:cs="宋体"/>
                <w:kern w:val="2"/>
                <w:highlight w:val="none"/>
              </w:rPr>
              <w:br w:type="textWrapping"/>
            </w:r>
            <w:r>
              <w:rPr>
                <w:rFonts w:hint="eastAsia" w:ascii="宋体" w:hAnsi="宋体" w:eastAsia="宋体" w:cs="宋体"/>
                <w:kern w:val="2"/>
                <w:highlight w:val="none"/>
              </w:rPr>
              <w:t>5. 系统集成与服务要求：供应商负责完成挖掘机本体、智能控制系统、基础传感器、数据采集系统及相关接口的集成调试，提供设备安装、系统标定、功能测试和技术培训服务，并交付设备说明书、电气接口文件、通信协议、软件开发文档等相关技术资料，保障平台具备长期科研使用和持续升级能力。</w:t>
            </w:r>
          </w:p>
        </w:tc>
      </w:tr>
    </w:tbl>
    <w:p w14:paraId="76FB0789">
      <w:pPr>
        <w:autoSpaceDE/>
        <w:autoSpaceDN/>
        <w:adjustRightInd/>
        <w:spacing w:line="360" w:lineRule="auto"/>
        <w:ind w:firstLine="241" w:firstLineChars="100"/>
        <w:rPr>
          <w:rFonts w:hint="eastAsia" w:ascii="宋体" w:hAnsi="宋体" w:eastAsia="宋体" w:cs="宋体"/>
          <w:kern w:val="2"/>
          <w:highlight w:val="none"/>
        </w:rPr>
      </w:pPr>
    </w:p>
    <w:p w14:paraId="7D7E99E2">
      <w:pPr>
        <w:autoSpaceDE/>
        <w:autoSpaceDN/>
        <w:adjustRightInd/>
        <w:spacing w:line="360" w:lineRule="auto"/>
        <w:ind w:firstLine="241" w:firstLineChars="100"/>
        <w:rPr>
          <w:rFonts w:hint="eastAsia" w:ascii="宋体" w:hAnsi="宋体" w:eastAsia="宋体" w:cs="宋体"/>
          <w:color w:val="auto"/>
          <w:kern w:val="2"/>
          <w:sz w:val="24"/>
          <w:szCs w:val="24"/>
          <w:highlight w:val="none"/>
          <w:lang w:val="en-US" w:eastAsia="zh-CN"/>
        </w:rPr>
      </w:pPr>
    </w:p>
    <w:p w14:paraId="6D2CC8FC">
      <w:pPr>
        <w:autoSpaceDE/>
        <w:autoSpaceDN/>
        <w:adjustRightInd/>
        <w:spacing w:line="360" w:lineRule="auto"/>
        <w:ind w:firstLine="241" w:firstLineChars="100"/>
        <w:rPr>
          <w:rFonts w:hint="default" w:ascii="宋体" w:hAnsi="宋体" w:eastAsia="宋体" w:cs="宋体"/>
          <w:b/>
          <w:bCs/>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核心产品：挖掘机本体</w:t>
      </w:r>
    </w:p>
    <w:p w14:paraId="0D125B37">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both"/>
        <w:textAlignment w:val="auto"/>
        <w:rPr>
          <w:rFonts w:hint="eastAsia" w:ascii="仿宋" w:hAnsi="仿宋" w:eastAsia="仿宋" w:cs="仿宋"/>
          <w:b/>
          <w:bCs/>
          <w:color w:val="auto"/>
          <w:kern w:val="2"/>
          <w:sz w:val="24"/>
          <w:szCs w:val="22"/>
          <w:highlight w:val="none"/>
          <w:lang w:val="en-US" w:eastAsia="zh-CN"/>
        </w:rPr>
      </w:pPr>
    </w:p>
    <w:p w14:paraId="6EAAFD44">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both"/>
        <w:textAlignment w:val="auto"/>
        <w:rPr>
          <w:rFonts w:hint="eastAsia" w:ascii="仿宋" w:hAnsi="仿宋" w:eastAsia="仿宋" w:cs="仿宋"/>
          <w:color w:val="auto"/>
          <w:kern w:val="2"/>
          <w:sz w:val="24"/>
          <w:szCs w:val="22"/>
          <w:highlight w:val="none"/>
          <w:lang w:val="en-US" w:eastAsia="zh-CN"/>
        </w:rPr>
      </w:pPr>
      <w:r>
        <w:rPr>
          <w:rFonts w:hint="eastAsia" w:ascii="仿宋" w:hAnsi="仿宋" w:eastAsia="仿宋" w:cs="仿宋"/>
          <w:b/>
          <w:bCs/>
          <w:color w:val="auto"/>
          <w:kern w:val="2"/>
          <w:sz w:val="24"/>
          <w:szCs w:val="22"/>
          <w:highlight w:val="none"/>
          <w:lang w:val="en-US" w:eastAsia="zh-CN"/>
        </w:rPr>
        <w:t>一、</w:t>
      </w:r>
      <w:r>
        <w:rPr>
          <w:rFonts w:hint="eastAsia" w:ascii="仿宋" w:hAnsi="仿宋" w:eastAsia="仿宋" w:cs="仿宋"/>
          <w:b/>
          <w:bCs/>
          <w:color w:val="auto"/>
          <w:kern w:val="2"/>
          <w:sz w:val="24"/>
          <w:szCs w:val="22"/>
          <w:highlight w:val="none"/>
          <w:lang w:val="zh-CN"/>
        </w:rPr>
        <w:t>验收说明</w:t>
      </w:r>
    </w:p>
    <w:p w14:paraId="688C5C92">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zh-CN"/>
        </w:rPr>
      </w:pPr>
      <w:r>
        <w:rPr>
          <w:rFonts w:hint="eastAsia" w:ascii="仿宋" w:hAnsi="仿宋" w:eastAsia="仿宋" w:cs="仿宋"/>
          <w:color w:val="auto"/>
          <w:kern w:val="2"/>
          <w:sz w:val="24"/>
          <w:szCs w:val="22"/>
          <w:highlight w:val="none"/>
          <w:lang w:val="en-US" w:eastAsia="zh-CN"/>
        </w:rPr>
        <w:t>本验收标准基于本次可改造挖掘机无人化实验平台采购需求制定，覆盖设备本体、智能控制系统、传感器配置、安全机制、系统集成、技术资料及配套服务全维度，坚持参数达标、功能完整、资料齐全、运行稳定、满足科研实验需求的验收原则，分为到货外观验收、硬件参数验收、系统功能验收、安全性能验收、资料服务验收五大模块，所有指标全部达标后方可通过整体验收。</w:t>
      </w:r>
    </w:p>
    <w:p w14:paraId="2D9CE125">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二、付款方式</w:t>
      </w:r>
    </w:p>
    <w:p w14:paraId="4C93F720">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本项目付款采用预付款 + 到货验收款 + 尾款分阶段付款模式，付款节点与设备交付、验收、质保服务挂钩，具体如下：</w:t>
      </w:r>
    </w:p>
    <w:p w14:paraId="72876E3B">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第一笔：合同预付款（50%）</w:t>
      </w:r>
    </w:p>
    <w:p w14:paraId="3984F3A0">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合同签订生效后，供应商提交等额合规发票、履约相关资料，采购人审核无误后 30 个工作日内，支付合同总金额的 50% 作为项目预付款，用于设备采购、零部件备货及前期研发适配工作。</w:t>
      </w:r>
    </w:p>
    <w:p w14:paraId="75221B17">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第二笔：到货及终验收款（30%）</w:t>
      </w:r>
    </w:p>
    <w:p w14:paraId="4C794BB6">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供应商完成设备到货、安装、集成调试、现场培训，全部设备调试完成及对应等额合规发票后，采购人 30 个工作日内支付至合同总金额的 80%（扣除已付 50% 预付款，本次支付 30%）。</w:t>
      </w:r>
    </w:p>
    <w:p w14:paraId="6F8B3950">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第三笔：尾款（20%）</w:t>
      </w:r>
    </w:p>
    <w:p w14:paraId="78814C2F">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供应商通过采购人最终验收，提交全套交付资料、验收合格报告供应商完成全部服务，无遗留设备故障、售后问题，双方完成清算，供应商提交等额尾款合规发票后，采购人 30 个工作日内付清剩余 20% 尾款。</w:t>
      </w:r>
    </w:p>
    <w:p w14:paraId="5DC4BD4D">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b/>
          <w:bCs/>
          <w:color w:val="auto"/>
          <w:kern w:val="2"/>
          <w:sz w:val="24"/>
          <w:szCs w:val="22"/>
          <w:highlight w:val="none"/>
          <w:lang w:val="en-US" w:eastAsia="zh-CN"/>
        </w:rPr>
        <w:t>三、补充说明</w:t>
      </w:r>
    </w:p>
    <w:p w14:paraId="229D8211">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质保期内，供应商需提供7×24小时技术咨询服务，设备出现故障需及时响应、现场排查修复，免费提供软件升级、技术适配及常规运维支持；如供应商怠于履行质保义务，采购人有权单方委托第三方履行供应商未尽的质保义务，费用由供应商承担。供应商不得对产生的费用提出异议。</w:t>
      </w:r>
    </w:p>
    <w:p w14:paraId="700CE88F">
      <w:pPr>
        <w:autoSpaceDE/>
        <w:autoSpaceDN/>
        <w:adjustRightInd/>
        <w:spacing w:line="240" w:lineRule="auto"/>
        <w:ind w:firstLine="482" w:firstLineChars="200"/>
        <w:jc w:val="both"/>
        <w:rPr>
          <w:rFonts w:hint="eastAsia" w:ascii="仿宋" w:hAnsi="仿宋" w:eastAsia="仿宋" w:cs="仿宋"/>
          <w:color w:val="auto"/>
          <w:kern w:val="2"/>
          <w:sz w:val="24"/>
          <w:szCs w:val="22"/>
          <w:highlight w:val="none"/>
          <w:lang w:val="en-US" w:eastAsia="zh-CN"/>
        </w:rPr>
      </w:pPr>
      <w:r>
        <w:rPr>
          <w:rFonts w:hint="eastAsia" w:ascii="仿宋" w:hAnsi="仿宋" w:eastAsia="仿宋" w:cs="仿宋"/>
          <w:color w:val="auto"/>
          <w:kern w:val="2"/>
          <w:sz w:val="24"/>
          <w:szCs w:val="22"/>
          <w:highlight w:val="none"/>
          <w:lang w:val="en-US" w:eastAsia="zh-CN"/>
        </w:rPr>
        <w:t>因供应商设备质量、技术缺陷、集成问题导致验收不合格、设备无法正常使用的，采购人有权延期付款、要求整改或依据合同追责；</w:t>
      </w:r>
    </w:p>
    <w:p w14:paraId="7F8E5D8C">
      <w:pPr>
        <w:widowControl/>
        <w:autoSpaceDE/>
        <w:autoSpaceDN/>
        <w:adjustRightInd/>
        <w:spacing w:line="240" w:lineRule="auto"/>
        <w:jc w:val="left"/>
        <w:textAlignment w:val="top"/>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2"/>
          <w:sz w:val="24"/>
          <w:szCs w:val="22"/>
          <w:highlight w:val="none"/>
          <w:lang w:val="en-US" w:eastAsia="zh-CN"/>
        </w:rPr>
        <w:t>所有付款流程严格按照采购人财务管理制度执行，发票、资料不全的，付款周期相应顺延。</w:t>
      </w:r>
    </w:p>
    <w:p w14:paraId="05EF7C96">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br w:type="page"/>
      </w:r>
    </w:p>
    <w:p w14:paraId="259FA02B">
      <w:pPr>
        <w:rPr>
          <w:rFonts w:hint="eastAsia" w:ascii="仿宋" w:hAnsi="仿宋" w:eastAsia="仿宋" w:cs="仿宋"/>
          <w:color w:val="auto"/>
          <w:sz w:val="28"/>
          <w:szCs w:val="28"/>
          <w:highlight w:val="none"/>
          <w:lang w:val="en-US" w:eastAsia="zh-CN"/>
        </w:rPr>
      </w:pPr>
    </w:p>
    <w:p w14:paraId="219822BC">
      <w:pPr>
        <w:autoSpaceDE/>
        <w:autoSpaceDN/>
        <w:adjustRightInd/>
        <w:spacing w:line="240" w:lineRule="auto"/>
        <w:jc w:val="center"/>
        <w:outlineLvl w:val="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第四部分  评审方法</w:t>
      </w:r>
      <w:bookmarkEnd w:id="90"/>
      <w:bookmarkEnd w:id="91"/>
      <w:bookmarkEnd w:id="92"/>
      <w:bookmarkEnd w:id="93"/>
      <w:bookmarkEnd w:id="94"/>
      <w:bookmarkEnd w:id="95"/>
    </w:p>
    <w:tbl>
      <w:tblPr>
        <w:tblStyle w:val="47"/>
        <w:tblW w:w="500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16"/>
        <w:gridCol w:w="1405"/>
        <w:gridCol w:w="6293"/>
      </w:tblGrid>
      <w:tr w14:paraId="42DF7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509" w:type="pct"/>
            <w:gridSpan w:val="2"/>
            <w:tcBorders>
              <w:bottom w:val="single" w:color="auto" w:sz="4" w:space="0"/>
            </w:tcBorders>
          </w:tcPr>
          <w:p w14:paraId="64794370">
            <w:pPr>
              <w:widowControl/>
              <w:kinsoku w:val="0"/>
              <w:snapToGrid w:val="0"/>
              <w:spacing w:before="148" w:line="560" w:lineRule="exact"/>
              <w:ind w:left="1104"/>
              <w:textAlignment w:val="baseline"/>
              <w:rPr>
                <w:rFonts w:hint="eastAsia" w:ascii="仿宋" w:hAnsi="仿宋" w:eastAsia="仿宋" w:cs="仿宋"/>
                <w:color w:val="auto"/>
                <w:sz w:val="28"/>
                <w:szCs w:val="28"/>
                <w:highlight w:val="none"/>
              </w:rPr>
            </w:pPr>
            <w:bookmarkStart w:id="96" w:name="_Toc14001"/>
            <w:bookmarkStart w:id="97" w:name="_Toc25362"/>
            <w:r>
              <w:rPr>
                <w:rFonts w:hint="eastAsia" w:ascii="仿宋" w:hAnsi="仿宋" w:eastAsia="仿宋" w:cs="仿宋"/>
                <w:b/>
                <w:bCs/>
                <w:color w:val="auto"/>
                <w:spacing w:val="-3"/>
                <w:sz w:val="28"/>
                <w:szCs w:val="28"/>
                <w:highlight w:val="none"/>
              </w:rPr>
              <w:t>条款号</w:t>
            </w:r>
          </w:p>
        </w:tc>
        <w:tc>
          <w:tcPr>
            <w:tcW w:w="3490" w:type="pct"/>
            <w:tcBorders>
              <w:bottom w:val="single" w:color="auto" w:sz="4" w:space="0"/>
            </w:tcBorders>
          </w:tcPr>
          <w:p w14:paraId="1B1D01EC">
            <w:pPr>
              <w:widowControl/>
              <w:kinsoku w:val="0"/>
              <w:snapToGrid w:val="0"/>
              <w:spacing w:before="149" w:line="560" w:lineRule="exact"/>
              <w:ind w:left="2845"/>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评审标准</w:t>
            </w:r>
          </w:p>
        </w:tc>
      </w:tr>
      <w:tr w14:paraId="69FCC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3" w:hRule="atLeast"/>
        </w:trPr>
        <w:tc>
          <w:tcPr>
            <w:tcW w:w="730" w:type="pct"/>
            <w:vMerge w:val="restart"/>
            <w:tcBorders>
              <w:top w:val="single" w:color="auto" w:sz="4" w:space="0"/>
              <w:left w:val="single" w:color="auto" w:sz="4" w:space="0"/>
              <w:bottom w:val="single" w:color="auto" w:sz="4" w:space="0"/>
              <w:right w:val="single" w:color="auto" w:sz="4" w:space="0"/>
            </w:tcBorders>
          </w:tcPr>
          <w:p w14:paraId="115476A1">
            <w:pPr>
              <w:widowControl/>
              <w:kinsoku w:val="0"/>
              <w:snapToGrid w:val="0"/>
              <w:spacing w:line="560" w:lineRule="exact"/>
              <w:textAlignment w:val="baseline"/>
              <w:rPr>
                <w:rFonts w:hint="eastAsia" w:ascii="仿宋" w:hAnsi="仿宋" w:eastAsia="仿宋" w:cs="仿宋"/>
                <w:color w:val="auto"/>
                <w:sz w:val="28"/>
                <w:szCs w:val="28"/>
                <w:highlight w:val="none"/>
              </w:rPr>
            </w:pPr>
          </w:p>
          <w:p w14:paraId="7057A9F2">
            <w:pPr>
              <w:widowControl/>
              <w:kinsoku w:val="0"/>
              <w:snapToGrid w:val="0"/>
              <w:spacing w:line="560" w:lineRule="exact"/>
              <w:textAlignment w:val="baseline"/>
              <w:rPr>
                <w:rFonts w:hint="eastAsia" w:ascii="仿宋" w:hAnsi="仿宋" w:eastAsia="仿宋" w:cs="仿宋"/>
                <w:color w:val="auto"/>
                <w:sz w:val="28"/>
                <w:szCs w:val="28"/>
                <w:highlight w:val="none"/>
              </w:rPr>
            </w:pPr>
          </w:p>
          <w:p w14:paraId="6E1F903D">
            <w:pPr>
              <w:widowControl/>
              <w:kinsoku w:val="0"/>
              <w:snapToGrid w:val="0"/>
              <w:spacing w:line="560" w:lineRule="exact"/>
              <w:textAlignment w:val="baseline"/>
              <w:rPr>
                <w:rFonts w:hint="eastAsia" w:ascii="仿宋" w:hAnsi="仿宋" w:eastAsia="仿宋" w:cs="仿宋"/>
                <w:color w:val="auto"/>
                <w:sz w:val="28"/>
                <w:szCs w:val="28"/>
                <w:highlight w:val="none"/>
              </w:rPr>
            </w:pPr>
          </w:p>
          <w:p w14:paraId="4BED6095">
            <w:pPr>
              <w:widowControl/>
              <w:kinsoku w:val="0"/>
              <w:snapToGrid w:val="0"/>
              <w:spacing w:line="560" w:lineRule="exact"/>
              <w:textAlignment w:val="baseline"/>
              <w:rPr>
                <w:rFonts w:hint="eastAsia" w:ascii="仿宋" w:hAnsi="仿宋" w:eastAsia="仿宋" w:cs="仿宋"/>
                <w:color w:val="auto"/>
                <w:sz w:val="28"/>
                <w:szCs w:val="28"/>
                <w:highlight w:val="none"/>
              </w:rPr>
            </w:pPr>
          </w:p>
          <w:p w14:paraId="6C9F07AC">
            <w:pPr>
              <w:widowControl/>
              <w:kinsoku w:val="0"/>
              <w:snapToGrid w:val="0"/>
              <w:spacing w:line="560" w:lineRule="exact"/>
              <w:textAlignment w:val="baseline"/>
              <w:rPr>
                <w:rFonts w:hint="eastAsia" w:ascii="仿宋" w:hAnsi="仿宋" w:eastAsia="仿宋" w:cs="仿宋"/>
                <w:color w:val="auto"/>
                <w:sz w:val="28"/>
                <w:szCs w:val="28"/>
                <w:highlight w:val="none"/>
              </w:rPr>
            </w:pPr>
          </w:p>
          <w:p w14:paraId="2BF63FA1">
            <w:pPr>
              <w:widowControl/>
              <w:kinsoku w:val="0"/>
              <w:snapToGrid w:val="0"/>
              <w:spacing w:line="560" w:lineRule="exact"/>
              <w:textAlignment w:val="baseline"/>
              <w:rPr>
                <w:rFonts w:hint="eastAsia" w:ascii="仿宋" w:hAnsi="仿宋" w:eastAsia="仿宋" w:cs="仿宋"/>
                <w:color w:val="auto"/>
                <w:sz w:val="28"/>
                <w:szCs w:val="28"/>
                <w:highlight w:val="none"/>
              </w:rPr>
            </w:pPr>
          </w:p>
          <w:p w14:paraId="20F3DDEE">
            <w:pPr>
              <w:widowControl/>
              <w:kinsoku w:val="0"/>
              <w:snapToGrid w:val="0"/>
              <w:spacing w:line="560" w:lineRule="exact"/>
              <w:textAlignment w:val="baseline"/>
              <w:rPr>
                <w:rFonts w:hint="eastAsia" w:ascii="仿宋" w:hAnsi="仿宋" w:eastAsia="仿宋" w:cs="仿宋"/>
                <w:color w:val="auto"/>
                <w:sz w:val="28"/>
                <w:szCs w:val="28"/>
                <w:highlight w:val="none"/>
              </w:rPr>
            </w:pPr>
          </w:p>
          <w:p w14:paraId="4695B027">
            <w:pPr>
              <w:widowControl/>
              <w:kinsoku w:val="0"/>
              <w:snapToGrid w:val="0"/>
              <w:spacing w:before="72" w:line="560" w:lineRule="exact"/>
              <w:ind w:left="411"/>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2.2.1</w:t>
            </w:r>
          </w:p>
        </w:tc>
        <w:tc>
          <w:tcPr>
            <w:tcW w:w="778" w:type="pct"/>
            <w:vMerge w:val="restart"/>
            <w:tcBorders>
              <w:top w:val="single" w:color="auto" w:sz="4" w:space="0"/>
              <w:left w:val="single" w:color="auto" w:sz="4" w:space="0"/>
              <w:bottom w:val="single" w:color="auto" w:sz="4" w:space="0"/>
              <w:right w:val="single" w:color="auto" w:sz="4" w:space="0"/>
            </w:tcBorders>
          </w:tcPr>
          <w:p w14:paraId="7793A6F3">
            <w:pPr>
              <w:widowControl/>
              <w:kinsoku w:val="0"/>
              <w:snapToGrid w:val="0"/>
              <w:spacing w:line="560" w:lineRule="exact"/>
              <w:textAlignment w:val="baseline"/>
              <w:rPr>
                <w:rFonts w:hint="eastAsia" w:ascii="仿宋" w:hAnsi="仿宋" w:eastAsia="仿宋" w:cs="仿宋"/>
                <w:color w:val="auto"/>
                <w:sz w:val="28"/>
                <w:szCs w:val="28"/>
                <w:highlight w:val="none"/>
              </w:rPr>
            </w:pPr>
          </w:p>
          <w:p w14:paraId="7678AFDC">
            <w:pPr>
              <w:widowControl/>
              <w:kinsoku w:val="0"/>
              <w:snapToGrid w:val="0"/>
              <w:spacing w:line="560" w:lineRule="exact"/>
              <w:textAlignment w:val="baseline"/>
              <w:rPr>
                <w:rFonts w:hint="eastAsia" w:ascii="仿宋" w:hAnsi="仿宋" w:eastAsia="仿宋" w:cs="仿宋"/>
                <w:color w:val="auto"/>
                <w:sz w:val="28"/>
                <w:szCs w:val="28"/>
                <w:highlight w:val="none"/>
              </w:rPr>
            </w:pPr>
          </w:p>
          <w:p w14:paraId="0EFF873B">
            <w:pPr>
              <w:widowControl/>
              <w:kinsoku w:val="0"/>
              <w:snapToGrid w:val="0"/>
              <w:spacing w:line="560" w:lineRule="exact"/>
              <w:textAlignment w:val="baseline"/>
              <w:rPr>
                <w:rFonts w:hint="eastAsia" w:ascii="仿宋" w:hAnsi="仿宋" w:eastAsia="仿宋" w:cs="仿宋"/>
                <w:color w:val="auto"/>
                <w:sz w:val="28"/>
                <w:szCs w:val="28"/>
                <w:highlight w:val="none"/>
              </w:rPr>
            </w:pPr>
          </w:p>
          <w:p w14:paraId="7BF3A318">
            <w:pPr>
              <w:widowControl/>
              <w:kinsoku w:val="0"/>
              <w:snapToGrid w:val="0"/>
              <w:spacing w:line="560" w:lineRule="exact"/>
              <w:textAlignment w:val="baseline"/>
              <w:rPr>
                <w:rFonts w:hint="eastAsia" w:ascii="仿宋" w:hAnsi="仿宋" w:eastAsia="仿宋" w:cs="仿宋"/>
                <w:color w:val="auto"/>
                <w:sz w:val="28"/>
                <w:szCs w:val="28"/>
                <w:highlight w:val="none"/>
              </w:rPr>
            </w:pPr>
          </w:p>
          <w:p w14:paraId="4CC4C68E">
            <w:pPr>
              <w:widowControl/>
              <w:kinsoku w:val="0"/>
              <w:snapToGrid w:val="0"/>
              <w:spacing w:line="560" w:lineRule="exact"/>
              <w:textAlignment w:val="baseline"/>
              <w:rPr>
                <w:rFonts w:hint="eastAsia" w:ascii="仿宋" w:hAnsi="仿宋" w:eastAsia="仿宋" w:cs="仿宋"/>
                <w:color w:val="auto"/>
                <w:sz w:val="28"/>
                <w:szCs w:val="28"/>
                <w:highlight w:val="none"/>
              </w:rPr>
            </w:pPr>
          </w:p>
          <w:p w14:paraId="340212B9">
            <w:pPr>
              <w:widowControl/>
              <w:kinsoku w:val="0"/>
              <w:snapToGrid w:val="0"/>
              <w:spacing w:line="560" w:lineRule="exact"/>
              <w:textAlignment w:val="baseline"/>
              <w:rPr>
                <w:rFonts w:hint="eastAsia" w:ascii="仿宋" w:hAnsi="仿宋" w:eastAsia="仿宋" w:cs="仿宋"/>
                <w:color w:val="auto"/>
                <w:sz w:val="28"/>
                <w:szCs w:val="28"/>
                <w:highlight w:val="none"/>
              </w:rPr>
            </w:pPr>
          </w:p>
          <w:p w14:paraId="4E951494">
            <w:pPr>
              <w:widowControl/>
              <w:kinsoku w:val="0"/>
              <w:snapToGrid w:val="0"/>
              <w:spacing w:line="560" w:lineRule="exact"/>
              <w:textAlignment w:val="baseline"/>
              <w:rPr>
                <w:rFonts w:hint="eastAsia" w:ascii="仿宋" w:hAnsi="仿宋" w:eastAsia="仿宋" w:cs="仿宋"/>
                <w:color w:val="auto"/>
                <w:sz w:val="28"/>
                <w:szCs w:val="28"/>
                <w:highlight w:val="none"/>
              </w:rPr>
            </w:pPr>
          </w:p>
          <w:p w14:paraId="484355A5">
            <w:pPr>
              <w:widowControl/>
              <w:kinsoku w:val="0"/>
              <w:snapToGrid w:val="0"/>
              <w:spacing w:before="71" w:line="560" w:lineRule="exact"/>
              <w:ind w:left="181"/>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资格性审查</w:t>
            </w:r>
          </w:p>
        </w:tc>
        <w:tc>
          <w:tcPr>
            <w:tcW w:w="3490" w:type="pct"/>
            <w:tcBorders>
              <w:top w:val="single" w:color="auto" w:sz="4" w:space="0"/>
              <w:left w:val="single" w:color="auto" w:sz="4" w:space="0"/>
              <w:bottom w:val="single" w:color="auto" w:sz="4" w:space="0"/>
              <w:right w:val="single" w:color="auto" w:sz="4" w:space="0"/>
            </w:tcBorders>
          </w:tcPr>
          <w:p w14:paraId="5A3979A6">
            <w:pPr>
              <w:pStyle w:val="79"/>
              <w:widowControl/>
              <w:kinsoku w:val="0"/>
              <w:snapToGrid w:val="0"/>
              <w:spacing w:before="38" w:line="560" w:lineRule="exact"/>
              <w:ind w:left="15" w:right="5" w:firstLine="5"/>
              <w:jc w:val="both"/>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（1）具有独立承担民事责任的能力：</w:t>
            </w:r>
            <w:r>
              <w:rPr>
                <w:rFonts w:hint="eastAsia" w:ascii="仿宋" w:hAnsi="仿宋" w:eastAsia="仿宋" w:cs="仿宋"/>
                <w:color w:val="auto"/>
                <w:spacing w:val="-3"/>
                <w:sz w:val="28"/>
                <w:szCs w:val="28"/>
                <w:highlight w:val="none"/>
                <w:lang w:val="zh-CN" w:eastAsia="zh-CN"/>
              </w:rPr>
              <w:t>提供法人营业执照或事业单位法人证书或民办非企业单位登记证书或个体工商户营业执照或其他组织的执业许可证副本扫描件；投标人为自然人的提供身份证明扫描件；采购标的属于银行、保险、石油石化、电力、电信等行业的，允许该行业法人的分支机构参加投标（报价），提供分支机构的《营业执照》副本扫描件。</w:t>
            </w:r>
          </w:p>
        </w:tc>
      </w:tr>
      <w:tr w14:paraId="2036E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730" w:type="pct"/>
            <w:vMerge w:val="continue"/>
            <w:tcBorders>
              <w:top w:val="single" w:color="auto" w:sz="4" w:space="0"/>
              <w:left w:val="single" w:color="auto" w:sz="4" w:space="0"/>
              <w:bottom w:val="single" w:color="auto" w:sz="4" w:space="0"/>
              <w:right w:val="single" w:color="auto" w:sz="4" w:space="0"/>
            </w:tcBorders>
          </w:tcPr>
          <w:p w14:paraId="2141C8CD">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73C120AF">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530FCCF7">
            <w:pPr>
              <w:pStyle w:val="79"/>
              <w:widowControl/>
              <w:kinsoku w:val="0"/>
              <w:snapToGrid w:val="0"/>
              <w:spacing w:before="35" w:line="560" w:lineRule="exact"/>
              <w:ind w:left="18" w:right="5" w:firstLine="3"/>
              <w:jc w:val="both"/>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（2）</w:t>
            </w:r>
            <w:r>
              <w:rPr>
                <w:rFonts w:hint="eastAsia" w:ascii="仿宋" w:hAnsi="仿宋" w:eastAsia="仿宋" w:cs="仿宋"/>
                <w:b/>
                <w:bCs/>
                <w:color w:val="auto"/>
                <w:spacing w:val="-3"/>
                <w:sz w:val="28"/>
                <w:szCs w:val="28"/>
                <w:highlight w:val="none"/>
                <w:lang w:val="zh-CN" w:eastAsia="zh-CN"/>
              </w:rPr>
              <w:t>具有良好的商业信誉和健全的财务会计制度：</w:t>
            </w:r>
            <w:r>
              <w:rPr>
                <w:rFonts w:hint="eastAsia" w:ascii="仿宋" w:hAnsi="仿宋" w:eastAsia="仿宋" w:cs="仿宋"/>
                <w:color w:val="auto"/>
                <w:sz w:val="28"/>
                <w:szCs w:val="28"/>
                <w:highlight w:val="none"/>
                <w:lang w:val="zh-CN" w:eastAsia="zh-CN"/>
              </w:rPr>
              <w:t>提供2024年或2025年财务审计报告扫描件(成立不足一年提供成立至今财务报表，至少包含资产负债表）或提供其基本开户银行在投标截止日前，六个月内出具的资信证明扫描件（银行出具的存款证明不能替代银行资信证明）。</w:t>
            </w:r>
          </w:p>
        </w:tc>
      </w:tr>
      <w:tr w14:paraId="16ECE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730" w:type="pct"/>
            <w:vMerge w:val="continue"/>
            <w:tcBorders>
              <w:top w:val="single" w:color="auto" w:sz="4" w:space="0"/>
              <w:left w:val="single" w:color="auto" w:sz="4" w:space="0"/>
              <w:bottom w:val="single" w:color="auto" w:sz="4" w:space="0"/>
              <w:right w:val="single" w:color="auto" w:sz="4" w:space="0"/>
            </w:tcBorders>
          </w:tcPr>
          <w:p w14:paraId="767EB9D0">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76AB61D0">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27D44F24">
            <w:pPr>
              <w:pStyle w:val="79"/>
              <w:widowControl/>
              <w:kinsoku w:val="0"/>
              <w:snapToGrid w:val="0"/>
              <w:spacing w:before="39" w:line="560" w:lineRule="exact"/>
              <w:ind w:left="24" w:right="5" w:hanging="3"/>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4"/>
                <w:sz w:val="28"/>
                <w:szCs w:val="28"/>
                <w:highlight w:val="none"/>
                <w:lang w:eastAsia="zh-CN"/>
              </w:rPr>
              <w:t>（3）具有履行合同所必需的设备和专业技术能力提供：</w:t>
            </w:r>
            <w:r>
              <w:rPr>
                <w:rFonts w:hint="eastAsia" w:ascii="仿宋" w:hAnsi="仿宋" w:eastAsia="仿宋" w:cs="仿宋"/>
                <w:color w:val="auto"/>
                <w:spacing w:val="-3"/>
                <w:sz w:val="28"/>
                <w:szCs w:val="28"/>
                <w:highlight w:val="none"/>
                <w:lang w:eastAsia="zh-CN"/>
              </w:rPr>
              <w:t>《供应商具有履行合同所必需的设备和专业技术能力提供声明函》</w:t>
            </w:r>
          </w:p>
        </w:tc>
      </w:tr>
      <w:tr w14:paraId="012C5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730" w:type="pct"/>
            <w:vMerge w:val="continue"/>
            <w:tcBorders>
              <w:top w:val="single" w:color="auto" w:sz="4" w:space="0"/>
              <w:left w:val="single" w:color="auto" w:sz="4" w:space="0"/>
              <w:bottom w:val="single" w:color="auto" w:sz="4" w:space="0"/>
              <w:right w:val="single" w:color="auto" w:sz="4" w:space="0"/>
            </w:tcBorders>
          </w:tcPr>
          <w:p w14:paraId="1920EC08">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1F0BABFA">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1DD14AB9">
            <w:pPr>
              <w:pStyle w:val="79"/>
              <w:widowControl/>
              <w:kinsoku w:val="0"/>
              <w:snapToGrid w:val="0"/>
              <w:spacing w:before="39" w:line="560" w:lineRule="exact"/>
              <w:ind w:left="20" w:right="5" w:firstLine="1"/>
              <w:jc w:val="both"/>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（4）依法缴纳税收的良好记录：</w:t>
            </w:r>
            <w:r>
              <w:rPr>
                <w:rFonts w:hint="eastAsia" w:ascii="仿宋" w:hAnsi="仿宋" w:eastAsia="仿宋" w:cs="仿宋"/>
                <w:color w:val="auto"/>
                <w:spacing w:val="-3"/>
                <w:sz w:val="28"/>
                <w:szCs w:val="28"/>
                <w:highlight w:val="none"/>
                <w:lang w:eastAsia="zh-CN"/>
              </w:rPr>
              <w:t>提供投标截止日前近一年任意一个月完税证明；依法免税的，应提供相应文件（扫描件）证明其依法免税。</w:t>
            </w:r>
          </w:p>
        </w:tc>
      </w:tr>
      <w:tr w14:paraId="28E8D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0" w:hRule="atLeast"/>
        </w:trPr>
        <w:tc>
          <w:tcPr>
            <w:tcW w:w="730" w:type="pct"/>
            <w:vMerge w:val="continue"/>
            <w:tcBorders>
              <w:top w:val="single" w:color="auto" w:sz="4" w:space="0"/>
              <w:left w:val="single" w:color="auto" w:sz="4" w:space="0"/>
              <w:bottom w:val="single" w:color="auto" w:sz="4" w:space="0"/>
              <w:right w:val="single" w:color="auto" w:sz="4" w:space="0"/>
            </w:tcBorders>
          </w:tcPr>
          <w:p w14:paraId="1D321179">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24D4FDF1">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1A1EC142">
            <w:pPr>
              <w:pStyle w:val="79"/>
              <w:widowControl/>
              <w:kinsoku w:val="0"/>
              <w:snapToGrid w:val="0"/>
              <w:spacing w:before="42" w:line="560" w:lineRule="exact"/>
              <w:ind w:left="20" w:right="4" w:firstLine="1"/>
              <w:jc w:val="both"/>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（5）依法缴纳社会保障资金的良好记录</w:t>
            </w:r>
            <w:r>
              <w:rPr>
                <w:rFonts w:hint="eastAsia" w:ascii="仿宋" w:hAnsi="仿宋" w:eastAsia="仿宋" w:cs="仿宋"/>
                <w:color w:val="auto"/>
                <w:spacing w:val="-3"/>
                <w:sz w:val="28"/>
                <w:szCs w:val="28"/>
                <w:highlight w:val="none"/>
                <w:lang w:eastAsia="zh-CN"/>
              </w:rPr>
              <w:t>：提供投标截止日前近一年任意一个月盖有社保局公章的社保缴纳证明（社保缴纳证明中含法定代表人或授权委托人的社保明细）；依法不需要缴纳社会保险的，应提供相应文件（扫描件）证明其依法不需要缴纳社会保险。</w:t>
            </w:r>
          </w:p>
        </w:tc>
      </w:tr>
      <w:tr w14:paraId="1EB98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730" w:type="pct"/>
            <w:vMerge w:val="continue"/>
            <w:tcBorders>
              <w:top w:val="single" w:color="auto" w:sz="4" w:space="0"/>
              <w:left w:val="single" w:color="auto" w:sz="4" w:space="0"/>
              <w:bottom w:val="single" w:color="auto" w:sz="4" w:space="0"/>
              <w:right w:val="single" w:color="auto" w:sz="4" w:space="0"/>
            </w:tcBorders>
          </w:tcPr>
          <w:p w14:paraId="070FB1D3">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0025914F">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3C442E85">
            <w:pPr>
              <w:pStyle w:val="79"/>
              <w:widowControl/>
              <w:kinsoku w:val="0"/>
              <w:snapToGrid w:val="0"/>
              <w:spacing w:before="15" w:line="560" w:lineRule="exact"/>
              <w:ind w:left="13" w:right="7" w:firstLine="7"/>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4"/>
                <w:sz w:val="28"/>
                <w:szCs w:val="28"/>
                <w:highlight w:val="none"/>
                <w:lang w:eastAsia="zh-CN"/>
              </w:rPr>
              <w:t>（6）参加政府采购活动前三年内，在经营活动中没</w:t>
            </w:r>
            <w:r>
              <w:rPr>
                <w:rFonts w:hint="eastAsia" w:ascii="仿宋" w:hAnsi="仿宋" w:eastAsia="仿宋" w:cs="仿宋"/>
                <w:b/>
                <w:bCs/>
                <w:color w:val="auto"/>
                <w:spacing w:val="-5"/>
                <w:sz w:val="28"/>
                <w:szCs w:val="28"/>
                <w:highlight w:val="none"/>
                <w:lang w:eastAsia="zh-CN"/>
              </w:rPr>
              <w:t>有重大违法</w:t>
            </w:r>
            <w:r>
              <w:rPr>
                <w:rFonts w:hint="eastAsia" w:ascii="仿宋" w:hAnsi="仿宋" w:eastAsia="仿宋" w:cs="仿宋"/>
                <w:b/>
                <w:bCs/>
                <w:color w:val="auto"/>
                <w:spacing w:val="-1"/>
                <w:sz w:val="28"/>
                <w:szCs w:val="28"/>
                <w:highlight w:val="none"/>
                <w:lang w:eastAsia="zh-CN"/>
              </w:rPr>
              <w:t>记录</w:t>
            </w:r>
            <w:r>
              <w:rPr>
                <w:rFonts w:hint="eastAsia" w:ascii="仿宋" w:hAnsi="仿宋" w:eastAsia="仿宋" w:cs="仿宋"/>
                <w:color w:val="auto"/>
                <w:spacing w:val="-1"/>
                <w:sz w:val="28"/>
                <w:szCs w:val="28"/>
                <w:highlight w:val="none"/>
                <w:lang w:eastAsia="zh-CN"/>
              </w:rPr>
              <w:t>：提供《三年内在经营活动中没有重大违法记录的声明》</w:t>
            </w:r>
          </w:p>
        </w:tc>
      </w:tr>
      <w:tr w14:paraId="3C10E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30" w:type="pct"/>
            <w:vMerge w:val="continue"/>
            <w:tcBorders>
              <w:top w:val="single" w:color="auto" w:sz="4" w:space="0"/>
              <w:left w:val="single" w:color="auto" w:sz="4" w:space="0"/>
              <w:bottom w:val="single" w:color="auto" w:sz="4" w:space="0"/>
              <w:right w:val="single" w:color="auto" w:sz="4" w:space="0"/>
            </w:tcBorders>
          </w:tcPr>
          <w:p w14:paraId="4EEE602F">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29ECBF4C">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7A738060">
            <w:pPr>
              <w:pStyle w:val="79"/>
              <w:widowControl/>
              <w:kinsoku w:val="0"/>
              <w:snapToGrid w:val="0"/>
              <w:spacing w:before="149" w:line="560" w:lineRule="exact"/>
              <w:ind w:left="24" w:hanging="3"/>
              <w:jc w:val="both"/>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7"/>
                <w:sz w:val="28"/>
                <w:szCs w:val="28"/>
                <w:highlight w:val="none"/>
                <w:lang w:eastAsia="zh-CN"/>
              </w:rPr>
              <w:t>（7）符合法律、行政法规规定的其他条件</w:t>
            </w:r>
            <w:r>
              <w:rPr>
                <w:rFonts w:hint="eastAsia" w:ascii="仿宋" w:hAnsi="仿宋" w:eastAsia="仿宋" w:cs="仿宋"/>
                <w:color w:val="auto"/>
                <w:spacing w:val="-7"/>
                <w:sz w:val="28"/>
                <w:szCs w:val="28"/>
                <w:highlight w:val="none"/>
                <w:lang w:eastAsia="zh-CN"/>
              </w:rPr>
              <w:t>：提供①单位负责人</w:t>
            </w:r>
            <w:r>
              <w:rPr>
                <w:rFonts w:hint="eastAsia" w:ascii="仿宋" w:hAnsi="仿宋" w:eastAsia="仿宋" w:cs="仿宋"/>
                <w:color w:val="auto"/>
                <w:spacing w:val="-1"/>
                <w:sz w:val="28"/>
                <w:szCs w:val="28"/>
                <w:highlight w:val="none"/>
                <w:lang w:eastAsia="zh-CN"/>
              </w:rPr>
              <w:t>为同一人或者存在直接控股、管理关系的不同供应商不得参加同一合同项下的政府采购活动的《声明函》；提供②为采购项目提供整体设计、规范编制或者项目管理、监理、检测等服务</w:t>
            </w:r>
            <w:r>
              <w:rPr>
                <w:rFonts w:hint="eastAsia" w:ascii="仿宋" w:hAnsi="仿宋" w:eastAsia="仿宋" w:cs="仿宋"/>
                <w:color w:val="auto"/>
                <w:spacing w:val="-6"/>
                <w:sz w:val="28"/>
                <w:szCs w:val="28"/>
                <w:highlight w:val="none"/>
                <w:lang w:eastAsia="zh-CN"/>
              </w:rPr>
              <w:t>的供应商，不得再参加该采购项目的其他采购活动的《声明函》</w:t>
            </w:r>
          </w:p>
        </w:tc>
      </w:tr>
      <w:tr w14:paraId="20746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730" w:type="pct"/>
            <w:vMerge w:val="continue"/>
            <w:tcBorders>
              <w:top w:val="single" w:color="auto" w:sz="4" w:space="0"/>
              <w:left w:val="single" w:color="auto" w:sz="4" w:space="0"/>
              <w:bottom w:val="single" w:color="auto" w:sz="4" w:space="0"/>
              <w:right w:val="single" w:color="auto" w:sz="4" w:space="0"/>
            </w:tcBorders>
          </w:tcPr>
          <w:p w14:paraId="3657640A">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55C3E98A">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4931C261">
            <w:pPr>
              <w:spacing w:line="460" w:lineRule="exact"/>
              <w:rPr>
                <w:rFonts w:hint="eastAsia" w:ascii="仿宋" w:hAnsi="仿宋" w:eastAsia="仿宋" w:cs="仿宋"/>
                <w:b/>
                <w:bCs/>
                <w:color w:val="auto"/>
                <w:spacing w:val="-16"/>
                <w:sz w:val="28"/>
                <w:szCs w:val="28"/>
                <w:highlight w:val="none"/>
              </w:rPr>
            </w:pPr>
            <w:r>
              <w:rPr>
                <w:rFonts w:hint="eastAsia" w:ascii="仿宋" w:hAnsi="仿宋" w:eastAsia="仿宋" w:cs="仿宋"/>
                <w:b/>
                <w:bCs/>
                <w:color w:val="auto"/>
                <w:spacing w:val="-16"/>
                <w:sz w:val="28"/>
                <w:szCs w:val="28"/>
                <w:highlight w:val="none"/>
              </w:rPr>
              <w:t>（</w:t>
            </w:r>
            <w:r>
              <w:rPr>
                <w:rFonts w:hint="eastAsia" w:ascii="仿宋" w:hAnsi="仿宋" w:eastAsia="仿宋" w:cs="仿宋"/>
                <w:b/>
                <w:bCs/>
                <w:color w:val="auto"/>
                <w:spacing w:val="-16"/>
                <w:sz w:val="28"/>
                <w:szCs w:val="28"/>
                <w:highlight w:val="none"/>
                <w:lang w:val="en-US" w:eastAsia="zh-CN"/>
              </w:rPr>
              <w:t>8</w:t>
            </w:r>
            <w:r>
              <w:rPr>
                <w:rFonts w:hint="eastAsia" w:ascii="仿宋" w:hAnsi="仿宋" w:eastAsia="仿宋" w:cs="仿宋"/>
                <w:b/>
                <w:bCs/>
                <w:color w:val="auto"/>
                <w:spacing w:val="-16"/>
                <w:sz w:val="28"/>
                <w:szCs w:val="28"/>
                <w:highlight w:val="none"/>
              </w:rPr>
              <w:t>）供应商存在“信用中国”网站（www.creditchina.gov.cn）、</w:t>
            </w:r>
            <w:r>
              <w:rPr>
                <w:rFonts w:hint="eastAsia" w:ascii="仿宋" w:hAnsi="仿宋" w:eastAsia="仿宋" w:cs="仿宋"/>
                <w:b/>
                <w:bCs/>
                <w:color w:val="auto"/>
                <w:spacing w:val="-4"/>
                <w:sz w:val="28"/>
                <w:szCs w:val="28"/>
                <w:highlight w:val="none"/>
              </w:rPr>
              <w:t>中国政府采购网（www.ccgp.gov.cn）中被列入失信被执行人、</w:t>
            </w:r>
            <w:r>
              <w:rPr>
                <w:rFonts w:hint="eastAsia" w:ascii="仿宋" w:hAnsi="仿宋" w:eastAsia="仿宋" w:cs="仿宋"/>
                <w:b/>
                <w:bCs/>
                <w:color w:val="auto"/>
                <w:spacing w:val="-2"/>
                <w:sz w:val="28"/>
                <w:szCs w:val="28"/>
                <w:highlight w:val="none"/>
              </w:rPr>
              <w:t>重大税收违法案件当事人名单、政府采购严重违</w:t>
            </w:r>
            <w:r>
              <w:rPr>
                <w:rFonts w:hint="eastAsia" w:ascii="仿宋" w:hAnsi="仿宋" w:eastAsia="仿宋" w:cs="仿宋"/>
                <w:b/>
                <w:bCs/>
                <w:color w:val="auto"/>
                <w:spacing w:val="-3"/>
                <w:sz w:val="28"/>
                <w:szCs w:val="28"/>
                <w:highlight w:val="none"/>
              </w:rPr>
              <w:t>法失信行为记</w:t>
            </w:r>
            <w:r>
              <w:rPr>
                <w:rFonts w:hint="eastAsia" w:ascii="仿宋" w:hAnsi="仿宋" w:eastAsia="仿宋" w:cs="仿宋"/>
                <w:b/>
                <w:bCs/>
                <w:color w:val="auto"/>
                <w:spacing w:val="-2"/>
                <w:sz w:val="28"/>
                <w:szCs w:val="28"/>
                <w:highlight w:val="none"/>
              </w:rPr>
              <w:t>录名单的禁止参与参与本项目，响应文件无效。（由招标代理机构或招标人在评标系统中自行查询</w:t>
            </w:r>
            <w:r>
              <w:rPr>
                <w:rFonts w:hint="eastAsia" w:ascii="仿宋" w:hAnsi="仿宋" w:eastAsia="仿宋" w:cs="仿宋"/>
                <w:b/>
                <w:bCs/>
                <w:color w:val="auto"/>
                <w:spacing w:val="-4"/>
                <w:sz w:val="28"/>
                <w:szCs w:val="28"/>
                <w:highlight w:val="none"/>
              </w:rPr>
              <w:t>）；</w:t>
            </w:r>
          </w:p>
        </w:tc>
      </w:tr>
      <w:tr w14:paraId="6C212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30" w:type="pct"/>
            <w:vMerge w:val="continue"/>
            <w:tcBorders>
              <w:top w:val="single" w:color="auto" w:sz="4" w:space="0"/>
              <w:left w:val="single" w:color="auto" w:sz="4" w:space="0"/>
              <w:bottom w:val="single" w:color="auto" w:sz="4" w:space="0"/>
              <w:right w:val="single" w:color="auto" w:sz="4" w:space="0"/>
            </w:tcBorders>
          </w:tcPr>
          <w:p w14:paraId="55A9BF2E">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single" w:color="auto" w:sz="4" w:space="0"/>
              <w:left w:val="single" w:color="auto" w:sz="4" w:space="0"/>
              <w:bottom w:val="single" w:color="auto" w:sz="4" w:space="0"/>
              <w:right w:val="single" w:color="auto" w:sz="4" w:space="0"/>
            </w:tcBorders>
          </w:tcPr>
          <w:p w14:paraId="1464481F">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Borders>
              <w:top w:val="single" w:color="auto" w:sz="4" w:space="0"/>
              <w:left w:val="single" w:color="auto" w:sz="4" w:space="0"/>
              <w:bottom w:val="single" w:color="auto" w:sz="4" w:space="0"/>
              <w:right w:val="single" w:color="auto" w:sz="4" w:space="0"/>
            </w:tcBorders>
          </w:tcPr>
          <w:p w14:paraId="65F7A972">
            <w:pPr>
              <w:spacing w:line="460" w:lineRule="exact"/>
              <w:rPr>
                <w:rFonts w:hint="eastAsia" w:ascii="仿宋" w:hAnsi="仿宋" w:eastAsia="仿宋" w:cs="仿宋"/>
                <w:b/>
                <w:bCs/>
                <w:color w:val="auto"/>
                <w:spacing w:val="-16"/>
                <w:sz w:val="28"/>
                <w:szCs w:val="28"/>
                <w:highlight w:val="none"/>
              </w:rPr>
            </w:pPr>
            <w:r>
              <w:rPr>
                <w:rFonts w:hint="eastAsia" w:ascii="仿宋" w:hAnsi="仿宋" w:eastAsia="仿宋" w:cs="仿宋"/>
                <w:b/>
                <w:bCs/>
                <w:color w:val="auto"/>
                <w:spacing w:val="-16"/>
                <w:sz w:val="28"/>
                <w:szCs w:val="28"/>
                <w:highlight w:val="none"/>
              </w:rPr>
              <w:t>本项目的特定资格要求：</w:t>
            </w:r>
            <w:r>
              <w:rPr>
                <w:rFonts w:hint="eastAsia" w:ascii="仿宋" w:hAnsi="仿宋" w:eastAsia="仿宋" w:cs="仿宋"/>
                <w:b/>
                <w:bCs/>
                <w:color w:val="auto"/>
                <w:spacing w:val="-16"/>
                <w:sz w:val="28"/>
                <w:szCs w:val="28"/>
                <w:highlight w:val="none"/>
                <w:lang w:eastAsia="zh-CN"/>
              </w:rPr>
              <w:t>无</w:t>
            </w:r>
          </w:p>
        </w:tc>
      </w:tr>
      <w:tr w14:paraId="1AE2F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30" w:type="pct"/>
            <w:vMerge w:val="restart"/>
            <w:tcBorders>
              <w:top w:val="single" w:color="auto" w:sz="4" w:space="0"/>
              <w:bottom w:val="nil"/>
            </w:tcBorders>
          </w:tcPr>
          <w:p w14:paraId="5B6F7966">
            <w:pPr>
              <w:widowControl/>
              <w:kinsoku w:val="0"/>
              <w:snapToGrid w:val="0"/>
              <w:spacing w:line="560" w:lineRule="exact"/>
              <w:textAlignment w:val="baseline"/>
              <w:rPr>
                <w:rFonts w:hint="eastAsia" w:ascii="仿宋" w:hAnsi="仿宋" w:eastAsia="仿宋" w:cs="仿宋"/>
                <w:color w:val="auto"/>
                <w:sz w:val="28"/>
                <w:szCs w:val="28"/>
                <w:highlight w:val="none"/>
              </w:rPr>
            </w:pPr>
          </w:p>
          <w:p w14:paraId="4EC7BFC1">
            <w:pPr>
              <w:widowControl/>
              <w:kinsoku w:val="0"/>
              <w:snapToGrid w:val="0"/>
              <w:spacing w:line="560" w:lineRule="exact"/>
              <w:textAlignment w:val="baseline"/>
              <w:rPr>
                <w:rFonts w:hint="eastAsia" w:ascii="仿宋" w:hAnsi="仿宋" w:eastAsia="仿宋" w:cs="仿宋"/>
                <w:color w:val="auto"/>
                <w:sz w:val="28"/>
                <w:szCs w:val="28"/>
                <w:highlight w:val="none"/>
              </w:rPr>
            </w:pPr>
          </w:p>
          <w:p w14:paraId="601435D7">
            <w:pPr>
              <w:widowControl/>
              <w:kinsoku w:val="0"/>
              <w:snapToGrid w:val="0"/>
              <w:spacing w:line="560" w:lineRule="exact"/>
              <w:textAlignment w:val="baseline"/>
              <w:rPr>
                <w:rFonts w:hint="eastAsia" w:ascii="仿宋" w:hAnsi="仿宋" w:eastAsia="仿宋" w:cs="仿宋"/>
                <w:color w:val="auto"/>
                <w:sz w:val="28"/>
                <w:szCs w:val="28"/>
                <w:highlight w:val="none"/>
              </w:rPr>
            </w:pPr>
          </w:p>
          <w:p w14:paraId="02625413">
            <w:pPr>
              <w:widowControl/>
              <w:kinsoku w:val="0"/>
              <w:snapToGrid w:val="0"/>
              <w:spacing w:line="560" w:lineRule="exact"/>
              <w:textAlignment w:val="baseline"/>
              <w:rPr>
                <w:rFonts w:hint="eastAsia" w:ascii="仿宋" w:hAnsi="仿宋" w:eastAsia="仿宋" w:cs="仿宋"/>
                <w:color w:val="auto"/>
                <w:sz w:val="28"/>
                <w:szCs w:val="28"/>
                <w:highlight w:val="none"/>
              </w:rPr>
            </w:pPr>
          </w:p>
          <w:p w14:paraId="113FFDA6">
            <w:pPr>
              <w:widowControl/>
              <w:kinsoku w:val="0"/>
              <w:snapToGrid w:val="0"/>
              <w:spacing w:line="560" w:lineRule="exact"/>
              <w:textAlignment w:val="baseline"/>
              <w:rPr>
                <w:rFonts w:hint="eastAsia" w:ascii="仿宋" w:hAnsi="仿宋" w:eastAsia="仿宋" w:cs="仿宋"/>
                <w:color w:val="auto"/>
                <w:sz w:val="28"/>
                <w:szCs w:val="28"/>
                <w:highlight w:val="none"/>
              </w:rPr>
            </w:pPr>
          </w:p>
          <w:p w14:paraId="5EF28B3E">
            <w:pPr>
              <w:widowControl/>
              <w:kinsoku w:val="0"/>
              <w:snapToGrid w:val="0"/>
              <w:spacing w:line="560" w:lineRule="exact"/>
              <w:textAlignment w:val="baseline"/>
              <w:rPr>
                <w:rFonts w:hint="eastAsia" w:ascii="仿宋" w:hAnsi="仿宋" w:eastAsia="仿宋" w:cs="仿宋"/>
                <w:color w:val="auto"/>
                <w:sz w:val="28"/>
                <w:szCs w:val="28"/>
                <w:highlight w:val="none"/>
              </w:rPr>
            </w:pPr>
          </w:p>
          <w:p w14:paraId="19D4B460">
            <w:pPr>
              <w:widowControl/>
              <w:kinsoku w:val="0"/>
              <w:snapToGrid w:val="0"/>
              <w:spacing w:before="71" w:line="560" w:lineRule="exact"/>
              <w:ind w:left="389"/>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2.2.2</w:t>
            </w:r>
          </w:p>
        </w:tc>
        <w:tc>
          <w:tcPr>
            <w:tcW w:w="778" w:type="pct"/>
            <w:vMerge w:val="restart"/>
            <w:tcBorders>
              <w:top w:val="single" w:color="auto" w:sz="4" w:space="0"/>
              <w:bottom w:val="nil"/>
            </w:tcBorders>
          </w:tcPr>
          <w:p w14:paraId="10187B1A">
            <w:pPr>
              <w:widowControl/>
              <w:kinsoku w:val="0"/>
              <w:snapToGrid w:val="0"/>
              <w:spacing w:line="560" w:lineRule="exact"/>
              <w:textAlignment w:val="baseline"/>
              <w:rPr>
                <w:rFonts w:hint="eastAsia" w:ascii="仿宋" w:hAnsi="仿宋" w:eastAsia="仿宋" w:cs="仿宋"/>
                <w:color w:val="auto"/>
                <w:sz w:val="28"/>
                <w:szCs w:val="28"/>
                <w:highlight w:val="none"/>
              </w:rPr>
            </w:pPr>
          </w:p>
          <w:p w14:paraId="16375F14">
            <w:pPr>
              <w:widowControl/>
              <w:kinsoku w:val="0"/>
              <w:snapToGrid w:val="0"/>
              <w:spacing w:line="560" w:lineRule="exact"/>
              <w:textAlignment w:val="baseline"/>
              <w:rPr>
                <w:rFonts w:hint="eastAsia" w:ascii="仿宋" w:hAnsi="仿宋" w:eastAsia="仿宋" w:cs="仿宋"/>
                <w:color w:val="auto"/>
                <w:sz w:val="28"/>
                <w:szCs w:val="28"/>
                <w:highlight w:val="none"/>
              </w:rPr>
            </w:pPr>
          </w:p>
          <w:p w14:paraId="65473271">
            <w:pPr>
              <w:widowControl/>
              <w:kinsoku w:val="0"/>
              <w:snapToGrid w:val="0"/>
              <w:spacing w:line="560" w:lineRule="exact"/>
              <w:textAlignment w:val="baseline"/>
              <w:rPr>
                <w:rFonts w:hint="eastAsia" w:ascii="仿宋" w:hAnsi="仿宋" w:eastAsia="仿宋" w:cs="仿宋"/>
                <w:color w:val="auto"/>
                <w:sz w:val="28"/>
                <w:szCs w:val="28"/>
                <w:highlight w:val="none"/>
              </w:rPr>
            </w:pPr>
          </w:p>
          <w:p w14:paraId="77671162">
            <w:pPr>
              <w:widowControl/>
              <w:kinsoku w:val="0"/>
              <w:snapToGrid w:val="0"/>
              <w:spacing w:line="560" w:lineRule="exact"/>
              <w:textAlignment w:val="baseline"/>
              <w:rPr>
                <w:rFonts w:hint="eastAsia" w:ascii="仿宋" w:hAnsi="仿宋" w:eastAsia="仿宋" w:cs="仿宋"/>
                <w:color w:val="auto"/>
                <w:sz w:val="28"/>
                <w:szCs w:val="28"/>
                <w:highlight w:val="none"/>
              </w:rPr>
            </w:pPr>
          </w:p>
          <w:p w14:paraId="4812D1DD">
            <w:pPr>
              <w:widowControl/>
              <w:kinsoku w:val="0"/>
              <w:snapToGrid w:val="0"/>
              <w:spacing w:line="560" w:lineRule="exact"/>
              <w:textAlignment w:val="baseline"/>
              <w:rPr>
                <w:rFonts w:hint="eastAsia" w:ascii="仿宋" w:hAnsi="仿宋" w:eastAsia="仿宋" w:cs="仿宋"/>
                <w:color w:val="auto"/>
                <w:sz w:val="28"/>
                <w:szCs w:val="28"/>
                <w:highlight w:val="none"/>
              </w:rPr>
            </w:pPr>
          </w:p>
          <w:p w14:paraId="1509EF78">
            <w:pPr>
              <w:widowControl/>
              <w:kinsoku w:val="0"/>
              <w:snapToGrid w:val="0"/>
              <w:spacing w:line="560" w:lineRule="exact"/>
              <w:textAlignment w:val="baseline"/>
              <w:rPr>
                <w:rFonts w:hint="eastAsia" w:ascii="仿宋" w:hAnsi="仿宋" w:eastAsia="仿宋" w:cs="仿宋"/>
                <w:color w:val="auto"/>
                <w:sz w:val="28"/>
                <w:szCs w:val="28"/>
                <w:highlight w:val="none"/>
              </w:rPr>
            </w:pPr>
          </w:p>
          <w:p w14:paraId="39347C73">
            <w:pPr>
              <w:widowControl/>
              <w:kinsoku w:val="0"/>
              <w:snapToGrid w:val="0"/>
              <w:spacing w:before="72" w:line="560" w:lineRule="exact"/>
              <w:ind w:left="163"/>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1"/>
                <w:sz w:val="28"/>
                <w:szCs w:val="28"/>
                <w:highlight w:val="none"/>
              </w:rPr>
              <w:t>符合性审查</w:t>
            </w:r>
          </w:p>
        </w:tc>
        <w:tc>
          <w:tcPr>
            <w:tcW w:w="3490" w:type="pct"/>
            <w:tcBorders>
              <w:top w:val="single" w:color="auto" w:sz="4" w:space="0"/>
            </w:tcBorders>
          </w:tcPr>
          <w:p w14:paraId="2D9727E9">
            <w:pPr>
              <w:widowControl/>
              <w:kinsoku w:val="0"/>
              <w:snapToGrid w:val="0"/>
              <w:spacing w:before="141" w:line="560" w:lineRule="exact"/>
              <w:ind w:left="155"/>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响应文件格式符合</w:t>
            </w:r>
            <w:r>
              <w:rPr>
                <w:rFonts w:hint="eastAsia" w:ascii="仿宋" w:hAnsi="仿宋" w:eastAsia="仿宋" w:cs="仿宋"/>
                <w:color w:val="auto"/>
                <w:spacing w:val="8"/>
                <w:sz w:val="28"/>
                <w:szCs w:val="28"/>
                <w:highlight w:val="none"/>
                <w:u w:val="single"/>
              </w:rPr>
              <w:t>招标文件</w:t>
            </w:r>
            <w:r>
              <w:rPr>
                <w:rFonts w:hint="eastAsia" w:ascii="仿宋" w:hAnsi="仿宋" w:eastAsia="仿宋" w:cs="仿宋"/>
                <w:color w:val="auto"/>
                <w:spacing w:val="8"/>
                <w:sz w:val="28"/>
                <w:szCs w:val="28"/>
                <w:highlight w:val="none"/>
              </w:rPr>
              <w:t>要求</w:t>
            </w:r>
          </w:p>
        </w:tc>
      </w:tr>
      <w:tr w14:paraId="47E81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730" w:type="pct"/>
            <w:vMerge w:val="continue"/>
            <w:tcBorders>
              <w:top w:val="nil"/>
              <w:bottom w:val="nil"/>
            </w:tcBorders>
          </w:tcPr>
          <w:p w14:paraId="0F4C56BF">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nil"/>
              <w:bottom w:val="nil"/>
            </w:tcBorders>
          </w:tcPr>
          <w:p w14:paraId="7EA8A4B7">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Pr>
          <w:p w14:paraId="26C3FDB0">
            <w:pPr>
              <w:widowControl/>
              <w:kinsoku w:val="0"/>
              <w:snapToGrid w:val="0"/>
              <w:spacing w:before="152" w:line="560" w:lineRule="exact"/>
              <w:ind w:left="155"/>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响应文件的签名盖章符合</w:t>
            </w:r>
            <w:r>
              <w:rPr>
                <w:rFonts w:hint="eastAsia" w:ascii="仿宋" w:hAnsi="仿宋" w:eastAsia="仿宋" w:cs="仿宋"/>
                <w:color w:val="auto"/>
                <w:spacing w:val="8"/>
                <w:sz w:val="28"/>
                <w:szCs w:val="28"/>
                <w:highlight w:val="none"/>
                <w:u w:val="single"/>
              </w:rPr>
              <w:t>招标文件</w:t>
            </w:r>
            <w:r>
              <w:rPr>
                <w:rFonts w:hint="eastAsia" w:ascii="仿宋" w:hAnsi="仿宋" w:eastAsia="仿宋" w:cs="仿宋"/>
                <w:color w:val="auto"/>
                <w:spacing w:val="8"/>
                <w:sz w:val="28"/>
                <w:szCs w:val="28"/>
                <w:highlight w:val="none"/>
              </w:rPr>
              <w:t>要求</w:t>
            </w:r>
          </w:p>
        </w:tc>
      </w:tr>
      <w:tr w14:paraId="4DE97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30" w:type="pct"/>
            <w:vMerge w:val="continue"/>
            <w:tcBorders>
              <w:top w:val="nil"/>
              <w:bottom w:val="nil"/>
            </w:tcBorders>
          </w:tcPr>
          <w:p w14:paraId="2CCD9D86">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nil"/>
              <w:bottom w:val="nil"/>
            </w:tcBorders>
          </w:tcPr>
          <w:p w14:paraId="6720D8CC">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Pr>
          <w:p w14:paraId="7229F002">
            <w:pPr>
              <w:widowControl/>
              <w:kinsoku w:val="0"/>
              <w:snapToGrid w:val="0"/>
              <w:spacing w:before="140" w:line="560" w:lineRule="exact"/>
              <w:ind w:left="142"/>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报价有效期符合</w:t>
            </w:r>
            <w:r>
              <w:rPr>
                <w:rFonts w:hint="eastAsia" w:ascii="仿宋" w:hAnsi="仿宋" w:eastAsia="仿宋" w:cs="仿宋"/>
                <w:color w:val="auto"/>
                <w:spacing w:val="7"/>
                <w:sz w:val="28"/>
                <w:szCs w:val="28"/>
                <w:highlight w:val="none"/>
                <w:u w:val="single"/>
              </w:rPr>
              <w:t>招标文件</w:t>
            </w:r>
            <w:r>
              <w:rPr>
                <w:rFonts w:hint="eastAsia" w:ascii="仿宋" w:hAnsi="仿宋" w:eastAsia="仿宋" w:cs="仿宋"/>
                <w:color w:val="auto"/>
                <w:spacing w:val="7"/>
                <w:sz w:val="28"/>
                <w:szCs w:val="28"/>
                <w:highlight w:val="none"/>
              </w:rPr>
              <w:t>要求</w:t>
            </w:r>
          </w:p>
        </w:tc>
      </w:tr>
      <w:tr w14:paraId="7F50D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0" w:type="pct"/>
            <w:vMerge w:val="continue"/>
            <w:tcBorders>
              <w:top w:val="nil"/>
              <w:bottom w:val="nil"/>
            </w:tcBorders>
          </w:tcPr>
          <w:p w14:paraId="11988624">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nil"/>
              <w:bottom w:val="nil"/>
            </w:tcBorders>
          </w:tcPr>
          <w:p w14:paraId="235ED7DD">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Pr>
          <w:p w14:paraId="088C0963">
            <w:pPr>
              <w:widowControl/>
              <w:kinsoku w:val="0"/>
              <w:snapToGrid w:val="0"/>
              <w:spacing w:before="155" w:line="560" w:lineRule="exact"/>
              <w:ind w:left="144"/>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服务期符合</w:t>
            </w:r>
            <w:r>
              <w:rPr>
                <w:rFonts w:hint="eastAsia" w:ascii="仿宋" w:hAnsi="仿宋" w:eastAsia="仿宋" w:cs="仿宋"/>
                <w:color w:val="auto"/>
                <w:spacing w:val="7"/>
                <w:sz w:val="28"/>
                <w:szCs w:val="28"/>
                <w:highlight w:val="none"/>
                <w:u w:val="single"/>
              </w:rPr>
              <w:t>招标文件</w:t>
            </w:r>
            <w:r>
              <w:rPr>
                <w:rFonts w:hint="eastAsia" w:ascii="仿宋" w:hAnsi="仿宋" w:eastAsia="仿宋" w:cs="仿宋"/>
                <w:color w:val="auto"/>
                <w:spacing w:val="7"/>
                <w:sz w:val="28"/>
                <w:szCs w:val="28"/>
                <w:highlight w:val="none"/>
              </w:rPr>
              <w:t>要求</w:t>
            </w:r>
          </w:p>
        </w:tc>
      </w:tr>
      <w:tr w14:paraId="6F2D9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30" w:type="pct"/>
            <w:vMerge w:val="continue"/>
            <w:tcBorders>
              <w:top w:val="nil"/>
              <w:bottom w:val="nil"/>
            </w:tcBorders>
          </w:tcPr>
          <w:p w14:paraId="5B0C6B36">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nil"/>
              <w:bottom w:val="nil"/>
            </w:tcBorders>
          </w:tcPr>
          <w:p w14:paraId="0679E0F2">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Pr>
          <w:p w14:paraId="0CB74DBA">
            <w:pPr>
              <w:widowControl/>
              <w:kinsoku w:val="0"/>
              <w:snapToGrid w:val="0"/>
              <w:spacing w:before="146" w:line="560" w:lineRule="exact"/>
              <w:ind w:left="144"/>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服务质量符合</w:t>
            </w:r>
            <w:r>
              <w:rPr>
                <w:rFonts w:hint="eastAsia" w:ascii="仿宋" w:hAnsi="仿宋" w:eastAsia="仿宋" w:cs="仿宋"/>
                <w:color w:val="auto"/>
                <w:spacing w:val="7"/>
                <w:sz w:val="28"/>
                <w:szCs w:val="28"/>
                <w:highlight w:val="none"/>
                <w:u w:val="single"/>
              </w:rPr>
              <w:t>招标文件</w:t>
            </w:r>
            <w:r>
              <w:rPr>
                <w:rFonts w:hint="eastAsia" w:ascii="仿宋" w:hAnsi="仿宋" w:eastAsia="仿宋" w:cs="仿宋"/>
                <w:color w:val="auto"/>
                <w:spacing w:val="7"/>
                <w:sz w:val="28"/>
                <w:szCs w:val="28"/>
                <w:highlight w:val="none"/>
              </w:rPr>
              <w:t>要求</w:t>
            </w:r>
          </w:p>
        </w:tc>
      </w:tr>
      <w:tr w14:paraId="15B59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0" w:type="pct"/>
            <w:vMerge w:val="continue"/>
            <w:tcBorders>
              <w:top w:val="nil"/>
              <w:bottom w:val="nil"/>
            </w:tcBorders>
          </w:tcPr>
          <w:p w14:paraId="436DA27E">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nil"/>
              <w:bottom w:val="nil"/>
            </w:tcBorders>
          </w:tcPr>
          <w:p w14:paraId="5FFFA665">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Pr>
          <w:p w14:paraId="6D9F5CBC">
            <w:pPr>
              <w:widowControl/>
              <w:kinsoku w:val="0"/>
              <w:snapToGrid w:val="0"/>
              <w:spacing w:before="154" w:line="560" w:lineRule="exact"/>
              <w:ind w:left="146"/>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按照</w:t>
            </w:r>
            <w:r>
              <w:rPr>
                <w:rFonts w:hint="eastAsia" w:ascii="仿宋" w:hAnsi="仿宋" w:eastAsia="仿宋" w:cs="仿宋"/>
                <w:color w:val="auto"/>
                <w:spacing w:val="9"/>
                <w:sz w:val="28"/>
                <w:szCs w:val="28"/>
                <w:highlight w:val="none"/>
                <w:u w:val="single"/>
              </w:rPr>
              <w:t>招标文件</w:t>
            </w:r>
            <w:r>
              <w:rPr>
                <w:rFonts w:hint="eastAsia" w:ascii="仿宋" w:hAnsi="仿宋" w:eastAsia="仿宋" w:cs="仿宋"/>
                <w:color w:val="auto"/>
                <w:spacing w:val="9"/>
                <w:sz w:val="28"/>
                <w:szCs w:val="28"/>
                <w:highlight w:val="none"/>
              </w:rPr>
              <w:t>规定报价只有一个有效报价且没有漏项</w:t>
            </w:r>
          </w:p>
        </w:tc>
      </w:tr>
      <w:tr w14:paraId="415DA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730" w:type="pct"/>
            <w:vMerge w:val="continue"/>
            <w:tcBorders>
              <w:top w:val="nil"/>
            </w:tcBorders>
          </w:tcPr>
          <w:p w14:paraId="723AFD29">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778" w:type="pct"/>
            <w:vMerge w:val="continue"/>
            <w:tcBorders>
              <w:top w:val="nil"/>
            </w:tcBorders>
          </w:tcPr>
          <w:p w14:paraId="5C0EF166">
            <w:pPr>
              <w:widowControl/>
              <w:kinsoku w:val="0"/>
              <w:snapToGrid w:val="0"/>
              <w:spacing w:line="560" w:lineRule="exact"/>
              <w:textAlignment w:val="baseline"/>
              <w:rPr>
                <w:rFonts w:hint="eastAsia" w:ascii="仿宋" w:hAnsi="仿宋" w:eastAsia="仿宋" w:cs="仿宋"/>
                <w:color w:val="auto"/>
                <w:sz w:val="28"/>
                <w:szCs w:val="28"/>
                <w:highlight w:val="none"/>
              </w:rPr>
            </w:pPr>
          </w:p>
        </w:tc>
        <w:tc>
          <w:tcPr>
            <w:tcW w:w="3490" w:type="pct"/>
          </w:tcPr>
          <w:p w14:paraId="444FB849">
            <w:pPr>
              <w:widowControl/>
              <w:kinsoku w:val="0"/>
              <w:snapToGrid w:val="0"/>
              <w:spacing w:before="147" w:line="560" w:lineRule="exact"/>
              <w:ind w:left="146"/>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无其他不符合</w:t>
            </w:r>
            <w:r>
              <w:rPr>
                <w:rFonts w:hint="eastAsia" w:ascii="仿宋" w:hAnsi="仿宋" w:eastAsia="仿宋" w:cs="仿宋"/>
                <w:color w:val="auto"/>
                <w:spacing w:val="9"/>
                <w:sz w:val="28"/>
                <w:szCs w:val="28"/>
                <w:highlight w:val="none"/>
                <w:u w:val="single"/>
              </w:rPr>
              <w:t>招标文件</w:t>
            </w:r>
            <w:r>
              <w:rPr>
                <w:rFonts w:hint="eastAsia" w:ascii="仿宋" w:hAnsi="仿宋" w:eastAsia="仿宋" w:cs="仿宋"/>
                <w:color w:val="auto"/>
                <w:spacing w:val="9"/>
                <w:sz w:val="28"/>
                <w:szCs w:val="28"/>
                <w:highlight w:val="none"/>
              </w:rPr>
              <w:t>的实质性要求</w:t>
            </w:r>
          </w:p>
        </w:tc>
      </w:tr>
    </w:tbl>
    <w:p w14:paraId="05EC5CC2">
      <w:pPr>
        <w:pStyle w:val="28"/>
        <w:ind w:left="0" w:leftChars="0" w:firstLine="0" w:firstLineChars="0"/>
        <w:rPr>
          <w:rFonts w:hint="eastAsia" w:ascii="仿宋" w:hAnsi="仿宋" w:eastAsia="仿宋" w:cs="仿宋"/>
          <w:color w:val="auto"/>
          <w:sz w:val="22"/>
          <w:szCs w:val="22"/>
          <w:highlight w:val="none"/>
        </w:rPr>
      </w:pPr>
    </w:p>
    <w:p w14:paraId="17A855E1">
      <w:pPr>
        <w:widowControl/>
        <w:kinsoku w:val="0"/>
        <w:snapToGrid w:val="0"/>
        <w:spacing w:before="146" w:line="560" w:lineRule="exact"/>
        <w:ind w:left="144"/>
        <w:textAlignment w:val="baseline"/>
        <w:rPr>
          <w:rFonts w:hint="eastAsia" w:ascii="仿宋" w:hAnsi="仿宋" w:eastAsia="仿宋" w:cs="仿宋"/>
          <w:color w:val="auto"/>
          <w:spacing w:val="7"/>
          <w:sz w:val="28"/>
          <w:szCs w:val="28"/>
          <w:highlight w:val="none"/>
          <w:lang w:val="en-US" w:eastAsia="zh-CN"/>
        </w:rPr>
      </w:pPr>
      <w:bookmarkStart w:id="98" w:name="_Toc22109"/>
      <w:bookmarkStart w:id="99" w:name="_Toc24302"/>
    </w:p>
    <w:p w14:paraId="3C80B8C2">
      <w:pPr>
        <w:rPr>
          <w:rFonts w:hint="eastAsia" w:ascii="仿宋" w:hAnsi="仿宋" w:eastAsia="仿宋" w:cs="仿宋"/>
          <w:color w:val="auto"/>
          <w:spacing w:val="7"/>
          <w:sz w:val="28"/>
          <w:szCs w:val="28"/>
          <w:highlight w:val="none"/>
          <w:lang w:val="en-US" w:eastAsia="zh-CN"/>
        </w:rPr>
      </w:pPr>
      <w:r>
        <w:rPr>
          <w:rFonts w:hint="eastAsia" w:ascii="仿宋" w:hAnsi="仿宋" w:eastAsia="仿宋" w:cs="仿宋"/>
          <w:color w:val="auto"/>
          <w:spacing w:val="7"/>
          <w:sz w:val="28"/>
          <w:szCs w:val="28"/>
          <w:highlight w:val="none"/>
          <w:lang w:val="en-US" w:eastAsia="zh-CN"/>
        </w:rPr>
        <w:br w:type="page"/>
      </w:r>
    </w:p>
    <w:p w14:paraId="331A933E">
      <w:pPr>
        <w:widowControl/>
        <w:kinsoku w:val="0"/>
        <w:snapToGrid w:val="0"/>
        <w:spacing w:before="146" w:line="560" w:lineRule="exact"/>
        <w:textAlignment w:val="baseline"/>
        <w:rPr>
          <w:rFonts w:hint="eastAsia" w:ascii="仿宋" w:hAnsi="仿宋" w:eastAsia="仿宋" w:cs="仿宋"/>
          <w:color w:val="auto"/>
          <w:spacing w:val="7"/>
          <w:sz w:val="28"/>
          <w:szCs w:val="28"/>
          <w:highlight w:val="none"/>
        </w:rPr>
      </w:pPr>
      <w:r>
        <w:rPr>
          <w:rFonts w:hint="eastAsia" w:ascii="仿宋" w:hAnsi="仿宋" w:eastAsia="仿宋" w:cs="仿宋"/>
          <w:color w:val="auto"/>
          <w:spacing w:val="7"/>
          <w:sz w:val="28"/>
          <w:szCs w:val="28"/>
          <w:highlight w:val="none"/>
          <w:lang w:val="en-US" w:eastAsia="zh-CN"/>
        </w:rPr>
        <w:t>一、</w:t>
      </w:r>
      <w:r>
        <w:rPr>
          <w:rFonts w:hint="eastAsia" w:ascii="仿宋" w:hAnsi="仿宋" w:eastAsia="仿宋" w:cs="仿宋"/>
          <w:color w:val="auto"/>
          <w:spacing w:val="7"/>
          <w:sz w:val="28"/>
          <w:szCs w:val="28"/>
          <w:highlight w:val="none"/>
        </w:rPr>
        <w:t>评分标准</w:t>
      </w:r>
      <w:bookmarkEnd w:id="98"/>
    </w:p>
    <w:tbl>
      <w:tblPr>
        <w:tblStyle w:val="29"/>
        <w:tblW w:w="962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1019"/>
        <w:gridCol w:w="7052"/>
      </w:tblGrid>
      <w:tr w14:paraId="631D9C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550" w:type="dxa"/>
            <w:noWrap w:val="0"/>
            <w:vAlign w:val="center"/>
          </w:tcPr>
          <w:p w14:paraId="0C9607CC">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考核项目</w:t>
            </w:r>
          </w:p>
        </w:tc>
        <w:tc>
          <w:tcPr>
            <w:tcW w:w="1019" w:type="dxa"/>
            <w:noWrap w:val="0"/>
            <w:vAlign w:val="center"/>
          </w:tcPr>
          <w:p w14:paraId="48134B6E">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分数</w:t>
            </w:r>
          </w:p>
        </w:tc>
        <w:tc>
          <w:tcPr>
            <w:tcW w:w="7052" w:type="dxa"/>
            <w:noWrap w:val="0"/>
            <w:vAlign w:val="center"/>
          </w:tcPr>
          <w:p w14:paraId="2A8DA651">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评分标准</w:t>
            </w:r>
          </w:p>
        </w:tc>
      </w:tr>
      <w:tr w14:paraId="706A0B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9621" w:type="dxa"/>
            <w:gridSpan w:val="3"/>
            <w:noWrap w:val="0"/>
            <w:vAlign w:val="center"/>
          </w:tcPr>
          <w:p w14:paraId="14899A98">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商务标（权重30%）</w:t>
            </w:r>
          </w:p>
        </w:tc>
      </w:tr>
      <w:tr w14:paraId="67387A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01" w:hRule="atLeast"/>
          <w:jc w:val="center"/>
        </w:trPr>
        <w:tc>
          <w:tcPr>
            <w:tcW w:w="1550" w:type="dxa"/>
            <w:noWrap w:val="0"/>
            <w:vAlign w:val="center"/>
          </w:tcPr>
          <w:p w14:paraId="78B8518C">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投标报价</w:t>
            </w:r>
          </w:p>
        </w:tc>
        <w:tc>
          <w:tcPr>
            <w:tcW w:w="1019" w:type="dxa"/>
            <w:noWrap w:val="0"/>
            <w:vAlign w:val="center"/>
          </w:tcPr>
          <w:p w14:paraId="10BF223A">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30分</w:t>
            </w:r>
          </w:p>
        </w:tc>
        <w:tc>
          <w:tcPr>
            <w:tcW w:w="7052" w:type="dxa"/>
            <w:noWrap w:val="0"/>
            <w:vAlign w:val="center"/>
          </w:tcPr>
          <w:p w14:paraId="55CD96D9">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投标报价得分=（评标基准价/投标报价）*价格权重*100</w:t>
            </w:r>
          </w:p>
          <w:p w14:paraId="3EDB6665">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注：基准价=响应招标文件的最低投标报价</w:t>
            </w:r>
          </w:p>
          <w:p w14:paraId="7C6F8B38">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本项目非专门面向中小微企业。给予符合条件的小微企业给予10%价格扣除政策。</w:t>
            </w:r>
          </w:p>
          <w:p w14:paraId="7AB62994">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根据财政部发布的《政府采购促进中小企业发展管理办法》规定，同时符合以下所有要求的投标单位被认定为中小型、微型企业：投标单位按照《关于印发中小企业划型标准规定的通知》《关于印发统计上大中小微型企业划分办法（2017）的通知》的所属行业规定为小型、微型企业【按《关于印发中小企业划型标准规定的通知》规定提供《中小企业声明函》】。</w:t>
            </w:r>
          </w:p>
        </w:tc>
      </w:tr>
      <w:tr w14:paraId="5E8D6A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9621" w:type="dxa"/>
            <w:gridSpan w:val="3"/>
            <w:noWrap w:val="0"/>
            <w:vAlign w:val="center"/>
          </w:tcPr>
          <w:p w14:paraId="1D2BA7EC">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 xml:space="preserve">技术标（权重70%） </w:t>
            </w:r>
          </w:p>
        </w:tc>
      </w:tr>
      <w:tr w14:paraId="269B8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550" w:type="dxa"/>
            <w:noWrap w:val="0"/>
            <w:vAlign w:val="center"/>
          </w:tcPr>
          <w:p w14:paraId="307641BC">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技术评审</w:t>
            </w:r>
          </w:p>
        </w:tc>
        <w:tc>
          <w:tcPr>
            <w:tcW w:w="1019" w:type="dxa"/>
            <w:noWrap w:val="0"/>
            <w:vAlign w:val="center"/>
          </w:tcPr>
          <w:p w14:paraId="13C74E9D">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10分</w:t>
            </w:r>
          </w:p>
        </w:tc>
        <w:tc>
          <w:tcPr>
            <w:tcW w:w="7052" w:type="dxa"/>
            <w:noWrap w:val="0"/>
            <w:vAlign w:val="center"/>
          </w:tcPr>
          <w:p w14:paraId="1936DA20">
            <w:pPr>
              <w:pStyle w:val="79"/>
              <w:spacing w:before="36" w:line="228" w:lineRule="auto"/>
              <w:jc w:val="both"/>
              <w:rPr>
                <w:rFonts w:hint="eastAsia" w:ascii="仿宋" w:hAnsi="仿宋" w:eastAsia="仿宋" w:cs="仿宋"/>
                <w:color w:val="auto"/>
                <w:sz w:val="28"/>
                <w:szCs w:val="28"/>
                <w:highlight w:val="none"/>
                <w:lang w:val="zh-CN" w:eastAsia="zh-CN" w:bidi="ar-SA"/>
              </w:rPr>
            </w:pPr>
            <w:r>
              <w:rPr>
                <w:rFonts w:hint="eastAsia" w:ascii="仿宋" w:hAnsi="仿宋" w:eastAsia="仿宋" w:cs="仿宋"/>
                <w:color w:val="auto"/>
                <w:sz w:val="28"/>
                <w:szCs w:val="28"/>
                <w:highlight w:val="none"/>
                <w:lang w:val="zh-CN" w:eastAsia="zh-CN" w:bidi="ar-SA"/>
              </w:rPr>
              <w:t>投标供应商完全满足采购需求序号 1</w:t>
            </w:r>
            <w:r>
              <w:rPr>
                <w:rFonts w:hint="eastAsia" w:ascii="仿宋" w:hAnsi="仿宋" w:eastAsia="仿宋" w:cs="仿宋"/>
                <w:color w:val="auto"/>
                <w:sz w:val="28"/>
                <w:szCs w:val="28"/>
                <w:highlight w:val="none"/>
                <w:lang w:val="zh-CN" w:eastAsia="zh-CN" w:bidi="ar-SA"/>
              </w:rPr>
              <w:noBreakHyphen/>
            </w:r>
            <w:r>
              <w:rPr>
                <w:rFonts w:hint="eastAsia" w:ascii="仿宋" w:hAnsi="仿宋" w:eastAsia="仿宋" w:cs="仿宋"/>
                <w:color w:val="auto"/>
                <w:sz w:val="28"/>
                <w:szCs w:val="28"/>
                <w:highlight w:val="none"/>
                <w:lang w:val="zh-CN" w:eastAsia="zh-CN" w:bidi="ar-SA"/>
              </w:rPr>
              <w:t>5 全部技术要求得 10 分；序号 1</w:t>
            </w:r>
            <w:r>
              <w:rPr>
                <w:rFonts w:hint="eastAsia" w:ascii="仿宋" w:hAnsi="仿宋" w:eastAsia="仿宋" w:cs="仿宋"/>
                <w:color w:val="auto"/>
                <w:sz w:val="28"/>
                <w:szCs w:val="28"/>
                <w:highlight w:val="none"/>
                <w:lang w:val="zh-CN" w:eastAsia="zh-CN" w:bidi="ar-SA"/>
              </w:rPr>
              <w:noBreakHyphen/>
            </w:r>
            <w:r>
              <w:rPr>
                <w:rFonts w:hint="eastAsia" w:ascii="仿宋" w:hAnsi="仿宋" w:eastAsia="仿宋" w:cs="仿宋"/>
                <w:color w:val="auto"/>
                <w:sz w:val="28"/>
                <w:szCs w:val="28"/>
                <w:highlight w:val="none"/>
                <w:lang w:val="zh-CN" w:eastAsia="zh-CN" w:bidi="ar-SA"/>
              </w:rPr>
              <w:t>5 中每有一项未完全满足（负偏离）扣 2 分，扣完本项为止。投标人应提供技术支持资料，技术支持资料指：投标产品生产厂家公开发布的印刷资料或者说明书或检测机构出具的检测报告或者白皮书等资料，不能对应佐证参数要求的，该项按负偏离处理。注：采购需求序号 1</w:t>
            </w:r>
            <w:r>
              <w:rPr>
                <w:rFonts w:hint="eastAsia" w:ascii="仿宋" w:hAnsi="仿宋" w:eastAsia="仿宋" w:cs="仿宋"/>
                <w:color w:val="auto"/>
                <w:sz w:val="28"/>
                <w:szCs w:val="28"/>
                <w:highlight w:val="none"/>
                <w:lang w:val="zh-CN" w:eastAsia="zh-CN" w:bidi="ar-SA"/>
              </w:rPr>
              <w:noBreakHyphen/>
            </w:r>
            <w:r>
              <w:rPr>
                <w:rFonts w:hint="eastAsia" w:ascii="仿宋" w:hAnsi="仿宋" w:eastAsia="仿宋" w:cs="仿宋"/>
                <w:color w:val="auto"/>
                <w:sz w:val="28"/>
                <w:szCs w:val="28"/>
                <w:highlight w:val="none"/>
                <w:lang w:val="zh-CN" w:eastAsia="zh-CN" w:bidi="ar-SA"/>
              </w:rPr>
              <w:t>5：1. 挖掘机本体要求；2. 开放式智能控制与二次开发要求；3. 基础传感器配置要求；4. 安全控制要求；5. 系统集成与服务要求。</w:t>
            </w:r>
          </w:p>
        </w:tc>
      </w:tr>
      <w:tr w14:paraId="4B1AD3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550" w:type="dxa"/>
            <w:noWrap w:val="0"/>
            <w:vAlign w:val="center"/>
          </w:tcPr>
          <w:p w14:paraId="3AEE4C5D">
            <w:pPr>
              <w:widowControl/>
              <w:kinsoku w:val="0"/>
              <w:snapToGrid w:val="0"/>
              <w:spacing w:before="146" w:line="560" w:lineRule="exact"/>
              <w:ind w:left="144" w:leftChars="0"/>
              <w:jc w:val="center"/>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业绩</w:t>
            </w:r>
          </w:p>
        </w:tc>
        <w:tc>
          <w:tcPr>
            <w:tcW w:w="1019" w:type="dxa"/>
            <w:noWrap w:val="0"/>
            <w:vAlign w:val="center"/>
          </w:tcPr>
          <w:p w14:paraId="71543476">
            <w:pPr>
              <w:widowControl/>
              <w:kinsoku w:val="0"/>
              <w:snapToGrid w:val="0"/>
              <w:spacing w:before="146" w:line="560" w:lineRule="exact"/>
              <w:ind w:left="144" w:leftChars="0"/>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2分</w:t>
            </w:r>
          </w:p>
        </w:tc>
        <w:tc>
          <w:tcPr>
            <w:tcW w:w="7052" w:type="dxa"/>
            <w:noWrap w:val="0"/>
            <w:vAlign w:val="center"/>
          </w:tcPr>
          <w:p w14:paraId="4ED783FF">
            <w:pPr>
              <w:widowControl/>
              <w:kinsoku w:val="0"/>
              <w:snapToGrid w:val="0"/>
              <w:spacing w:before="146" w:line="560" w:lineRule="exact"/>
              <w:ind w:left="144" w:leftChars="0"/>
              <w:textAlignment w:val="baseline"/>
              <w:rPr>
                <w:rFonts w:hint="eastAsia" w:ascii="仿宋" w:hAnsi="仿宋" w:eastAsia="仿宋" w:cs="仿宋"/>
                <w:color w:val="auto"/>
                <w:sz w:val="28"/>
                <w:szCs w:val="28"/>
                <w:highlight w:val="none"/>
                <w:lang w:val="zh-CN" w:eastAsia="zh-CN" w:bidi="ar-SA"/>
              </w:rPr>
            </w:pPr>
            <w:r>
              <w:rPr>
                <w:rFonts w:hint="eastAsia" w:ascii="仿宋" w:hAnsi="仿宋" w:eastAsia="仿宋" w:cs="仿宋"/>
                <w:color w:val="auto"/>
                <w:sz w:val="28"/>
                <w:szCs w:val="28"/>
                <w:highlight w:val="none"/>
                <w:lang w:val="zh-CN" w:eastAsia="zh-CN" w:bidi="ar-SA"/>
              </w:rPr>
              <w:t>投标人在2023年1月1日起至投标截止日止具有与本项目采购内容相关</w:t>
            </w:r>
            <w:r>
              <w:rPr>
                <w:rFonts w:hint="eastAsia" w:ascii="仿宋" w:hAnsi="仿宋" w:eastAsia="仿宋" w:cs="仿宋"/>
                <w:b w:val="0"/>
                <w:color w:val="auto"/>
                <w:kern w:val="0"/>
                <w:sz w:val="28"/>
                <w:szCs w:val="28"/>
                <w:highlight w:val="none"/>
                <w:lang w:val="en-US" w:eastAsia="zh-CN" w:bidi="ar"/>
              </w:rPr>
              <w:t>成套设备供货或软硬件系统集成</w:t>
            </w:r>
            <w:r>
              <w:rPr>
                <w:rFonts w:hint="eastAsia" w:ascii="仿宋" w:hAnsi="仿宋" w:eastAsia="仿宋" w:cs="仿宋"/>
                <w:b w:val="0"/>
                <w:color w:val="auto"/>
                <w:kern w:val="0"/>
                <w:sz w:val="28"/>
                <w:szCs w:val="28"/>
                <w:highlight w:val="none"/>
                <w:lang w:val="zh-CN" w:eastAsia="zh-CN" w:bidi="ar"/>
              </w:rPr>
              <w:t>同类型业绩，</w:t>
            </w:r>
            <w:r>
              <w:rPr>
                <w:rFonts w:hint="eastAsia" w:ascii="仿宋" w:hAnsi="仿宋" w:eastAsia="仿宋" w:cs="仿宋"/>
                <w:b w:val="0"/>
                <w:color w:val="auto"/>
                <w:kern w:val="0"/>
                <w:sz w:val="28"/>
                <w:szCs w:val="28"/>
                <w:highlight w:val="none"/>
                <w:lang w:val="en-US" w:eastAsia="zh-CN" w:bidi="ar"/>
              </w:rPr>
              <w:t>以上每一</w:t>
            </w:r>
            <w:r>
              <w:rPr>
                <w:rFonts w:hint="eastAsia" w:ascii="仿宋" w:hAnsi="仿宋" w:eastAsia="仿宋" w:cs="仿宋"/>
                <w:color w:val="auto"/>
                <w:sz w:val="28"/>
                <w:szCs w:val="28"/>
                <w:highlight w:val="none"/>
                <w:lang w:val="en-US" w:eastAsia="zh-CN" w:bidi="ar-SA"/>
              </w:rPr>
              <w:t>项1分，本项最高2分。</w:t>
            </w:r>
            <w:r>
              <w:rPr>
                <w:rFonts w:hint="eastAsia" w:ascii="仿宋" w:hAnsi="仿宋" w:eastAsia="仿宋" w:cs="仿宋"/>
                <w:b w:val="0"/>
                <w:color w:val="auto"/>
                <w:kern w:val="0"/>
                <w:sz w:val="28"/>
                <w:szCs w:val="28"/>
                <w:highlight w:val="none"/>
                <w:lang w:val="zh-CN" w:eastAsia="zh-CN" w:bidi="ar"/>
              </w:rPr>
              <w:t>注：①提供中标（成交）通知书</w:t>
            </w:r>
            <w:r>
              <w:rPr>
                <w:rFonts w:hint="eastAsia" w:ascii="仿宋" w:hAnsi="仿宋" w:eastAsia="仿宋" w:cs="仿宋"/>
                <w:b w:val="0"/>
                <w:color w:val="auto"/>
                <w:kern w:val="0"/>
                <w:sz w:val="28"/>
                <w:szCs w:val="28"/>
                <w:highlight w:val="none"/>
                <w:lang w:val="en-US" w:eastAsia="zh-CN" w:bidi="ar"/>
              </w:rPr>
              <w:t>或</w:t>
            </w:r>
            <w:r>
              <w:rPr>
                <w:rFonts w:hint="eastAsia" w:ascii="仿宋" w:hAnsi="仿宋" w:eastAsia="仿宋" w:cs="仿宋"/>
                <w:b w:val="0"/>
                <w:color w:val="auto"/>
                <w:kern w:val="0"/>
                <w:sz w:val="28"/>
                <w:szCs w:val="28"/>
                <w:highlight w:val="none"/>
                <w:lang w:val="zh-CN" w:eastAsia="zh-CN" w:bidi="ar"/>
              </w:rPr>
              <w:t>合同复印件、</w:t>
            </w:r>
            <w:r>
              <w:rPr>
                <w:rFonts w:hint="eastAsia" w:ascii="仿宋" w:hAnsi="仿宋" w:eastAsia="仿宋" w:cs="仿宋"/>
                <w:b w:val="0"/>
                <w:color w:val="auto"/>
                <w:kern w:val="0"/>
                <w:sz w:val="28"/>
                <w:szCs w:val="28"/>
                <w:highlight w:val="none"/>
                <w:lang w:val="en-US" w:eastAsia="zh-CN" w:bidi="ar"/>
              </w:rPr>
              <w:t>结算凭证或结算发票等证明材料</w:t>
            </w:r>
            <w:r>
              <w:rPr>
                <w:rFonts w:hint="eastAsia" w:ascii="仿宋" w:hAnsi="仿宋" w:eastAsia="仿宋" w:cs="仿宋"/>
                <w:b w:val="0"/>
                <w:color w:val="auto"/>
                <w:kern w:val="0"/>
                <w:sz w:val="28"/>
                <w:szCs w:val="28"/>
                <w:highlight w:val="none"/>
                <w:lang w:val="zh-CN" w:eastAsia="zh-CN" w:bidi="ar"/>
              </w:rPr>
              <w:t>，未按要求提供不得分；②同一单位的类似合同不重复计算业绩，仅算一个业绩。</w:t>
            </w:r>
          </w:p>
        </w:tc>
      </w:tr>
      <w:tr w14:paraId="2B1AF5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550" w:type="dxa"/>
            <w:noWrap w:val="0"/>
            <w:vAlign w:val="center"/>
          </w:tcPr>
          <w:p w14:paraId="1F62504C">
            <w:pPr>
              <w:widowControl/>
              <w:kinsoku w:val="0"/>
              <w:snapToGrid w:val="0"/>
              <w:spacing w:before="146" w:line="560" w:lineRule="exact"/>
              <w:ind w:left="144"/>
              <w:jc w:val="center"/>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实施团队配 置</w:t>
            </w:r>
          </w:p>
          <w:p w14:paraId="0D0363F4">
            <w:pPr>
              <w:widowControl/>
              <w:kinsoku w:val="0"/>
              <w:snapToGrid w:val="0"/>
              <w:spacing w:before="146" w:line="560" w:lineRule="exact"/>
              <w:ind w:left="144" w:leftChars="0"/>
              <w:jc w:val="center"/>
              <w:textAlignment w:val="baseline"/>
              <w:rPr>
                <w:rFonts w:hint="eastAsia" w:ascii="仿宋" w:hAnsi="仿宋" w:eastAsia="仿宋" w:cs="仿宋"/>
                <w:color w:val="auto"/>
                <w:sz w:val="28"/>
                <w:szCs w:val="28"/>
                <w:highlight w:val="none"/>
                <w:lang w:val="en-US" w:eastAsia="zh-CN" w:bidi="ar-SA"/>
              </w:rPr>
            </w:pPr>
          </w:p>
        </w:tc>
        <w:tc>
          <w:tcPr>
            <w:tcW w:w="1019" w:type="dxa"/>
            <w:noWrap w:val="0"/>
            <w:vAlign w:val="center"/>
          </w:tcPr>
          <w:p w14:paraId="2808FBD4">
            <w:pPr>
              <w:widowControl/>
              <w:kinsoku w:val="0"/>
              <w:snapToGrid w:val="0"/>
              <w:spacing w:before="146" w:line="560" w:lineRule="exact"/>
              <w:ind w:left="144" w:leftChars="0"/>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14分</w:t>
            </w:r>
          </w:p>
        </w:tc>
        <w:tc>
          <w:tcPr>
            <w:tcW w:w="7052" w:type="dxa"/>
            <w:noWrap w:val="0"/>
            <w:vAlign w:val="center"/>
          </w:tcPr>
          <w:p w14:paraId="39F4E994">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为本项目配置与本项目履约直接相关的项目实施团队，团队岗位须包含：项目经理、硬件集成工程师、软件算法工程师、现场调试工程师，合计不少于 4 人，上述 4 类岗位全部配齐得 8 分；在此基础上，每增加 1 名露天矿装备或 无</w:t>
            </w:r>
            <w:bookmarkStart w:id="164" w:name="_GoBack"/>
            <w:bookmarkEnd w:id="164"/>
            <w:r>
              <w:rPr>
                <w:rFonts w:hint="eastAsia" w:ascii="仿宋" w:hAnsi="仿宋" w:eastAsia="仿宋" w:cs="仿宋"/>
                <w:color w:val="auto"/>
                <w:sz w:val="28"/>
                <w:szCs w:val="28"/>
                <w:highlight w:val="none"/>
                <w:lang w:val="en-US" w:eastAsia="zh-CN" w:bidi="ar-SA"/>
              </w:rPr>
              <w:t>人化系统相关专业技术人员加 3 分，最多加 6 分，本项合计最高 14 分。</w:t>
            </w:r>
          </w:p>
          <w:p w14:paraId="511170DB">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zh-CN" w:eastAsia="zh-CN" w:bidi="ar-SA"/>
              </w:rPr>
            </w:pPr>
            <w:r>
              <w:rPr>
                <w:rFonts w:hint="eastAsia" w:ascii="仿宋" w:hAnsi="仿宋" w:eastAsia="仿宋" w:cs="仿宋"/>
                <w:color w:val="auto"/>
                <w:sz w:val="28"/>
                <w:szCs w:val="28"/>
                <w:highlight w:val="none"/>
                <w:lang w:val="en-US" w:eastAsia="zh-CN" w:bidi="ar-SA"/>
              </w:rPr>
              <w:t>注：1. 所有人员均须为本项目专属投入，提供人员名单、对应岗位说明、相关专业或能力证书复印件</w:t>
            </w:r>
            <w:r>
              <w:rPr>
                <w:rFonts w:hint="eastAsia" w:ascii="仿宋" w:hAnsi="仿宋" w:eastAsia="仿宋" w:cs="仿宋"/>
                <w:color w:val="auto"/>
                <w:sz w:val="28"/>
                <w:szCs w:val="28"/>
                <w:highlight w:val="none"/>
                <w:lang w:val="en-US" w:eastAsia="zh-CN" w:bidi="ar-SA"/>
              </w:rPr>
              <w:t>，以及近三个月内任意一个月社保缴纳证明；2. 增加人员须为露天矿装备、无人挖掘设备、智能控制系统相关技术岗位人员，非相关专业人员不计加分；</w:t>
            </w:r>
          </w:p>
        </w:tc>
      </w:tr>
      <w:tr w14:paraId="42CA3C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50" w:type="dxa"/>
            <w:noWrap w:val="0"/>
            <w:vAlign w:val="center"/>
          </w:tcPr>
          <w:p w14:paraId="32A7CCEE">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实施方案</w:t>
            </w:r>
          </w:p>
        </w:tc>
        <w:tc>
          <w:tcPr>
            <w:tcW w:w="1019" w:type="dxa"/>
            <w:noWrap w:val="0"/>
            <w:vAlign w:val="center"/>
          </w:tcPr>
          <w:p w14:paraId="45C68D56">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16分</w:t>
            </w:r>
          </w:p>
        </w:tc>
        <w:tc>
          <w:tcPr>
            <w:tcW w:w="7052" w:type="dxa"/>
            <w:noWrap w:val="0"/>
            <w:vAlign w:val="top"/>
          </w:tcPr>
          <w:p w14:paraId="1613A169">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投标人提供适用本项目实施方案，包括但不限于：1.供货计划；2.运输方案；3.安装调试方案；4.验收标准及方案等</w:t>
            </w:r>
            <w:r>
              <w:rPr>
                <w:rFonts w:hint="eastAsia" w:ascii="仿宋" w:hAnsi="仿宋" w:eastAsia="仿宋" w:cs="仿宋"/>
                <w:color w:val="auto"/>
                <w:sz w:val="28"/>
                <w:szCs w:val="28"/>
                <w:highlight w:val="none"/>
                <w:lang w:val="en-US" w:eastAsia="zh-CN" w:bidi="ar-SA"/>
              </w:rPr>
              <w:t>；</w:t>
            </w:r>
          </w:p>
          <w:p w14:paraId="097EA00F">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评标委员会根据方案自行判定打分；以上内容每一小项最高得</w:t>
            </w:r>
            <w:r>
              <w:rPr>
                <w:rFonts w:hint="eastAsia" w:ascii="仿宋" w:hAnsi="仿宋" w:eastAsia="仿宋" w:cs="仿宋"/>
                <w:color w:val="auto"/>
                <w:sz w:val="28"/>
                <w:szCs w:val="28"/>
                <w:highlight w:val="none"/>
                <w:lang w:val="en-US" w:eastAsia="zh-CN" w:bidi="ar-SA"/>
              </w:rPr>
              <w:t>4</w:t>
            </w:r>
            <w:r>
              <w:rPr>
                <w:rFonts w:hint="default" w:ascii="仿宋" w:hAnsi="仿宋" w:eastAsia="仿宋" w:cs="仿宋"/>
                <w:color w:val="auto"/>
                <w:sz w:val="28"/>
                <w:szCs w:val="28"/>
                <w:highlight w:val="none"/>
                <w:lang w:val="en-US" w:eastAsia="zh-CN" w:bidi="ar-SA"/>
              </w:rPr>
              <w:t>分，本项满分</w:t>
            </w:r>
            <w:r>
              <w:rPr>
                <w:rFonts w:hint="eastAsia" w:ascii="仿宋" w:hAnsi="仿宋" w:eastAsia="仿宋" w:cs="仿宋"/>
                <w:color w:val="auto"/>
                <w:sz w:val="28"/>
                <w:szCs w:val="28"/>
                <w:highlight w:val="none"/>
                <w:lang w:val="en-US" w:eastAsia="zh-CN" w:bidi="ar-SA"/>
              </w:rPr>
              <w:t>16</w:t>
            </w:r>
            <w:r>
              <w:rPr>
                <w:rFonts w:hint="default" w:ascii="仿宋" w:hAnsi="仿宋" w:eastAsia="仿宋" w:cs="仿宋"/>
                <w:color w:val="auto"/>
                <w:sz w:val="28"/>
                <w:szCs w:val="28"/>
                <w:highlight w:val="none"/>
                <w:lang w:val="en-US" w:eastAsia="zh-CN" w:bidi="ar-SA"/>
              </w:rPr>
              <w:t>分，根据投标人提供的内容进行打分，不提供不得分。</w:t>
            </w:r>
          </w:p>
        </w:tc>
      </w:tr>
      <w:tr w14:paraId="43203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95" w:hRule="atLeast"/>
          <w:jc w:val="center"/>
        </w:trPr>
        <w:tc>
          <w:tcPr>
            <w:tcW w:w="1550" w:type="dxa"/>
            <w:noWrap w:val="0"/>
            <w:vAlign w:val="center"/>
          </w:tcPr>
          <w:p w14:paraId="2CC8B160">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售后服务方案</w:t>
            </w:r>
          </w:p>
        </w:tc>
        <w:tc>
          <w:tcPr>
            <w:tcW w:w="1019" w:type="dxa"/>
            <w:noWrap w:val="0"/>
            <w:vAlign w:val="center"/>
          </w:tcPr>
          <w:p w14:paraId="6A8B101F">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12分</w:t>
            </w:r>
          </w:p>
        </w:tc>
        <w:tc>
          <w:tcPr>
            <w:tcW w:w="7052" w:type="dxa"/>
            <w:noWrap w:val="0"/>
            <w:vAlign w:val="center"/>
          </w:tcPr>
          <w:p w14:paraId="72B7D842">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售后服务方案包括：</w:t>
            </w:r>
          </w:p>
          <w:p w14:paraId="64D178F1">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1.售后服务原则</w:t>
            </w:r>
          </w:p>
          <w:p w14:paraId="6C4AB0A8">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2.售后服务保障体系</w:t>
            </w:r>
          </w:p>
          <w:p w14:paraId="3E706190">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3.针对本项目设有专门售后服务人员</w:t>
            </w:r>
          </w:p>
          <w:p w14:paraId="6E49CF73">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评标委员会根据方案自行判定打分；以上内容每一小项最高得</w:t>
            </w:r>
            <w:r>
              <w:rPr>
                <w:rFonts w:hint="eastAsia" w:ascii="仿宋" w:hAnsi="仿宋" w:eastAsia="仿宋" w:cs="仿宋"/>
                <w:color w:val="auto"/>
                <w:sz w:val="28"/>
                <w:szCs w:val="28"/>
                <w:highlight w:val="none"/>
                <w:lang w:val="en-US" w:eastAsia="zh-CN" w:bidi="ar-SA"/>
              </w:rPr>
              <w:t>4</w:t>
            </w:r>
            <w:r>
              <w:rPr>
                <w:rFonts w:hint="default" w:ascii="仿宋" w:hAnsi="仿宋" w:eastAsia="仿宋" w:cs="仿宋"/>
                <w:color w:val="auto"/>
                <w:sz w:val="28"/>
                <w:szCs w:val="28"/>
                <w:highlight w:val="none"/>
                <w:lang w:val="en-US" w:eastAsia="zh-CN" w:bidi="ar-SA"/>
              </w:rPr>
              <w:t>分，本项满分</w:t>
            </w:r>
            <w:r>
              <w:rPr>
                <w:rFonts w:hint="eastAsia" w:ascii="仿宋" w:hAnsi="仿宋" w:eastAsia="仿宋" w:cs="仿宋"/>
                <w:color w:val="auto"/>
                <w:sz w:val="28"/>
                <w:szCs w:val="28"/>
                <w:highlight w:val="none"/>
                <w:lang w:val="en-US" w:eastAsia="zh-CN" w:bidi="ar-SA"/>
              </w:rPr>
              <w:t>12</w:t>
            </w:r>
            <w:r>
              <w:rPr>
                <w:rFonts w:hint="default" w:ascii="仿宋" w:hAnsi="仿宋" w:eastAsia="仿宋" w:cs="仿宋"/>
                <w:color w:val="auto"/>
                <w:sz w:val="28"/>
                <w:szCs w:val="28"/>
                <w:highlight w:val="none"/>
                <w:lang w:val="en-US" w:eastAsia="zh-CN" w:bidi="ar-SA"/>
              </w:rPr>
              <w:t>分，根据投标人提供的内容进行打分，不提供不得分。</w:t>
            </w:r>
          </w:p>
        </w:tc>
      </w:tr>
      <w:tr w14:paraId="767C6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40" w:hRule="atLeast"/>
          <w:jc w:val="center"/>
        </w:trPr>
        <w:tc>
          <w:tcPr>
            <w:tcW w:w="1550" w:type="dxa"/>
            <w:noWrap w:val="0"/>
            <w:vAlign w:val="center"/>
          </w:tcPr>
          <w:p w14:paraId="20E1AEC3">
            <w:pPr>
              <w:widowControl/>
              <w:kinsoku w:val="0"/>
              <w:snapToGrid w:val="0"/>
              <w:spacing w:before="146" w:line="560" w:lineRule="exact"/>
              <w:ind w:left="144"/>
              <w:jc w:val="center"/>
              <w:textAlignment w:val="baseline"/>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综合实力</w:t>
            </w:r>
          </w:p>
          <w:p w14:paraId="5276557B">
            <w:pPr>
              <w:widowControl/>
              <w:kinsoku w:val="0"/>
              <w:snapToGrid w:val="0"/>
              <w:spacing w:before="146" w:line="560" w:lineRule="exact"/>
              <w:ind w:left="144"/>
              <w:jc w:val="center"/>
              <w:textAlignment w:val="baseline"/>
              <w:rPr>
                <w:rFonts w:hint="eastAsia" w:ascii="仿宋" w:hAnsi="仿宋" w:eastAsia="仿宋" w:cs="仿宋"/>
                <w:color w:val="auto"/>
                <w:sz w:val="28"/>
                <w:szCs w:val="28"/>
                <w:highlight w:val="none"/>
                <w:lang w:val="en-US" w:eastAsia="zh-CN" w:bidi="ar-SA"/>
              </w:rPr>
            </w:pPr>
          </w:p>
        </w:tc>
        <w:tc>
          <w:tcPr>
            <w:tcW w:w="1019" w:type="dxa"/>
            <w:noWrap w:val="0"/>
            <w:vAlign w:val="center"/>
          </w:tcPr>
          <w:p w14:paraId="14727619">
            <w:pPr>
              <w:widowControl/>
              <w:kinsoku w:val="0"/>
              <w:snapToGrid w:val="0"/>
              <w:spacing w:before="146" w:line="560" w:lineRule="exact"/>
              <w:ind w:left="144"/>
              <w:textAlignment w:val="baseline"/>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16分</w:t>
            </w:r>
          </w:p>
        </w:tc>
        <w:tc>
          <w:tcPr>
            <w:tcW w:w="7052" w:type="dxa"/>
            <w:noWrap w:val="0"/>
            <w:vAlign w:val="center"/>
          </w:tcPr>
          <w:p w14:paraId="5756CAED">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zh-CN" w:eastAsia="zh-CN" w:bidi="ar-SA"/>
              </w:rPr>
            </w:pPr>
            <w:r>
              <w:rPr>
                <w:rFonts w:hint="eastAsia" w:ascii="仿宋" w:hAnsi="仿宋" w:eastAsia="仿宋" w:cs="仿宋"/>
                <w:color w:val="auto"/>
                <w:sz w:val="28"/>
                <w:szCs w:val="28"/>
                <w:highlight w:val="none"/>
                <w:lang w:val="zh-CN" w:eastAsia="zh-CN" w:bidi="ar-SA"/>
              </w:rPr>
              <w:t>根据供应商针对本项目的①关键技术②加工工艺③项目实施的重点、难点④解决方案进行综合评审</w:t>
            </w:r>
          </w:p>
          <w:p w14:paraId="787C5C88">
            <w:pPr>
              <w:widowControl/>
              <w:kinsoku w:val="0"/>
              <w:snapToGrid w:val="0"/>
              <w:spacing w:before="146" w:line="560" w:lineRule="exact"/>
              <w:ind w:left="144"/>
              <w:textAlignment w:val="baseline"/>
              <w:rPr>
                <w:rFonts w:hint="eastAsia" w:ascii="仿宋" w:hAnsi="仿宋" w:eastAsia="仿宋" w:cs="仿宋"/>
                <w:color w:val="auto"/>
                <w:sz w:val="28"/>
                <w:szCs w:val="28"/>
                <w:highlight w:val="none"/>
                <w:lang w:val="zh-CN" w:eastAsia="zh-CN" w:bidi="ar-SA"/>
              </w:rPr>
            </w:pPr>
            <w:r>
              <w:rPr>
                <w:rFonts w:hint="default" w:ascii="仿宋" w:hAnsi="仿宋" w:eastAsia="仿宋" w:cs="仿宋"/>
                <w:color w:val="auto"/>
                <w:sz w:val="28"/>
                <w:szCs w:val="28"/>
                <w:highlight w:val="none"/>
                <w:lang w:val="en-US" w:eastAsia="zh-CN" w:bidi="ar-SA"/>
              </w:rPr>
              <w:t>评标委员会根据方案自行判定打分；以上内容每一小项最高得</w:t>
            </w:r>
            <w:r>
              <w:rPr>
                <w:rFonts w:hint="eastAsia" w:ascii="仿宋" w:hAnsi="仿宋" w:eastAsia="仿宋" w:cs="仿宋"/>
                <w:color w:val="auto"/>
                <w:sz w:val="28"/>
                <w:szCs w:val="28"/>
                <w:highlight w:val="none"/>
                <w:lang w:val="en-US" w:eastAsia="zh-CN" w:bidi="ar-SA"/>
              </w:rPr>
              <w:t>4</w:t>
            </w:r>
            <w:r>
              <w:rPr>
                <w:rFonts w:hint="default" w:ascii="仿宋" w:hAnsi="仿宋" w:eastAsia="仿宋" w:cs="仿宋"/>
                <w:color w:val="auto"/>
                <w:sz w:val="28"/>
                <w:szCs w:val="28"/>
                <w:highlight w:val="none"/>
                <w:lang w:val="en-US" w:eastAsia="zh-CN" w:bidi="ar-SA"/>
              </w:rPr>
              <w:t>分，本项满分</w:t>
            </w:r>
            <w:r>
              <w:rPr>
                <w:rFonts w:hint="eastAsia" w:ascii="仿宋" w:hAnsi="仿宋" w:eastAsia="仿宋" w:cs="仿宋"/>
                <w:color w:val="auto"/>
                <w:sz w:val="28"/>
                <w:szCs w:val="28"/>
                <w:highlight w:val="none"/>
                <w:lang w:val="en-US" w:eastAsia="zh-CN" w:bidi="ar-SA"/>
              </w:rPr>
              <w:t>16</w:t>
            </w:r>
            <w:r>
              <w:rPr>
                <w:rFonts w:hint="default" w:ascii="仿宋" w:hAnsi="仿宋" w:eastAsia="仿宋" w:cs="仿宋"/>
                <w:color w:val="auto"/>
                <w:sz w:val="28"/>
                <w:szCs w:val="28"/>
                <w:highlight w:val="none"/>
                <w:lang w:val="en-US" w:eastAsia="zh-CN" w:bidi="ar-SA"/>
              </w:rPr>
              <w:t>分，根据投标人提供的内容进行打分，不提供不得分。</w:t>
            </w:r>
          </w:p>
        </w:tc>
      </w:tr>
    </w:tbl>
    <w:p w14:paraId="1851D704">
      <w:pPr>
        <w:outlineLvl w:val="9"/>
        <w:rPr>
          <w:rFonts w:hint="eastAsia" w:ascii="仿宋" w:hAnsi="仿宋" w:eastAsia="仿宋" w:cs="仿宋"/>
          <w:b/>
          <w:bCs/>
          <w:color w:val="auto"/>
          <w:sz w:val="28"/>
          <w:szCs w:val="28"/>
          <w:highlight w:val="none"/>
        </w:rPr>
      </w:pPr>
    </w:p>
    <w:p w14:paraId="53D08866">
      <w:pPr>
        <w:outlineLvl w:val="1"/>
        <w:rPr>
          <w:rFonts w:hint="eastAsia" w:ascii="仿宋" w:hAnsi="仿宋" w:eastAsia="仿宋" w:cs="仿宋"/>
          <w:b/>
          <w:bCs/>
          <w:color w:val="auto"/>
          <w:sz w:val="28"/>
          <w:szCs w:val="28"/>
          <w:highlight w:val="none"/>
        </w:rPr>
      </w:pPr>
      <w:bookmarkStart w:id="100" w:name="_Toc15001"/>
      <w:r>
        <w:rPr>
          <w:rFonts w:hint="eastAsia" w:ascii="仿宋" w:hAnsi="仿宋" w:eastAsia="仿宋" w:cs="仿宋"/>
          <w:b/>
          <w:bCs/>
          <w:color w:val="auto"/>
          <w:sz w:val="28"/>
          <w:szCs w:val="28"/>
          <w:highlight w:val="none"/>
        </w:rPr>
        <w:t>评标办法正文部分</w:t>
      </w:r>
      <w:bookmarkEnd w:id="96"/>
      <w:bookmarkEnd w:id="97"/>
      <w:bookmarkEnd w:id="99"/>
      <w:bookmarkEnd w:id="100"/>
    </w:p>
    <w:p w14:paraId="020DA4AC">
      <w:pPr>
        <w:pStyle w:val="28"/>
        <w:ind w:firstLine="434"/>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评标采用综合评分法。评标委员会对满足招标文件全部实质性要求的投标文件，按照本章节规定的评分标准进行打分，并按评审后得分由高到低顺序排列，但投标报价低于其成本的除外。得分相同的，按投标报价由低到高顺序排列；投标报价也相同的，以技术得分高的优先；如果技术得分也相等，按照评标办法前附表的规定确定中标候选人顺序。</w:t>
      </w:r>
    </w:p>
    <w:p w14:paraId="60731860">
      <w:pPr>
        <w:pStyle w:val="4"/>
        <w:numPr>
          <w:ilvl w:val="0"/>
          <w:numId w:val="0"/>
        </w:numPr>
        <w:ind w:left="0" w:leftChars="0" w:firstLine="0" w:firstLineChars="0"/>
        <w:outlineLvl w:val="1"/>
        <w:rPr>
          <w:rFonts w:hint="eastAsia" w:ascii="仿宋" w:hAnsi="仿宋" w:eastAsia="仿宋" w:cs="仿宋"/>
          <w:color w:val="auto"/>
          <w:sz w:val="28"/>
          <w:szCs w:val="28"/>
          <w:highlight w:val="none"/>
        </w:rPr>
      </w:pPr>
      <w:bookmarkStart w:id="101" w:name="_Toc7740"/>
      <w:r>
        <w:rPr>
          <w:rFonts w:hint="eastAsia" w:ascii="仿宋" w:hAnsi="仿宋" w:eastAsia="仿宋" w:cs="仿宋"/>
          <w:color w:val="auto"/>
          <w:sz w:val="28"/>
          <w:szCs w:val="28"/>
          <w:highlight w:val="none"/>
        </w:rPr>
        <w:t>1、投标文件的初审</w:t>
      </w:r>
      <w:bookmarkEnd w:id="101"/>
    </w:p>
    <w:p w14:paraId="3A7AF611">
      <w:pP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1.1投标文件初审分为资格审查和符合性审查。</w:t>
      </w:r>
    </w:p>
    <w:p w14:paraId="1A3EB6D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 资格审查：依据法律法规和招标文件的规定，由</w:t>
      </w:r>
      <w:r>
        <w:rPr>
          <w:rFonts w:hint="eastAsia" w:ascii="仿宋" w:hAnsi="仿宋" w:eastAsia="仿宋" w:cs="仿宋"/>
          <w:color w:val="auto"/>
          <w:sz w:val="28"/>
          <w:szCs w:val="28"/>
          <w:highlight w:val="none"/>
          <w:lang w:val="en-US" w:eastAsia="zh-CN"/>
        </w:rPr>
        <w:t>采购人或代理机构</w:t>
      </w:r>
      <w:r>
        <w:rPr>
          <w:rFonts w:hint="eastAsia" w:ascii="仿宋" w:hAnsi="仿宋" w:eastAsia="仿宋" w:cs="仿宋"/>
          <w:color w:val="auto"/>
          <w:sz w:val="28"/>
          <w:szCs w:val="28"/>
          <w:highlight w:val="none"/>
        </w:rPr>
        <w:t>对投标文件中的资格证明文件进行审查。</w:t>
      </w:r>
    </w:p>
    <w:p w14:paraId="72F8B5E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1.1.2 符合性审查：依据招标文件的规定，由评标委员会从投标文件的有效性、完整性和对招标文件的响应程度进行审查，以确定是否对招标文件的实质性要求作出响应。</w:t>
      </w:r>
    </w:p>
    <w:p w14:paraId="4A669B42">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（1）实质上响应的投标是指与招标文件上的条款、条件和规格相符，没有重大偏离或保留，否则将视为无效投标。</w:t>
      </w:r>
    </w:p>
    <w:p w14:paraId="5D5F0C11">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重大偏离或保留系指投标货物的质量、数量和交付日期等明显不能满足招标文件的要求，或者实质上与招标文件不一致，纠正这些偏离或保留将对其他实质上响应要求的投标人的竞争地位产生不公正的影响。包括但不限于：</w:t>
      </w:r>
    </w:p>
    <w:p w14:paraId="225EC0E5">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A、未按要求交纳投标保证金的；</w:t>
      </w:r>
    </w:p>
    <w:p w14:paraId="281AC711">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B、未按招标文件规定要求密封、签署、盖章的；</w:t>
      </w:r>
    </w:p>
    <w:p w14:paraId="2653A1A8">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C、未按投标文件份数要求提交投标文件的；</w:t>
      </w:r>
    </w:p>
    <w:p w14:paraId="716D72A2">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D、投标人的报价超过了采购预算或最高限价的；</w:t>
      </w:r>
    </w:p>
    <w:p w14:paraId="0ED3B16F">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E、投标有效期不足的；</w:t>
      </w:r>
    </w:p>
    <w:p w14:paraId="6A4A971C">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F、不符合招标文件中规定的实质性要求和条件的；</w:t>
      </w:r>
    </w:p>
    <w:p w14:paraId="4A93F852">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G、联合体投标文件未附联合体投标协议书的（如有）；</w:t>
      </w:r>
    </w:p>
    <w:p w14:paraId="29AA31E4">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H、有串通投标或弄虚作假或有其他违法行为的；</w:t>
      </w:r>
    </w:p>
    <w:p w14:paraId="0148B1FA">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I、投标人名称或组织结构与报名时不一致且无有效变更证明的；</w:t>
      </w:r>
    </w:p>
    <w:p w14:paraId="5CE0757F">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J、投标文件含有采购人不能接受的附加条件的；</w:t>
      </w:r>
    </w:p>
    <w:p w14:paraId="2A087363">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K、法律、法规及本招标文件规定的其他无效投标的情形。</w:t>
      </w:r>
    </w:p>
    <w:p w14:paraId="213F71A3">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投标文件的细微偏差是指在实质上响应招标文件要求，但在个别地方存在漏项或者提供了不完整的技术信息和数据等情况，并且补正这些遗漏或者不完整，不会对其他投标人造成不公正的结果。细微偏差不影响投标文件的有效性。</w:t>
      </w:r>
    </w:p>
    <w:p w14:paraId="19F7376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1.1.3 如果投标文件实质上没有响应招标文件的要求，评委会将予以拒绝，投标人不得通过修改或撤销不合要求的偏离或保留而使其投标成为实质性响应的投标。未通过资格审查或符合性审查的投标人，采购人或采购代理机构将在评标现场向其授权代表告知未通过资格审查或符合性审查的原因，评审结束后，采购人或采购代理机构将不再告知未通过资格审查或符合性审查的原因。</w:t>
      </w:r>
    </w:p>
    <w:p w14:paraId="3C16602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1.1.4评委会将对确定为实质性响应的投标进行进一步审核，看其是否有计算上或累加上的算术错误，修正错误的原则如下：</w:t>
      </w:r>
    </w:p>
    <w:p w14:paraId="4173DFA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（1）投标文件中开标一览表内容与投标文件中相应内容不一致的，以开标一览表为准。</w:t>
      </w:r>
    </w:p>
    <w:p w14:paraId="1557226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（2）大写金额和小写金额不一致的，以大写金额为准。</w:t>
      </w:r>
    </w:p>
    <w:p w14:paraId="4AD0312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（3）单价金额小数点或者百分比有明显错位的，以开标一览表的总价为准，并修改单价。</w:t>
      </w:r>
    </w:p>
    <w:p w14:paraId="2FFB37B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（4）总价金额与按单价汇总金额不一致的，以单价金额计算结果为准。</w:t>
      </w:r>
    </w:p>
    <w:p w14:paraId="5394E29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同时出现两种以上错误的，按照前款规定的顺序修正。</w:t>
      </w:r>
    </w:p>
    <w:p w14:paraId="11C65BE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1.1.5评委会将按上述修正错误的方法调整投标文件中的投标报价，调整后的价格应对投标人具有约束力。如果投标人不接受修正后的价格，则其投标将被拒绝，其投标保证金不予退还。</w:t>
      </w:r>
    </w:p>
    <w:p w14:paraId="01C18A7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1.1.6在价格评审中，若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8E991E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1.1.7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招标文件未规定的采取随机抽取的方式）确定一个中标候选人，其他同品牌投标人不作为中标候选人。</w:t>
      </w:r>
    </w:p>
    <w:p w14:paraId="338F3E3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非单一产品采购项目，招标文件中将载明其中的核心产品。多家投标人提供的核心产品品牌相同的，按前两款规定处理。</w:t>
      </w:r>
    </w:p>
    <w:p w14:paraId="1953632F">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1.1.8评标委员会对投标文件的判定，只依据投标文件内容本身，不依据其他外来证明。</w:t>
      </w:r>
    </w:p>
    <w:p w14:paraId="2F10BE51">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1.1.9废标条款：</w:t>
      </w:r>
    </w:p>
    <w:p w14:paraId="306204C4">
      <w:pPr>
        <w:pStyle w:val="28"/>
        <w:numPr>
          <w:ilvl w:val="0"/>
          <w:numId w:val="0"/>
        </w:num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（1）</w:t>
      </w:r>
      <w:r>
        <w:rPr>
          <w:rFonts w:hint="eastAsia" w:ascii="仿宋" w:hAnsi="仿宋" w:eastAsia="仿宋" w:cs="仿宋"/>
          <w:color w:val="auto"/>
          <w:sz w:val="28"/>
          <w:szCs w:val="28"/>
          <w:highlight w:val="none"/>
        </w:rPr>
        <w:t>符合专业条件的供应商或者对招标文件作实质响应的供应商不足三家的。</w:t>
      </w:r>
    </w:p>
    <w:p w14:paraId="3B5D96CA">
      <w:pPr>
        <w:pStyle w:val="28"/>
        <w:numPr>
          <w:ilvl w:val="0"/>
          <w:numId w:val="0"/>
        </w:num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（2）</w:t>
      </w:r>
      <w:r>
        <w:rPr>
          <w:rFonts w:hint="eastAsia" w:ascii="仿宋" w:hAnsi="仿宋" w:eastAsia="仿宋" w:cs="仿宋"/>
          <w:color w:val="auto"/>
          <w:sz w:val="28"/>
          <w:szCs w:val="28"/>
          <w:highlight w:val="none"/>
        </w:rPr>
        <w:t>出现影响采购公正的违法、违规行为的。</w:t>
      </w:r>
    </w:p>
    <w:p w14:paraId="106E9715">
      <w:pPr>
        <w:pStyle w:val="28"/>
        <w:numPr>
          <w:ilvl w:val="0"/>
          <w:numId w:val="0"/>
        </w:numPr>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（3）因重大变故，采购任务取消的。</w:t>
      </w:r>
    </w:p>
    <w:p w14:paraId="7DA6AFFB">
      <w:pPr>
        <w:pStyle w:val="28"/>
        <w:numPr>
          <w:ilvl w:val="0"/>
          <w:numId w:val="0"/>
        </w:numPr>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（4）评标委员会认定招标文件存在歧义、重大缺陷导致评审工作无法进行。</w:t>
      </w:r>
    </w:p>
    <w:p w14:paraId="7EBA2897">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1.1.10 投标截止时间结束后参加投标的供应商不足三家的处理：如出现投标截止时间结束后参加投标的供应商或者在评标期间对招标文件做出实质响应的供应商不足三家情况，按政府采购相关规定执行。</w:t>
      </w:r>
    </w:p>
    <w:p w14:paraId="46B42529">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1.1.11有下列情形之一的，视为投标人串通投标，其投标无效：</w:t>
      </w:r>
    </w:p>
    <w:p w14:paraId="08027CED">
      <w:pPr>
        <w:pStyle w:val="28"/>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（1）不同投标人的投标文件由同一单位或者个人编制；</w:t>
      </w:r>
    </w:p>
    <w:p w14:paraId="627F3A35">
      <w:pPr>
        <w:pStyle w:val="28"/>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（2）不同投标人委托同一单位或者个人办理投标事宜；</w:t>
      </w:r>
    </w:p>
    <w:p w14:paraId="45E8E03D">
      <w:pPr>
        <w:pStyle w:val="28"/>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（3）不同投标人的投标文件载明的项目管理成员或者联系人员为同一人；</w:t>
      </w:r>
    </w:p>
    <w:p w14:paraId="11EF6DF6">
      <w:pPr>
        <w:pStyle w:val="28"/>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（4）不同投标人的投标文件异常一致或者投标报价呈规律性差异；</w:t>
      </w:r>
    </w:p>
    <w:p w14:paraId="295A3C21">
      <w:pPr>
        <w:pStyle w:val="28"/>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（5）不同投标人的投标文件相互混装；</w:t>
      </w:r>
    </w:p>
    <w:p w14:paraId="05C17597">
      <w:pPr>
        <w:pStyle w:val="28"/>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（6）不同投标人的投标保证金从同一单位或者个人的账户转出。</w:t>
      </w:r>
    </w:p>
    <w:p w14:paraId="69C8CCCA">
      <w:pPr>
        <w:pStyle w:val="4"/>
        <w:numPr>
          <w:ilvl w:val="0"/>
          <w:numId w:val="0"/>
        </w:numPr>
        <w:ind w:left="0" w:leftChars="0" w:firstLine="0" w:firstLineChars="0"/>
        <w:outlineLvl w:val="1"/>
        <w:rPr>
          <w:rFonts w:hint="eastAsia" w:ascii="仿宋" w:hAnsi="仿宋" w:eastAsia="仿宋" w:cs="仿宋"/>
          <w:color w:val="auto"/>
          <w:sz w:val="28"/>
          <w:szCs w:val="28"/>
          <w:highlight w:val="none"/>
        </w:rPr>
      </w:pPr>
      <w:bookmarkStart w:id="102" w:name="_Toc17778"/>
      <w:r>
        <w:rPr>
          <w:rFonts w:hint="eastAsia" w:ascii="仿宋" w:hAnsi="仿宋" w:eastAsia="仿宋" w:cs="仿宋"/>
          <w:color w:val="auto"/>
          <w:sz w:val="28"/>
          <w:szCs w:val="28"/>
          <w:highlight w:val="none"/>
        </w:rPr>
        <w:t>2、投标的澄清</w:t>
      </w:r>
      <w:bookmarkEnd w:id="102"/>
    </w:p>
    <w:p w14:paraId="57653E4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评标委员会有权要求投标人对投标文件中含义不明确、同类问题表述不一致或者有明显文字和计算错误等内容作必要的澄清、说明或者补正。该要求应当采用书面形式，并由评标委员会成员签字。评标委员会不接受投标人主动提出的澄清、说明或者补正。</w:t>
      </w:r>
    </w:p>
    <w:p w14:paraId="6213A61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投标人必须按照评标委员会通知的内容和时间做出书面答复，该答复经法定代表人或授权代理人的签字认可，将作为投标文件内容的一部分。澄清、说明或者补正不得超出投标文件的范围或者改变投标文件的实质性内容。投标人拒不按照要求对投标文件进行澄清、说明或者补正的，评标委员会可拒绝该投标。</w:t>
      </w:r>
    </w:p>
    <w:p w14:paraId="26D7172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49FC407">
      <w:pPr>
        <w:pStyle w:val="4"/>
        <w:numPr>
          <w:ilvl w:val="0"/>
          <w:numId w:val="0"/>
        </w:numPr>
        <w:ind w:left="0" w:leftChars="0" w:firstLine="0" w:firstLineChars="0"/>
        <w:outlineLvl w:val="1"/>
        <w:rPr>
          <w:rFonts w:hint="eastAsia" w:ascii="仿宋" w:hAnsi="仿宋" w:eastAsia="仿宋" w:cs="仿宋"/>
          <w:color w:val="auto"/>
          <w:sz w:val="28"/>
          <w:szCs w:val="28"/>
          <w:highlight w:val="none"/>
        </w:rPr>
      </w:pPr>
      <w:bookmarkStart w:id="103" w:name="_Toc22238"/>
      <w:r>
        <w:rPr>
          <w:rFonts w:hint="eastAsia" w:ascii="仿宋" w:hAnsi="仿宋" w:eastAsia="仿宋" w:cs="仿宋"/>
          <w:color w:val="auto"/>
          <w:sz w:val="28"/>
          <w:szCs w:val="28"/>
          <w:highlight w:val="none"/>
        </w:rPr>
        <w:t>3、详细评审</w:t>
      </w:r>
      <w:bookmarkEnd w:id="103"/>
    </w:p>
    <w:p w14:paraId="2030155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3.1评标委员会只对实质上响应招标文件的投标进行商务和技术评估，综合比较与评价；评审应严格按照招标文件规定的评标方法和标准进行。具体要求等详见评标办法前附表。</w:t>
      </w:r>
    </w:p>
    <w:p w14:paraId="6FB05BF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评标委员会依法独立评审，严格遵守评审工作纪律。对需要共同认定的事项存在争议的，按照少数服从多数的原则作出评审结论。持不同意见的评标委员会成员应当在评标报告上签署不同意见并说明理由，不签署不同意见的视为同意。</w:t>
      </w:r>
    </w:p>
    <w:p w14:paraId="5BC3E725">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 给予小型和微型企业价格扣除。</w:t>
      </w:r>
    </w:p>
    <w:p w14:paraId="05875215">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3.3.1 给予小型和微型企业 (包括相互之间组成的联合体) 产品的价格 10%的扣除；计算方法是：</w:t>
      </w:r>
    </w:p>
    <w:p w14:paraId="3364A8BA">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最终价格＝投标报价×90%，按照最终价格计算其价格分得分。</w:t>
      </w:r>
    </w:p>
    <w:p w14:paraId="37A9AAC8">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开标时，供应商须提供《中小企业声明函》原件并对声明函的真实性负责，否则不给予价格扣除。</w:t>
      </w:r>
    </w:p>
    <w:p w14:paraId="030991E0">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3.3.2 大中型企业和其他自然人、法人或者其他组织与小型、微型企业组成联合体 投标，联合协议中约定，小型、微型企业的协议合同金额占到联合体协议合同金额30% 以上的，可给予联合体</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%的价格扣除。计算方法是：</w:t>
      </w:r>
    </w:p>
    <w:p w14:paraId="212E0256">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最终价格＝ 投标报价×9</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%，按照最终价格计算其价格分得分。</w:t>
      </w:r>
    </w:p>
    <w:p w14:paraId="7D1C6D6A">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开标时，供应商须提供《中小企业声明函》原件并对声明函的真实性负责和联合体 协议原件，否则不给予价格扣除。</w:t>
      </w:r>
    </w:p>
    <w:p w14:paraId="469E79FD">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在政府采购活动中，供应商提供的货物、工程 或者服务符合下列情形的，享受本办法规定的中小企业扶持政策：</w:t>
      </w:r>
    </w:p>
    <w:p w14:paraId="48BAA9C3">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 在货物采购项目中，货物由中小企业制造，即货物由中小企业生产且使用该中小企业商号或者注册商标；</w:t>
      </w:r>
    </w:p>
    <w:p w14:paraId="3C0F894A">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 在工程采购项目中，工程由中小企业承建，即工程施工单位为中小企业；</w:t>
      </w:r>
    </w:p>
    <w:p w14:paraId="3B12A17E">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 在服务采购项目中，服务由中小企业承接，即提供服务的人员为中小企业依 照《中华人民共和国劳动合同法》订立劳动合同的从业人员。</w:t>
      </w:r>
    </w:p>
    <w:p w14:paraId="54CA2ECC">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在货物采购项目中，供应商提供的货物既有中小企业制造货物，也有大型企业制造货物的，不享受本办法规定的中小企业扶持政策。</w:t>
      </w:r>
    </w:p>
    <w:p w14:paraId="6B7221A5">
      <w:pPr>
        <w:pStyle w:val="28"/>
        <w:ind w:firstLine="43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以联合体形式参加政府采购活动，联合体各方均为中小企业的，联合体视同中小 企业。其中，联合体各方均为小微企业的，联合体视同小微企业。</w:t>
      </w:r>
    </w:p>
    <w:p w14:paraId="1481B978">
      <w:pPr>
        <w:pStyle w:val="4"/>
        <w:numPr>
          <w:ilvl w:val="0"/>
          <w:numId w:val="0"/>
        </w:numPr>
        <w:ind w:left="0" w:leftChars="0" w:firstLine="0" w:firstLineChars="0"/>
        <w:outlineLvl w:val="1"/>
        <w:rPr>
          <w:rFonts w:hint="eastAsia" w:ascii="仿宋" w:hAnsi="仿宋" w:eastAsia="仿宋" w:cs="仿宋"/>
          <w:color w:val="auto"/>
          <w:sz w:val="28"/>
          <w:szCs w:val="28"/>
          <w:highlight w:val="none"/>
        </w:rPr>
      </w:pPr>
      <w:bookmarkStart w:id="104" w:name="_Toc21793"/>
      <w:r>
        <w:rPr>
          <w:rFonts w:hint="eastAsia" w:ascii="仿宋" w:hAnsi="仿宋" w:eastAsia="仿宋" w:cs="仿宋"/>
          <w:color w:val="auto"/>
          <w:sz w:val="28"/>
          <w:szCs w:val="28"/>
          <w:highlight w:val="none"/>
        </w:rPr>
        <w:t>4、确定中标人</w:t>
      </w:r>
      <w:bookmarkEnd w:id="104"/>
    </w:p>
    <w:p w14:paraId="4FB4F44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4.1评委会根据本招标文件规定评分办法与评分标准向采购人推荐出中标候选人。</w:t>
      </w:r>
    </w:p>
    <w:p w14:paraId="6C0B3C4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 采购人应根据评委会推荐的中标候选人确定中标人。</w:t>
      </w:r>
    </w:p>
    <w:p w14:paraId="0614416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  若有充分证据证明，中标人出现下列情况之一的，一经查实，将被取消中标资格：</w:t>
      </w:r>
    </w:p>
    <w:p w14:paraId="521D6BD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4.3.1提供虚假材料谋取中标的。</w:t>
      </w:r>
    </w:p>
    <w:p w14:paraId="4DBE56F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4.3.2向采购人及采购代理机构行贿或者提供其他不正当利益的。</w:t>
      </w:r>
    </w:p>
    <w:p w14:paraId="1A1B2F5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4.3.3恶意竞争，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FF45F9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4.3.4属于本文件规定的无效条件，但在评标过程中又未被评委会发现的。</w:t>
      </w:r>
    </w:p>
    <w:p w14:paraId="7D032FA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4.3.5与采购人或者其他供应商恶意串通的。</w:t>
      </w:r>
    </w:p>
    <w:p w14:paraId="7E478AF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4.3.6采取不正当手段诋毁、排挤其他供应商的。</w:t>
      </w:r>
    </w:p>
    <w:p w14:paraId="19ABA850">
      <w:pPr>
        <w:rPr>
          <w:rFonts w:hint="eastAsia" w:ascii="仿宋" w:hAnsi="仿宋" w:eastAsia="仿宋" w:cs="仿宋"/>
          <w:color w:val="auto"/>
          <w:sz w:val="22"/>
          <w:szCs w:val="22"/>
          <w:highlight w:val="none"/>
        </w:rPr>
        <w:sectPr>
          <w:footerReference r:id="rId9" w:type="first"/>
          <w:headerReference r:id="rId7" w:type="default"/>
          <w:footerReference r:id="rId8" w:type="default"/>
          <w:pgSz w:w="11849" w:h="16781"/>
          <w:pgMar w:top="1134" w:right="1134" w:bottom="1417" w:left="1701" w:header="851" w:footer="850" w:gutter="0"/>
          <w:pgNumType w:fmt="decimal" w:start="1"/>
          <w:cols w:space="720" w:num="1"/>
          <w:titlePg/>
          <w:docGrid w:type="linesAndChars" w:linePitch="318" w:charSpace="269"/>
        </w:sectPr>
      </w:pPr>
    </w:p>
    <w:p w14:paraId="6964B28B">
      <w:pPr>
        <w:pStyle w:val="12"/>
        <w:numPr>
          <w:ilvl w:val="0"/>
          <w:numId w:val="0"/>
        </w:numPr>
        <w:ind w:left="0" w:leftChars="0" w:firstLine="0" w:firstLineChars="0"/>
        <w:jc w:val="center"/>
        <w:outlineLvl w:val="0"/>
        <w:rPr>
          <w:rFonts w:hint="eastAsia" w:ascii="仿宋" w:hAnsi="仿宋" w:eastAsia="仿宋" w:cs="仿宋"/>
          <w:b/>
          <w:bCs/>
          <w:color w:val="auto"/>
          <w:sz w:val="36"/>
          <w:szCs w:val="36"/>
          <w:highlight w:val="none"/>
        </w:rPr>
      </w:pPr>
      <w:bookmarkStart w:id="105" w:name="_Toc519111275"/>
      <w:bookmarkStart w:id="106" w:name="_Toc19291"/>
      <w:bookmarkStart w:id="107" w:name="_Toc11192"/>
      <w:r>
        <w:rPr>
          <w:rFonts w:hint="eastAsia" w:ascii="仿宋" w:hAnsi="仿宋" w:eastAsia="仿宋" w:cs="仿宋"/>
          <w:b/>
          <w:bCs/>
          <w:color w:val="auto"/>
          <w:sz w:val="36"/>
          <w:szCs w:val="36"/>
          <w:highlight w:val="none"/>
          <w:lang w:val="en-US" w:eastAsia="zh-CN" w:bidi="ar-SA"/>
        </w:rPr>
        <w:t>第五部分</w:t>
      </w:r>
      <w:r>
        <w:rPr>
          <w:rFonts w:hint="eastAsia" w:ascii="仿宋" w:hAnsi="仿宋" w:eastAsia="仿宋" w:cs="仿宋"/>
          <w:b/>
          <w:bCs/>
          <w:color w:val="auto"/>
          <w:sz w:val="28"/>
          <w:szCs w:val="28"/>
          <w:highlight w:val="none"/>
        </w:rPr>
        <w:t xml:space="preserve"> </w:t>
      </w:r>
      <w:bookmarkEnd w:id="105"/>
      <w:bookmarkEnd w:id="106"/>
      <w:bookmarkStart w:id="108" w:name="_Toc635"/>
      <w:bookmarkStart w:id="109" w:name="_Toc18029"/>
      <w:bookmarkStart w:id="110" w:name="_Toc519111276"/>
      <w:r>
        <w:rPr>
          <w:rFonts w:hint="eastAsia" w:ascii="仿宋" w:hAnsi="仿宋" w:eastAsia="仿宋" w:cs="仿宋"/>
          <w:b/>
          <w:bCs/>
          <w:color w:val="auto"/>
          <w:sz w:val="36"/>
          <w:szCs w:val="36"/>
          <w:highlight w:val="none"/>
        </w:rPr>
        <w:t>签订合同、合同主要条款</w:t>
      </w:r>
      <w:bookmarkEnd w:id="107"/>
      <w:bookmarkEnd w:id="108"/>
      <w:bookmarkEnd w:id="109"/>
    </w:p>
    <w:p w14:paraId="2419524B">
      <w:pPr>
        <w:keepNext/>
        <w:keepLines/>
        <w:pageBreakBefore w:val="0"/>
        <w:widowControl w:val="0"/>
        <w:numPr>
          <w:ilvl w:val="0"/>
          <w:numId w:val="4"/>
        </w:numPr>
        <w:kinsoku/>
        <w:wordWrap/>
        <w:overflowPunct/>
        <w:topLinePunct w:val="0"/>
        <w:autoSpaceDE/>
        <w:autoSpaceDN/>
        <w:bidi w:val="0"/>
        <w:adjustRightInd/>
        <w:snapToGrid/>
        <w:spacing w:before="100" w:after="90" w:line="360" w:lineRule="auto"/>
        <w:ind w:left="420" w:leftChars="0" w:hanging="420" w:firstLineChars="0"/>
        <w:jc w:val="center"/>
        <w:textAlignment w:val="auto"/>
        <w:outlineLvl w:val="0"/>
        <w:rPr>
          <w:rFonts w:hint="eastAsia" w:ascii="宋体" w:hAnsi="宋体" w:eastAsia="宋体" w:cs="宋体"/>
          <w:b/>
          <w:bCs/>
          <w:color w:val="auto"/>
          <w:kern w:val="44"/>
          <w:sz w:val="36"/>
          <w:szCs w:val="36"/>
          <w:highlight w:val="none"/>
          <w:lang w:val="zh-CN" w:eastAsia="zh-CN" w:bidi="ar-SA"/>
        </w:rPr>
      </w:pPr>
      <w:bookmarkStart w:id="111" w:name="_Toc16131"/>
      <w:bookmarkStart w:id="112" w:name="_Toc14610"/>
      <w:bookmarkStart w:id="113" w:name="_Toc19146"/>
      <w:r>
        <w:rPr>
          <w:rFonts w:hint="eastAsia" w:ascii="宋体" w:hAnsi="宋体" w:eastAsia="宋体" w:cs="宋体"/>
          <w:b/>
          <w:bCs/>
          <w:color w:val="auto"/>
          <w:kern w:val="44"/>
          <w:sz w:val="36"/>
          <w:szCs w:val="36"/>
          <w:highlight w:val="none"/>
          <w:lang w:val="zh-CN" w:eastAsia="zh-CN" w:bidi="ar-SA"/>
        </w:rPr>
        <w:t>合同草案</w:t>
      </w:r>
      <w:bookmarkEnd w:id="111"/>
      <w:bookmarkEnd w:id="112"/>
    </w:p>
    <w:p w14:paraId="06D0B693">
      <w:pPr>
        <w:numPr>
          <w:ilvl w:val="0"/>
          <w:numId w:val="0"/>
        </w:numPr>
        <w:autoSpaceDE/>
        <w:autoSpaceDN/>
        <w:adjustRightInd/>
        <w:spacing w:line="360" w:lineRule="auto"/>
        <w:rPr>
          <w:rFonts w:hint="eastAsia" w:ascii="宋体" w:hAnsi="宋体" w:eastAsia="宋体" w:cs="Times New Roman"/>
          <w:color w:val="auto"/>
          <w:kern w:val="2"/>
          <w:szCs w:val="22"/>
          <w:lang w:val="zh-CN" w:eastAsia="zh-CN"/>
        </w:rPr>
      </w:pPr>
    </w:p>
    <w:p w14:paraId="0F73DEB3">
      <w:pPr>
        <w:wordWrap w:val="0"/>
        <w:autoSpaceDE/>
        <w:autoSpaceDN/>
        <w:adjustRightInd/>
        <w:spacing w:line="360" w:lineRule="auto"/>
        <w:jc w:val="center"/>
        <w:rPr>
          <w:rFonts w:hint="eastAsia" w:ascii="宋体" w:hAnsi="宋体" w:eastAsia="宋体" w:cs="Times New Roman"/>
          <w:bCs/>
          <w:color w:val="auto"/>
          <w:kern w:val="2"/>
          <w:sz w:val="24"/>
          <w:szCs w:val="24"/>
          <w:highlight w:val="none"/>
          <w:lang w:eastAsia="zh-CN"/>
        </w:rPr>
      </w:pPr>
      <w:r>
        <w:rPr>
          <w:rFonts w:hint="eastAsia" w:ascii="宋体" w:hAnsi="宋体" w:eastAsia="宋体" w:cs="Times New Roman"/>
          <w:color w:val="auto"/>
          <w:kern w:val="2"/>
          <w:sz w:val="24"/>
          <w:szCs w:val="24"/>
          <w:highlight w:val="none"/>
          <w:lang w:eastAsia="zh-CN"/>
        </w:rPr>
        <w:t>【</w:t>
      </w:r>
      <w:r>
        <w:rPr>
          <w:rFonts w:hint="eastAsia" w:ascii="宋体" w:hAnsi="宋体" w:eastAsia="宋体" w:cs="Times New Roman"/>
          <w:color w:val="auto"/>
          <w:kern w:val="2"/>
          <w:sz w:val="24"/>
          <w:szCs w:val="24"/>
          <w:highlight w:val="none"/>
        </w:rPr>
        <w:t>此合同书仅作为签订正式合同时的参考，正式合同书应包括本参考格式的内容</w:t>
      </w:r>
      <w:r>
        <w:rPr>
          <w:rFonts w:hint="eastAsia" w:ascii="宋体" w:hAnsi="宋体" w:eastAsia="宋体" w:cs="Times New Roman"/>
          <w:color w:val="auto"/>
          <w:kern w:val="2"/>
          <w:sz w:val="24"/>
          <w:szCs w:val="24"/>
          <w:highlight w:val="none"/>
          <w:lang w:eastAsia="zh-CN"/>
        </w:rPr>
        <w:t>】</w:t>
      </w:r>
    </w:p>
    <w:p w14:paraId="51E629DD">
      <w:pPr>
        <w:wordWrap w:val="0"/>
        <w:autoSpaceDE/>
        <w:autoSpaceDN/>
        <w:adjustRightInd/>
        <w:spacing w:line="360" w:lineRule="auto"/>
        <w:rPr>
          <w:rFonts w:ascii="宋体" w:hAnsi="宋体" w:eastAsia="宋体" w:cs="Times New Roman"/>
          <w:bCs/>
          <w:color w:val="auto"/>
          <w:kern w:val="2"/>
          <w:sz w:val="28"/>
          <w:szCs w:val="28"/>
          <w:highlight w:val="none"/>
        </w:rPr>
      </w:pPr>
      <w:r>
        <w:rPr>
          <w:rFonts w:hint="eastAsia" w:ascii="宋体" w:hAnsi="宋体" w:eastAsia="宋体" w:cs="Helvetica"/>
          <w:bCs/>
          <w:color w:val="auto"/>
          <w:kern w:val="2"/>
          <w:sz w:val="24"/>
          <w:szCs w:val="24"/>
          <w:highlight w:val="none"/>
          <w:lang w:val="zh-CN"/>
        </w:rPr>
        <w:t>合同编号：</w:t>
      </w:r>
      <w:r>
        <w:rPr>
          <w:rFonts w:hint="eastAsia" w:ascii="宋体" w:hAnsi="宋体" w:eastAsia="宋体" w:cs="Helvetica"/>
          <w:bCs/>
          <w:color w:val="auto"/>
          <w:kern w:val="2"/>
          <w:sz w:val="24"/>
          <w:szCs w:val="24"/>
          <w:highlight w:val="none"/>
          <w:u w:val="single"/>
        </w:rPr>
        <w:t xml:space="preserve">              </w:t>
      </w:r>
    </w:p>
    <w:p w14:paraId="453FD5DE">
      <w:pPr>
        <w:widowControl w:val="0"/>
        <w:spacing w:after="0" w:line="240" w:lineRule="auto"/>
        <w:jc w:val="center"/>
        <w:rPr>
          <w:rFonts w:ascii="宋体" w:hAnsi="宋体" w:eastAsia="宋体" w:cs="宋体"/>
          <w:b/>
          <w:bCs/>
          <w:color w:val="auto"/>
          <w:spacing w:val="-20"/>
          <w:kern w:val="44"/>
          <w:sz w:val="48"/>
          <w:szCs w:val="48"/>
          <w:highlight w:val="none"/>
          <w:lang w:val="en-US" w:eastAsia="zh-CN" w:bidi="ar-SA"/>
        </w:rPr>
      </w:pPr>
      <w:bookmarkStart w:id="114" w:name="_Toc3995"/>
    </w:p>
    <w:p w14:paraId="4DD54709">
      <w:pPr>
        <w:widowControl w:val="0"/>
        <w:spacing w:after="0" w:line="240" w:lineRule="auto"/>
        <w:jc w:val="center"/>
        <w:rPr>
          <w:rFonts w:ascii="宋体" w:hAnsi="宋体" w:eastAsia="宋体" w:cs="宋体"/>
          <w:b/>
          <w:bCs/>
          <w:color w:val="auto"/>
          <w:spacing w:val="-20"/>
          <w:kern w:val="44"/>
          <w:sz w:val="48"/>
          <w:szCs w:val="48"/>
          <w:highlight w:val="none"/>
          <w:lang w:val="en-US" w:eastAsia="zh-CN" w:bidi="ar-SA"/>
        </w:rPr>
      </w:pPr>
    </w:p>
    <w:p w14:paraId="1471AFF4">
      <w:pPr>
        <w:widowControl w:val="0"/>
        <w:spacing w:after="0" w:line="240" w:lineRule="auto"/>
        <w:jc w:val="center"/>
        <w:rPr>
          <w:rFonts w:ascii="宋体" w:hAnsi="宋体" w:eastAsia="宋体" w:cs="宋体"/>
          <w:b/>
          <w:bCs/>
          <w:color w:val="auto"/>
          <w:spacing w:val="-20"/>
          <w:kern w:val="44"/>
          <w:sz w:val="48"/>
          <w:szCs w:val="48"/>
          <w:highlight w:val="none"/>
          <w:lang w:val="en-US" w:eastAsia="zh-CN" w:bidi="ar-SA"/>
        </w:rPr>
      </w:pPr>
    </w:p>
    <w:p w14:paraId="71BEC943">
      <w:pPr>
        <w:widowControl w:val="0"/>
        <w:spacing w:after="0" w:line="240" w:lineRule="auto"/>
        <w:jc w:val="center"/>
        <w:rPr>
          <w:rFonts w:hint="eastAsia" w:ascii="宋体" w:hAnsi="宋体" w:eastAsia="宋体" w:cs="宋体"/>
          <w:b/>
          <w:bCs/>
          <w:color w:val="auto"/>
          <w:spacing w:val="-20"/>
          <w:kern w:val="44"/>
          <w:sz w:val="44"/>
          <w:szCs w:val="44"/>
          <w:highlight w:val="none"/>
          <w:lang w:val="en-US" w:eastAsia="zh-CN" w:bidi="ar-SA"/>
        </w:rPr>
      </w:pPr>
      <w:r>
        <w:rPr>
          <w:rFonts w:hint="eastAsia" w:ascii="宋体" w:hAnsi="宋体" w:eastAsia="宋体" w:cs="宋体"/>
          <w:b/>
          <w:bCs/>
          <w:color w:val="auto"/>
          <w:spacing w:val="-20"/>
          <w:kern w:val="44"/>
          <w:sz w:val="44"/>
          <w:szCs w:val="44"/>
          <w:highlight w:val="none"/>
          <w:lang w:val="en-US" w:eastAsia="zh-CN" w:bidi="ar-SA"/>
        </w:rPr>
        <w:t>政府采购货物买卖合同</w:t>
      </w:r>
    </w:p>
    <w:p w14:paraId="2D8DEEA6">
      <w:pPr>
        <w:widowControl w:val="0"/>
        <w:spacing w:after="0" w:line="240" w:lineRule="auto"/>
        <w:jc w:val="center"/>
        <w:rPr>
          <w:rFonts w:hint="eastAsia" w:ascii="宋体" w:hAnsi="宋体" w:eastAsia="宋体" w:cs="宋体"/>
          <w:b/>
          <w:bCs/>
          <w:color w:val="auto"/>
          <w:spacing w:val="-20"/>
          <w:kern w:val="44"/>
          <w:sz w:val="44"/>
          <w:szCs w:val="44"/>
          <w:highlight w:val="none"/>
          <w:lang w:val="en-US" w:eastAsia="zh-CN" w:bidi="ar-SA"/>
        </w:rPr>
      </w:pPr>
      <w:r>
        <w:rPr>
          <w:rFonts w:hint="eastAsia" w:ascii="宋体" w:hAnsi="宋体" w:eastAsia="宋体" w:cs="宋体"/>
          <w:b/>
          <w:bCs/>
          <w:color w:val="auto"/>
          <w:spacing w:val="-20"/>
          <w:kern w:val="44"/>
          <w:sz w:val="44"/>
          <w:szCs w:val="44"/>
          <w:highlight w:val="none"/>
          <w:lang w:val="en-US" w:eastAsia="zh-CN" w:bidi="ar-SA"/>
        </w:rPr>
        <w:t>（试行）</w:t>
      </w:r>
    </w:p>
    <w:p w14:paraId="6894012D">
      <w:pPr>
        <w:autoSpaceDE/>
        <w:autoSpaceDN/>
        <w:adjustRightInd/>
        <w:spacing w:line="360" w:lineRule="auto"/>
        <w:rPr>
          <w:rFonts w:ascii="宋体" w:hAnsi="宋体" w:eastAsia="宋体" w:cs="宋体"/>
          <w:b/>
          <w:bCs/>
          <w:color w:val="auto"/>
          <w:spacing w:val="-20"/>
          <w:kern w:val="44"/>
          <w:sz w:val="40"/>
          <w:szCs w:val="40"/>
          <w:highlight w:val="none"/>
        </w:rPr>
      </w:pPr>
    </w:p>
    <w:p w14:paraId="1F202B9E">
      <w:pPr>
        <w:autoSpaceDE/>
        <w:autoSpaceDN/>
        <w:adjustRightInd/>
        <w:spacing w:line="360" w:lineRule="auto"/>
        <w:rPr>
          <w:rFonts w:ascii="宋体" w:hAnsi="宋体" w:eastAsia="宋体" w:cs="宋体"/>
          <w:b/>
          <w:bCs/>
          <w:color w:val="auto"/>
          <w:spacing w:val="-20"/>
          <w:kern w:val="44"/>
          <w:sz w:val="40"/>
          <w:szCs w:val="40"/>
          <w:highlight w:val="none"/>
        </w:rPr>
      </w:pPr>
    </w:p>
    <w:p w14:paraId="081AFCCE">
      <w:pPr>
        <w:autoSpaceDE/>
        <w:autoSpaceDN/>
        <w:adjustRightInd/>
        <w:spacing w:line="360" w:lineRule="auto"/>
        <w:rPr>
          <w:rFonts w:ascii="宋体" w:hAnsi="宋体" w:eastAsia="宋体" w:cs="宋体"/>
          <w:b/>
          <w:bCs/>
          <w:color w:val="auto"/>
          <w:spacing w:val="-20"/>
          <w:kern w:val="44"/>
          <w:sz w:val="40"/>
          <w:szCs w:val="40"/>
          <w:highlight w:val="none"/>
        </w:rPr>
      </w:pPr>
    </w:p>
    <w:p w14:paraId="5348CA01">
      <w:pPr>
        <w:autoSpaceDE/>
        <w:autoSpaceDN/>
        <w:adjustRightInd/>
        <w:spacing w:line="360" w:lineRule="auto"/>
        <w:rPr>
          <w:rFonts w:ascii="宋体" w:hAnsi="宋体" w:eastAsia="宋体" w:cs="宋体"/>
          <w:b/>
          <w:bCs/>
          <w:color w:val="auto"/>
          <w:spacing w:val="-20"/>
          <w:kern w:val="44"/>
          <w:sz w:val="40"/>
          <w:szCs w:val="40"/>
          <w:highlight w:val="none"/>
        </w:rPr>
      </w:pPr>
    </w:p>
    <w:p w14:paraId="098EC355">
      <w:pPr>
        <w:autoSpaceDE/>
        <w:autoSpaceDN/>
        <w:adjustRightInd/>
        <w:spacing w:line="360" w:lineRule="auto"/>
        <w:ind w:left="480" w:leftChars="200"/>
        <w:rPr>
          <w:rFonts w:ascii="宋体" w:hAnsi="宋体" w:eastAsia="宋体" w:cs="Times New Roman"/>
          <w:color w:val="auto"/>
          <w:kern w:val="2"/>
          <w:sz w:val="36"/>
          <w:szCs w:val="36"/>
          <w:highlight w:val="none"/>
        </w:rPr>
      </w:pPr>
      <w:r>
        <w:rPr>
          <w:rFonts w:hint="eastAsia" w:ascii="宋体" w:hAnsi="宋体" w:eastAsia="宋体" w:cs="宋体"/>
          <w:color w:val="auto"/>
          <w:kern w:val="0"/>
          <w:sz w:val="36"/>
          <w:szCs w:val="36"/>
          <w:highlight w:val="none"/>
        </w:rPr>
        <w:t>项目名称：</w:t>
      </w:r>
      <w:r>
        <w:rPr>
          <w:rFonts w:hint="eastAsia" w:ascii="宋体" w:hAnsi="宋体" w:eastAsia="宋体" w:cs="Times New Roman"/>
          <w:color w:val="auto"/>
          <w:kern w:val="2"/>
          <w:sz w:val="36"/>
          <w:szCs w:val="36"/>
          <w:highlight w:val="none"/>
          <w:u w:val="single"/>
        </w:rPr>
        <w:t xml:space="preserve">                             </w:t>
      </w:r>
    </w:p>
    <w:p w14:paraId="23CADBAB">
      <w:pPr>
        <w:autoSpaceDE/>
        <w:autoSpaceDN/>
        <w:adjustRightInd/>
        <w:spacing w:line="360" w:lineRule="auto"/>
        <w:ind w:left="480" w:leftChars="200"/>
        <w:rPr>
          <w:rFonts w:ascii="宋体" w:hAnsi="宋体" w:eastAsia="宋体" w:cs="Times New Roman"/>
          <w:color w:val="auto"/>
          <w:kern w:val="2"/>
          <w:sz w:val="36"/>
          <w:szCs w:val="36"/>
          <w:highlight w:val="none"/>
          <w:u w:val="single"/>
        </w:rPr>
      </w:pPr>
      <w:r>
        <w:rPr>
          <w:rFonts w:hint="eastAsia" w:ascii="宋体" w:hAnsi="宋体" w:eastAsia="宋体" w:cs="Times New Roman"/>
          <w:color w:val="auto"/>
          <w:kern w:val="2"/>
          <w:sz w:val="36"/>
          <w:szCs w:val="36"/>
          <w:highlight w:val="none"/>
        </w:rPr>
        <w:t>合同编号：</w:t>
      </w:r>
      <w:r>
        <w:rPr>
          <w:rFonts w:hint="eastAsia" w:ascii="宋体" w:hAnsi="宋体" w:eastAsia="宋体" w:cs="Times New Roman"/>
          <w:color w:val="auto"/>
          <w:kern w:val="2"/>
          <w:sz w:val="36"/>
          <w:szCs w:val="36"/>
          <w:highlight w:val="none"/>
          <w:u w:val="single"/>
        </w:rPr>
        <w:t xml:space="preserve">                             </w:t>
      </w:r>
    </w:p>
    <w:p w14:paraId="75ED7ACB">
      <w:pPr>
        <w:autoSpaceDE/>
        <w:autoSpaceDN/>
        <w:adjustRightInd/>
        <w:spacing w:line="360" w:lineRule="auto"/>
        <w:ind w:left="480" w:leftChars="200"/>
        <w:rPr>
          <w:rFonts w:ascii="宋体" w:hAnsi="宋体" w:eastAsia="宋体" w:cs="Times New Roman"/>
          <w:color w:val="auto"/>
          <w:kern w:val="2"/>
          <w:sz w:val="36"/>
          <w:szCs w:val="36"/>
          <w:highlight w:val="none"/>
        </w:rPr>
      </w:pPr>
      <w:r>
        <w:rPr>
          <w:rFonts w:hint="eastAsia" w:ascii="宋体" w:hAnsi="宋体" w:eastAsia="宋体" w:cs="Times New Roman"/>
          <w:color w:val="auto"/>
          <w:kern w:val="2"/>
          <w:sz w:val="36"/>
          <w:szCs w:val="36"/>
          <w:highlight w:val="none"/>
        </w:rPr>
        <w:t>甲    方：</w:t>
      </w:r>
      <w:r>
        <w:rPr>
          <w:rFonts w:hint="eastAsia" w:ascii="宋体" w:hAnsi="宋体" w:eastAsia="宋体" w:cs="Times New Roman"/>
          <w:color w:val="auto"/>
          <w:kern w:val="2"/>
          <w:sz w:val="36"/>
          <w:szCs w:val="36"/>
          <w:highlight w:val="none"/>
          <w:u w:val="single"/>
        </w:rPr>
        <w:t xml:space="preserve">                             </w:t>
      </w:r>
    </w:p>
    <w:p w14:paraId="773FB2EF">
      <w:pPr>
        <w:autoSpaceDE/>
        <w:autoSpaceDN/>
        <w:adjustRightInd/>
        <w:spacing w:line="360" w:lineRule="auto"/>
        <w:ind w:left="480" w:leftChars="200"/>
        <w:rPr>
          <w:rFonts w:ascii="宋体" w:hAnsi="宋体" w:eastAsia="宋体" w:cs="Times New Roman"/>
          <w:color w:val="auto"/>
          <w:kern w:val="2"/>
          <w:sz w:val="36"/>
          <w:szCs w:val="36"/>
          <w:highlight w:val="none"/>
          <w:u w:val="single"/>
        </w:rPr>
      </w:pPr>
      <w:r>
        <w:rPr>
          <w:rFonts w:hint="eastAsia" w:ascii="宋体" w:hAnsi="宋体" w:eastAsia="宋体" w:cs="Times New Roman"/>
          <w:color w:val="auto"/>
          <w:kern w:val="2"/>
          <w:sz w:val="36"/>
          <w:szCs w:val="36"/>
          <w:highlight w:val="none"/>
        </w:rPr>
        <w:t>乙    方：</w:t>
      </w:r>
      <w:r>
        <w:rPr>
          <w:rFonts w:hint="eastAsia" w:ascii="宋体" w:hAnsi="宋体" w:eastAsia="宋体" w:cs="Times New Roman"/>
          <w:color w:val="auto"/>
          <w:kern w:val="2"/>
          <w:sz w:val="36"/>
          <w:szCs w:val="36"/>
          <w:highlight w:val="none"/>
          <w:u w:val="single"/>
        </w:rPr>
        <w:t xml:space="preserve">                             </w:t>
      </w:r>
    </w:p>
    <w:p w14:paraId="2CBA5AAC">
      <w:pPr>
        <w:autoSpaceDE/>
        <w:autoSpaceDN/>
        <w:adjustRightInd/>
        <w:spacing w:line="360" w:lineRule="auto"/>
        <w:ind w:left="480" w:leftChars="200"/>
        <w:rPr>
          <w:rFonts w:ascii="宋体" w:hAnsi="宋体" w:eastAsia="宋体" w:cs="Times New Roman"/>
          <w:color w:val="auto"/>
          <w:kern w:val="2"/>
          <w:sz w:val="36"/>
          <w:szCs w:val="36"/>
          <w:highlight w:val="none"/>
        </w:rPr>
      </w:pPr>
      <w:r>
        <w:rPr>
          <w:rFonts w:hint="eastAsia" w:ascii="宋体" w:hAnsi="宋体" w:eastAsia="宋体" w:cs="Times New Roman"/>
          <w:color w:val="auto"/>
          <w:kern w:val="2"/>
          <w:sz w:val="36"/>
          <w:szCs w:val="36"/>
          <w:highlight w:val="none"/>
        </w:rPr>
        <w:t>签订时间：</w:t>
      </w:r>
      <w:r>
        <w:rPr>
          <w:rFonts w:hint="eastAsia" w:ascii="宋体" w:hAnsi="宋体" w:eastAsia="宋体" w:cs="Times New Roman"/>
          <w:color w:val="auto"/>
          <w:kern w:val="2"/>
          <w:sz w:val="36"/>
          <w:szCs w:val="36"/>
          <w:highlight w:val="none"/>
          <w:u w:val="single"/>
        </w:rPr>
        <w:t xml:space="preserve">      </w:t>
      </w:r>
      <w:r>
        <w:rPr>
          <w:rFonts w:ascii="宋体" w:hAnsi="宋体" w:eastAsia="宋体" w:cs="Times New Roman"/>
          <w:color w:val="auto"/>
          <w:kern w:val="2"/>
          <w:sz w:val="36"/>
          <w:szCs w:val="36"/>
          <w:highlight w:val="none"/>
          <w:u w:val="single"/>
        </w:rPr>
        <w:t xml:space="preserve">           </w:t>
      </w:r>
      <w:r>
        <w:rPr>
          <w:rFonts w:hint="eastAsia" w:ascii="宋体" w:hAnsi="宋体" w:eastAsia="宋体" w:cs="Times New Roman"/>
          <w:color w:val="auto"/>
          <w:kern w:val="2"/>
          <w:sz w:val="36"/>
          <w:szCs w:val="36"/>
          <w:highlight w:val="none"/>
          <w:u w:val="single"/>
        </w:rPr>
        <w:t xml:space="preserve">            </w:t>
      </w:r>
    </w:p>
    <w:p w14:paraId="32D9847D">
      <w:pPr>
        <w:autoSpaceDE/>
        <w:autoSpaceDN/>
        <w:adjustRightInd/>
        <w:spacing w:line="360" w:lineRule="auto"/>
        <w:rPr>
          <w:rFonts w:ascii="宋体" w:hAnsi="宋体" w:eastAsia="宋体" w:cs="Times New Roman"/>
          <w:color w:val="auto"/>
          <w:kern w:val="2"/>
          <w:szCs w:val="22"/>
          <w:highlight w:val="none"/>
        </w:rPr>
      </w:pPr>
    </w:p>
    <w:p w14:paraId="6DC7E545">
      <w:pPr>
        <w:autoSpaceDE/>
        <w:autoSpaceDN/>
        <w:adjustRightInd/>
        <w:spacing w:line="360" w:lineRule="auto"/>
        <w:rPr>
          <w:rFonts w:ascii="宋体" w:hAnsi="宋体" w:eastAsia="黑体" w:cs="Times New Roman"/>
          <w:color w:val="auto"/>
          <w:kern w:val="2"/>
          <w:sz w:val="44"/>
          <w:szCs w:val="44"/>
          <w:highlight w:val="none"/>
        </w:rPr>
      </w:pPr>
      <w:r>
        <w:rPr>
          <w:rFonts w:ascii="宋体" w:hAnsi="宋体" w:eastAsia="黑体" w:cs="Times New Roman"/>
          <w:color w:val="auto"/>
          <w:kern w:val="2"/>
          <w:sz w:val="44"/>
          <w:szCs w:val="44"/>
          <w:highlight w:val="none"/>
        </w:rPr>
        <w:br w:type="page"/>
      </w:r>
    </w:p>
    <w:p w14:paraId="248E6903">
      <w:pPr>
        <w:autoSpaceDE/>
        <w:autoSpaceDN/>
        <w:adjustRightInd/>
        <w:spacing w:line="360" w:lineRule="auto"/>
        <w:rPr>
          <w:rFonts w:ascii="宋体" w:hAnsi="宋体" w:eastAsia="黑体" w:cs="Times New Roman"/>
          <w:color w:val="auto"/>
          <w:kern w:val="2"/>
          <w:sz w:val="44"/>
          <w:szCs w:val="44"/>
          <w:highlight w:val="none"/>
        </w:rPr>
      </w:pPr>
    </w:p>
    <w:bookmarkEnd w:id="114"/>
    <w:p w14:paraId="3276BAC0">
      <w:pPr>
        <w:keepNext/>
        <w:keepLines/>
        <w:widowControl w:val="0"/>
        <w:adjustRightInd w:val="0"/>
        <w:snapToGrid w:val="0"/>
        <w:spacing w:before="260" w:beforeLines="0" w:after="260" w:line="400" w:lineRule="exact"/>
        <w:jc w:val="center"/>
        <w:outlineLvl w:val="1"/>
        <w:rPr>
          <w:rFonts w:hint="eastAsia" w:ascii="宋体" w:hAnsi="宋体" w:eastAsia="宋体" w:cs="宋体"/>
          <w:b/>
          <w:bCs/>
          <w:color w:val="auto"/>
          <w:kern w:val="2"/>
          <w:sz w:val="36"/>
          <w:szCs w:val="36"/>
          <w:highlight w:val="none"/>
          <w:lang w:val="en-US" w:eastAsia="zh-CN" w:bidi="ar-SA"/>
        </w:rPr>
      </w:pPr>
      <w:bookmarkStart w:id="115" w:name="_Toc22209"/>
      <w:bookmarkStart w:id="116" w:name="_Toc24638"/>
      <w:bookmarkStart w:id="117" w:name="_Toc11459"/>
      <w:r>
        <w:rPr>
          <w:rFonts w:hint="eastAsia" w:ascii="宋体" w:hAnsi="宋体" w:eastAsia="宋体" w:cs="宋体"/>
          <w:b/>
          <w:bCs/>
          <w:color w:val="auto"/>
          <w:kern w:val="2"/>
          <w:sz w:val="36"/>
          <w:szCs w:val="36"/>
          <w:highlight w:val="none"/>
          <w:lang w:val="en-US" w:eastAsia="zh-CN" w:bidi="ar-SA"/>
        </w:rPr>
        <w:t>第一节 政府采购合同协议书</w:t>
      </w:r>
      <w:bookmarkEnd w:id="115"/>
      <w:bookmarkEnd w:id="116"/>
      <w:bookmarkEnd w:id="117"/>
    </w:p>
    <w:p w14:paraId="65911421">
      <w:pPr>
        <w:keepNext/>
        <w:keepLines/>
        <w:pageBreakBefore w:val="0"/>
        <w:widowControl w:val="0"/>
        <w:kinsoku/>
        <w:wordWrap/>
        <w:overflowPunct/>
        <w:topLinePunct w:val="0"/>
        <w:autoSpaceDE/>
        <w:autoSpaceDN/>
        <w:bidi w:val="0"/>
        <w:adjustRightInd w:val="0"/>
        <w:snapToGrid w:val="0"/>
        <w:spacing w:before="140" w:beforeLines="0" w:after="140" w:line="400" w:lineRule="exact"/>
        <w:jc w:val="center"/>
        <w:textAlignment w:val="auto"/>
        <w:outlineLvl w:val="1"/>
        <w:rPr>
          <w:rFonts w:hint="eastAsia" w:ascii="黑体" w:hAnsi="华文中宋" w:eastAsia="黑体" w:cs="Times New Roman"/>
          <w:b w:val="0"/>
          <w:bCs w:val="0"/>
          <w:color w:val="auto"/>
          <w:kern w:val="2"/>
          <w:sz w:val="28"/>
          <w:szCs w:val="28"/>
          <w:highlight w:val="none"/>
          <w:lang w:val="en-US" w:eastAsia="zh-CN" w:bidi="ar-SA"/>
        </w:rPr>
      </w:pPr>
    </w:p>
    <w:p w14:paraId="7749E471">
      <w:pPr>
        <w:autoSpaceDE/>
        <w:autoSpaceDN/>
        <w:adjustRightInd w:val="0"/>
        <w:snapToGrid w:val="0"/>
        <w:spacing w:before="0" w:beforeLines="0" w:line="400" w:lineRule="exact"/>
        <w:ind w:left="4800" w:hanging="4200" w:hangingChars="20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甲方（全称）：</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（采购人</w:t>
      </w:r>
      <w:r>
        <w:rPr>
          <w:rFonts w:hint="eastAsia" w:ascii="宋体" w:hAnsi="宋体" w:eastAsia="宋体" w:cs="宋体"/>
          <w:color w:val="auto"/>
          <w:kern w:val="2"/>
          <w:sz w:val="21"/>
          <w:szCs w:val="21"/>
          <w:highlight w:val="none"/>
          <w:lang w:eastAsia="zh-CN"/>
        </w:rPr>
        <w:t>、受采购人委托签订合同的单位</w:t>
      </w:r>
      <w:r>
        <w:rPr>
          <w:rFonts w:hint="eastAsia" w:ascii="宋体" w:hAnsi="宋体" w:eastAsia="宋体" w:cs="宋体"/>
          <w:color w:val="auto"/>
          <w:kern w:val="2"/>
          <w:sz w:val="21"/>
          <w:szCs w:val="21"/>
          <w:highlight w:val="none"/>
        </w:rPr>
        <w:t>或采购文件约定的合同甲方）</w:t>
      </w:r>
    </w:p>
    <w:p w14:paraId="5F8C6ADE">
      <w:pPr>
        <w:autoSpaceDE/>
        <w:autoSpaceDN/>
        <w:adjustRightInd w:val="0"/>
        <w:snapToGrid w:val="0"/>
        <w:spacing w:before="0" w:beforeLines="0" w:line="40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乙方</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rPr>
        <w:t>（全称）：</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（供应商）</w:t>
      </w:r>
    </w:p>
    <w:p w14:paraId="294172C4">
      <w:pPr>
        <w:autoSpaceDE/>
        <w:autoSpaceDN/>
        <w:adjustRightInd w:val="0"/>
        <w:snapToGrid w:val="0"/>
        <w:spacing w:before="0" w:beforeLines="0" w:line="400" w:lineRule="exact"/>
        <w:ind w:left="5040" w:hanging="4410" w:hangingChars="21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乙方2（全称）：</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（联合体成员供应商或其他合同主体）（如有）</w:t>
      </w:r>
    </w:p>
    <w:p w14:paraId="5F8DC28B">
      <w:pPr>
        <w:autoSpaceDE/>
        <w:autoSpaceDN/>
        <w:adjustRightInd w:val="0"/>
        <w:snapToGrid w:val="0"/>
        <w:spacing w:before="0" w:beforeLines="0" w:line="400" w:lineRule="exact"/>
        <w:ind w:left="5040" w:hanging="4410" w:hangingChars="21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lang w:val="en-US" w:eastAsia="zh-CN"/>
        </w:rPr>
        <w:t>3（全称）</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（联合体成员供应商或其他合同主体）（如有）</w:t>
      </w:r>
    </w:p>
    <w:p w14:paraId="7295A8B9">
      <w:pPr>
        <w:autoSpaceDE/>
        <w:autoSpaceDN/>
        <w:adjustRightInd/>
        <w:spacing w:beforeLines="0" w:line="400" w:lineRule="exact"/>
        <w:rPr>
          <w:rFonts w:hint="eastAsia" w:ascii="宋体" w:hAnsi="宋体" w:eastAsia="宋体" w:cs="宋体"/>
          <w:color w:val="auto"/>
          <w:kern w:val="2"/>
          <w:sz w:val="21"/>
          <w:szCs w:val="21"/>
          <w:highlight w:val="none"/>
          <w:lang w:val="en-US" w:eastAsia="zh-CN"/>
        </w:rPr>
      </w:pPr>
    </w:p>
    <w:p w14:paraId="73AFFB38">
      <w:pPr>
        <w:widowControl w:val="0"/>
        <w:adjustRightInd w:val="0"/>
        <w:snapToGrid w:val="0"/>
        <w:spacing w:before="0" w:beforeLines="0" w:after="0" w:line="400" w:lineRule="exact"/>
        <w:ind w:left="0"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依据《中华人民共和国民法典》、《中华人民共和国政府采购法》等有关的法律法规，以及</w:t>
      </w:r>
      <w:r>
        <w:rPr>
          <w:rFonts w:hint="eastAsia" w:ascii="宋体" w:hAnsi="宋体" w:eastAsia="宋体" w:cs="宋体"/>
          <w:i w:val="0"/>
          <w:iCs w:val="0"/>
          <w:color w:val="auto"/>
          <w:kern w:val="0"/>
          <w:sz w:val="21"/>
          <w:szCs w:val="21"/>
          <w:highlight w:val="none"/>
          <w:u w:val="none"/>
          <w:lang w:val="en-US" w:eastAsia="zh-CN" w:bidi="ar-SA"/>
        </w:rPr>
        <w:t>本采购项目</w:t>
      </w:r>
      <w:r>
        <w:rPr>
          <w:rFonts w:hint="eastAsia" w:ascii="宋体" w:hAnsi="宋体" w:eastAsia="宋体" w:cs="宋体"/>
          <w:color w:val="auto"/>
          <w:kern w:val="0"/>
          <w:sz w:val="21"/>
          <w:szCs w:val="21"/>
          <w:highlight w:val="none"/>
          <w:lang w:val="en-US" w:eastAsia="zh-CN" w:bidi="ar-SA"/>
        </w:rPr>
        <w:t xml:space="preserve">的招标/磋商文件等采购文件、乙方的《投标（响应）文件》及《中标（成交）通知书》，甲乙双方同意签订本合同。具体情况及要求如下：     </w:t>
      </w:r>
    </w:p>
    <w:p w14:paraId="2B03533E">
      <w:pPr>
        <w:numPr>
          <w:ilvl w:val="0"/>
          <w:numId w:val="5"/>
        </w:numPr>
        <w:autoSpaceDE/>
        <w:autoSpaceDN/>
        <w:adjustRightInd w:val="0"/>
        <w:snapToGrid w:val="0"/>
        <w:spacing w:before="0" w:beforeLines="0" w:line="400" w:lineRule="exact"/>
        <w:ind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项目信息</w:t>
      </w:r>
    </w:p>
    <w:p w14:paraId="60DDE6F7">
      <w:pPr>
        <w:widowControl w:val="0"/>
        <w:numPr>
          <w:ilvl w:val="0"/>
          <w:numId w:val="6"/>
        </w:numPr>
        <w:adjustRightInd w:val="0"/>
        <w:snapToGrid w:val="0"/>
        <w:spacing w:before="0" w:beforeLines="0" w:after="0" w:line="400" w:lineRule="exact"/>
        <w:ind w:left="0" w:leftChars="0" w:firstLine="420" w:firstLineChars="200"/>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采购项目名称：</w:t>
      </w:r>
      <w:r>
        <w:rPr>
          <w:rFonts w:hint="eastAsia" w:ascii="宋体" w:hAnsi="宋体" w:eastAsia="宋体" w:cs="宋体"/>
          <w:color w:val="auto"/>
          <w:kern w:val="0"/>
          <w:sz w:val="21"/>
          <w:szCs w:val="21"/>
          <w:highlight w:val="none"/>
          <w:u w:val="single"/>
          <w:lang w:val="en-US" w:eastAsia="zh-CN" w:bidi="ar-SA"/>
        </w:rPr>
        <w:t xml:space="preserve">                                          </w:t>
      </w:r>
    </w:p>
    <w:p w14:paraId="71185B53">
      <w:pPr>
        <w:widowControl w:val="0"/>
        <w:numPr>
          <w:ilvl w:val="-1"/>
          <w:numId w:val="0"/>
        </w:numPr>
        <w:tabs>
          <w:tab w:val="left" w:pos="999"/>
        </w:tabs>
        <w:adjustRightInd w:val="0"/>
        <w:snapToGrid w:val="0"/>
        <w:spacing w:before="0" w:beforeLines="0" w:after="0" w:line="400" w:lineRule="exact"/>
        <w:ind w:left="0" w:leftChars="0" w:firstLine="0" w:firstLineChars="0"/>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 xml:space="preserve">         采购项目编号/包号：</w:t>
      </w:r>
      <w:r>
        <w:rPr>
          <w:rFonts w:hint="eastAsia" w:ascii="宋体" w:hAnsi="宋体" w:eastAsia="宋体" w:cs="宋体"/>
          <w:color w:val="auto"/>
          <w:kern w:val="0"/>
          <w:sz w:val="21"/>
          <w:szCs w:val="21"/>
          <w:highlight w:val="none"/>
          <w:u w:val="single"/>
          <w:lang w:val="en-US" w:eastAsia="zh-CN" w:bidi="ar-SA"/>
        </w:rPr>
        <w:t xml:space="preserve">                                          </w:t>
      </w:r>
    </w:p>
    <w:p w14:paraId="29C2DF94">
      <w:pPr>
        <w:widowControl w:val="0"/>
        <w:adjustRightInd w:val="0"/>
        <w:snapToGrid w:val="0"/>
        <w:spacing w:before="0" w:beforeLines="0" w:after="0" w:line="400" w:lineRule="exact"/>
        <w:ind w:left="0"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（2）采购计划编号：</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 xml:space="preserve"> </w:t>
      </w:r>
    </w:p>
    <w:p w14:paraId="51F91617">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（3）项目内容：</w:t>
      </w:r>
    </w:p>
    <w:p w14:paraId="19BD6A2B">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lang w:eastAsia="zh-CN"/>
        </w:rPr>
        <w:t>采购标的及数量</w:t>
      </w:r>
      <w:r>
        <w:rPr>
          <w:rFonts w:hint="eastAsia" w:ascii="宋体" w:hAnsi="宋体" w:eastAsia="宋体" w:cs="宋体"/>
          <w:color w:val="auto"/>
          <w:kern w:val="2"/>
          <w:sz w:val="21"/>
          <w:szCs w:val="21"/>
          <w:highlight w:val="none"/>
          <w:lang w:val="en-US" w:eastAsia="zh-CN"/>
        </w:rPr>
        <w:t>（台/套</w:t>
      </w:r>
      <w:r>
        <w:rPr>
          <w:rFonts w:hint="eastAsia" w:ascii="宋体" w:hAnsi="宋体" w:eastAsia="宋体" w:cs="宋体"/>
          <w:color w:val="auto"/>
          <w:kern w:val="2"/>
          <w:sz w:val="21"/>
          <w:szCs w:val="21"/>
          <w:highlight w:val="none"/>
          <w:lang w:val="en" w:eastAsia="zh-CN"/>
        </w:rPr>
        <w:t>/个/架/组等</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 xml:space="preserve"> </w:t>
      </w:r>
    </w:p>
    <w:p w14:paraId="2D253C95">
      <w:pPr>
        <w:numPr>
          <w:ilvl w:val="-1"/>
          <w:numId w:val="0"/>
        </w:num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lang w:val="en" w:eastAsia="zh-CN"/>
        </w:rPr>
      </w:pPr>
      <w:r>
        <w:rPr>
          <w:rFonts w:hint="eastAsia" w:ascii="宋体" w:hAnsi="宋体" w:eastAsia="宋体" w:cs="宋体"/>
          <w:color w:val="auto"/>
          <w:kern w:val="2"/>
          <w:sz w:val="21"/>
          <w:szCs w:val="21"/>
          <w:highlight w:val="none"/>
          <w:u w:val="none"/>
          <w:lang w:val="en-US" w:eastAsia="zh-CN"/>
        </w:rPr>
        <w:t xml:space="preserve">     </w:t>
      </w:r>
      <w:r>
        <w:rPr>
          <w:rFonts w:hint="eastAsia" w:ascii="宋体" w:hAnsi="宋体" w:eastAsia="宋体" w:cs="宋体"/>
          <w:color w:val="auto"/>
          <w:kern w:val="2"/>
          <w:sz w:val="21"/>
          <w:szCs w:val="21"/>
          <w:highlight w:val="none"/>
          <w:lang w:val="en-US" w:eastAsia="zh-CN"/>
        </w:rPr>
        <w:t>品牌：</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lang w:val="en" w:eastAsia="zh-CN"/>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lang w:val="en" w:eastAsia="zh-CN"/>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none"/>
          <w:lang w:val="en" w:eastAsia="zh-CN"/>
        </w:rPr>
        <w:t xml:space="preserve">     </w:t>
      </w:r>
      <w:r>
        <w:rPr>
          <w:rFonts w:hint="eastAsia" w:ascii="宋体" w:hAnsi="宋体" w:eastAsia="宋体" w:cs="宋体"/>
          <w:color w:val="auto"/>
          <w:kern w:val="2"/>
          <w:sz w:val="21"/>
          <w:szCs w:val="21"/>
          <w:highlight w:val="none"/>
          <w:lang w:val="en-US" w:eastAsia="zh-CN"/>
        </w:rPr>
        <w:t>规格型号：</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lang w:val="en" w:eastAsia="zh-CN"/>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lang w:val="en" w:eastAsia="zh-CN"/>
        </w:rPr>
        <w:t xml:space="preserve">   </w:t>
      </w:r>
    </w:p>
    <w:p w14:paraId="0A19BCBE">
      <w:pPr>
        <w:autoSpaceDE/>
        <w:autoSpaceDN/>
        <w:adjustRightInd w:val="0"/>
        <w:snapToGrid w:val="0"/>
        <w:spacing w:before="0" w:beforeLines="0" w:line="400" w:lineRule="exact"/>
        <w:ind w:firstLine="945" w:firstLineChars="45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u w:val="none"/>
          <w:lang w:val="en-US" w:eastAsia="zh-CN"/>
        </w:rPr>
        <w:t>采购标的的技术要求、商务要求具体见附件。</w:t>
      </w:r>
    </w:p>
    <w:p w14:paraId="1EE9A6FC">
      <w:pPr>
        <w:numPr>
          <w:ilvl w:val="-1"/>
          <w:numId w:val="0"/>
        </w:numPr>
        <w:autoSpaceDE/>
        <w:autoSpaceDN/>
        <w:adjustRightInd w:val="0"/>
        <w:snapToGrid w:val="0"/>
        <w:spacing w:before="0" w:beforeLines="0" w:line="400" w:lineRule="exact"/>
        <w:ind w:firstLine="945" w:firstLineChars="45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①涉及信息类产品，请填写该产品关键部件的品牌、型号：</w:t>
      </w:r>
    </w:p>
    <w:p w14:paraId="105F1076">
      <w:pPr>
        <w:numPr>
          <w:ilvl w:val="-1"/>
          <w:numId w:val="0"/>
        </w:numPr>
        <w:autoSpaceDE/>
        <w:autoSpaceDN/>
        <w:adjustRightInd w:val="0"/>
        <w:snapToGrid w:val="0"/>
        <w:spacing w:before="0" w:beforeLines="0" w:line="400" w:lineRule="exact"/>
        <w:ind w:firstLine="420" w:firstLineChars="200"/>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2"/>
          <w:sz w:val="21"/>
          <w:szCs w:val="21"/>
          <w:highlight w:val="none"/>
          <w:lang w:val="en-US" w:eastAsia="zh-CN"/>
        </w:rPr>
        <w:t xml:space="preserve">     标的名称：</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36CCB7D0">
      <w:pPr>
        <w:numPr>
          <w:ilvl w:val="-1"/>
          <w:numId w:val="0"/>
        </w:num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     关键部件：</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eastAsia="宋体" w:cs="宋体"/>
          <w:color w:val="auto"/>
          <w:kern w:val="2"/>
          <w:sz w:val="21"/>
          <w:szCs w:val="21"/>
          <w:highlight w:val="none"/>
          <w:lang w:val="en-US" w:eastAsia="zh-CN"/>
        </w:rPr>
        <w:t>品牌：</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none"/>
          <w:lang w:val="en-US" w:eastAsia="zh-CN"/>
        </w:rPr>
        <w:t xml:space="preserve"> </w:t>
      </w:r>
      <w:r>
        <w:rPr>
          <w:rFonts w:hint="eastAsia" w:ascii="宋体" w:hAnsi="宋体" w:eastAsia="宋体" w:cs="宋体"/>
          <w:color w:val="auto"/>
          <w:kern w:val="2"/>
          <w:sz w:val="21"/>
          <w:szCs w:val="21"/>
          <w:highlight w:val="none"/>
          <w:lang w:val="en-US" w:eastAsia="zh-CN"/>
        </w:rPr>
        <w:t>型号：</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 xml:space="preserve"> </w:t>
      </w:r>
    </w:p>
    <w:p w14:paraId="7FD83092">
      <w:pPr>
        <w:autoSpaceDE w:val="0"/>
        <w:autoSpaceDN w:val="0"/>
        <w:adjustRightInd w:val="0"/>
        <w:spacing w:beforeLines="0" w:line="400" w:lineRule="exact"/>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关键部件</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u w:val="none"/>
          <w:lang w:val="en-US" w:eastAsia="zh-CN" w:bidi="ar-SA"/>
        </w:rPr>
        <w:t xml:space="preserve"> </w:t>
      </w:r>
      <w:r>
        <w:rPr>
          <w:rFonts w:hint="eastAsia" w:ascii="宋体" w:hAnsi="宋体" w:eastAsia="宋体" w:cs="宋体"/>
          <w:color w:val="auto"/>
          <w:sz w:val="21"/>
          <w:szCs w:val="21"/>
          <w:highlight w:val="none"/>
          <w:lang w:val="en-US" w:eastAsia="zh-CN" w:bidi="ar-SA"/>
        </w:rPr>
        <w:t>品牌：</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u w:val="none"/>
          <w:lang w:val="en-US" w:eastAsia="zh-CN" w:bidi="ar-SA"/>
        </w:rPr>
        <w:t xml:space="preserve"> </w:t>
      </w:r>
      <w:r>
        <w:rPr>
          <w:rFonts w:hint="eastAsia" w:ascii="宋体" w:hAnsi="宋体" w:eastAsia="宋体" w:cs="宋体"/>
          <w:color w:val="auto"/>
          <w:sz w:val="21"/>
          <w:szCs w:val="21"/>
          <w:highlight w:val="none"/>
          <w:lang w:val="en-US" w:eastAsia="zh-CN" w:bidi="ar-SA"/>
        </w:rPr>
        <w:t>型号：</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 xml:space="preserve"> </w:t>
      </w:r>
    </w:p>
    <w:p w14:paraId="0349841B">
      <w:pPr>
        <w:autoSpaceDE w:val="0"/>
        <w:autoSpaceDN w:val="0"/>
        <w:adjustRightInd w:val="0"/>
        <w:spacing w:beforeLines="0" w:line="400" w:lineRule="exact"/>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     关键部件：</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u w:val="none"/>
          <w:lang w:val="en-US" w:eastAsia="zh-CN" w:bidi="ar-SA"/>
        </w:rPr>
        <w:t xml:space="preserve"> </w:t>
      </w:r>
      <w:r>
        <w:rPr>
          <w:rFonts w:hint="eastAsia" w:ascii="宋体" w:hAnsi="宋体" w:eastAsia="宋体" w:cs="宋体"/>
          <w:color w:val="auto"/>
          <w:sz w:val="21"/>
          <w:szCs w:val="21"/>
          <w:highlight w:val="none"/>
          <w:lang w:val="en-US" w:eastAsia="zh-CN" w:bidi="ar-SA"/>
        </w:rPr>
        <w:t>品牌：</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u w:val="none"/>
          <w:lang w:val="en-US" w:eastAsia="zh-CN" w:bidi="ar-SA"/>
        </w:rPr>
        <w:t xml:space="preserve"> </w:t>
      </w:r>
      <w:r>
        <w:rPr>
          <w:rFonts w:hint="eastAsia" w:ascii="宋体" w:hAnsi="宋体" w:eastAsia="宋体" w:cs="宋体"/>
          <w:color w:val="auto"/>
          <w:sz w:val="21"/>
          <w:szCs w:val="21"/>
          <w:highlight w:val="none"/>
          <w:lang w:val="en-US" w:eastAsia="zh-CN" w:bidi="ar-SA"/>
        </w:rPr>
        <w:t>型号：</w:t>
      </w:r>
      <w:r>
        <w:rPr>
          <w:rFonts w:hint="eastAsia" w:ascii="宋体" w:hAnsi="宋体" w:eastAsia="宋体" w:cs="宋体"/>
          <w:color w:val="auto"/>
          <w:sz w:val="21"/>
          <w:szCs w:val="21"/>
          <w:highlight w:val="none"/>
          <w:u w:val="single"/>
          <w:lang w:val="en-US" w:eastAsia="zh-CN" w:bidi="ar-SA"/>
        </w:rPr>
        <w:t xml:space="preserve">       </w:t>
      </w:r>
    </w:p>
    <w:p w14:paraId="35222B95">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4535AD96">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         ②涉及车辆采购，请填写是否属于新能源汽车：</w:t>
      </w:r>
    </w:p>
    <w:p w14:paraId="27BCD974">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是，《政府采购品目分类目录》底级品目名称</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 xml:space="preserve"> 数量：</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 xml:space="preserve"> 金额：</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iCs w:val="0"/>
          <w:color w:val="auto"/>
          <w:sz w:val="21"/>
          <w:szCs w:val="21"/>
          <w:highlight w:val="none"/>
          <w:lang w:val="en-US" w:eastAsia="zh-CN" w:bidi="ar-SA"/>
        </w:rPr>
        <w:t xml:space="preserve"> </w:t>
      </w:r>
    </w:p>
    <w:p w14:paraId="58C18C71">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color w:val="auto"/>
          <w:sz w:val="21"/>
          <w:szCs w:val="21"/>
          <w:highlight w:val="none"/>
          <w:lang w:val="en-US" w:eastAsia="zh-CN" w:bidi="ar-SA"/>
        </w:rPr>
      </w:pPr>
      <w:r>
        <w:rPr>
          <w:rFonts w:hint="eastAsia" w:ascii="宋体" w:hAnsi="宋体" w:eastAsia="宋体" w:cs="宋体"/>
          <w:iCs w:val="0"/>
          <w:color w:val="auto"/>
          <w:sz w:val="21"/>
          <w:szCs w:val="21"/>
          <w:highlight w:val="none"/>
          <w:lang w:val="en-US" w:eastAsia="zh-CN" w:bidi="ar-SA"/>
        </w:rPr>
        <w:t xml:space="preserve">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否</w:t>
      </w:r>
    </w:p>
    <w:p w14:paraId="3301B3DD">
      <w:pPr>
        <w:numPr>
          <w:ilvl w:val="-1"/>
          <w:numId w:val="0"/>
        </w:numPr>
        <w:autoSpaceDE w:val="0"/>
        <w:autoSpaceDN w:val="0"/>
        <w:adjustRightInd w:val="0"/>
        <w:snapToGrid w:val="0"/>
        <w:spacing w:before="0" w:beforeLines="0" w:line="400" w:lineRule="exact"/>
        <w:ind w:left="0" w:firstLine="0" w:firstLineChars="0"/>
        <w:rPr>
          <w:rFonts w:hint="eastAsia" w:ascii="宋体" w:hAnsi="宋体" w:eastAsia="宋体" w:cs="宋体"/>
          <w:iCs w:val="0"/>
          <w:color w:val="auto"/>
          <w:sz w:val="21"/>
          <w:szCs w:val="21"/>
          <w:highlight w:val="none"/>
          <w:lang w:val="en-US" w:eastAsia="zh-CN" w:bidi="ar-SA"/>
        </w:rPr>
      </w:pPr>
      <w:r>
        <w:rPr>
          <w:rFonts w:hint="eastAsia" w:ascii="宋体" w:hAnsi="宋体" w:eastAsia="宋体" w:cs="宋体"/>
          <w:iCs w:val="0"/>
          <w:color w:val="auto"/>
          <w:sz w:val="21"/>
          <w:szCs w:val="21"/>
          <w:highlight w:val="none"/>
          <w:lang w:val="en-US" w:eastAsia="zh-CN" w:bidi="ar-SA"/>
        </w:rPr>
        <w:t xml:space="preserve">    （</w:t>
      </w:r>
      <w:r>
        <w:rPr>
          <w:rFonts w:hint="eastAsia" w:ascii="宋体" w:hAnsi="宋体" w:eastAsia="宋体" w:cs="宋体"/>
          <w:iCs w:val="0"/>
          <w:color w:val="auto"/>
          <w:sz w:val="21"/>
          <w:szCs w:val="21"/>
          <w:highlight w:val="none"/>
          <w:lang w:val="en" w:eastAsia="zh-CN" w:bidi="ar-SA"/>
        </w:rPr>
        <w:t>4</w:t>
      </w:r>
      <w:r>
        <w:rPr>
          <w:rFonts w:hint="eastAsia" w:ascii="宋体" w:hAnsi="宋体" w:eastAsia="宋体" w:cs="宋体"/>
          <w:iCs w:val="0"/>
          <w:color w:val="auto"/>
          <w:sz w:val="21"/>
          <w:szCs w:val="21"/>
          <w:highlight w:val="none"/>
          <w:lang w:val="en-US" w:eastAsia="zh-CN" w:bidi="ar-SA"/>
        </w:rPr>
        <w:t>）政府采购组织形式：</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政府集中采购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部门集中采购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分散采购</w:t>
      </w:r>
    </w:p>
    <w:p w14:paraId="51033CAD">
      <w:pPr>
        <w:numPr>
          <w:ilvl w:val="-1"/>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color w:val="auto"/>
          <w:sz w:val="21"/>
          <w:szCs w:val="21"/>
          <w:highlight w:val="none"/>
          <w:lang w:val="en-US" w:eastAsia="zh-CN" w:bidi="ar-SA"/>
        </w:rPr>
      </w:pPr>
      <w:r>
        <w:rPr>
          <w:rFonts w:hint="eastAsia" w:ascii="宋体" w:hAnsi="宋体" w:eastAsia="宋体" w:cs="宋体"/>
          <w:iCs w:val="0"/>
          <w:color w:val="auto"/>
          <w:sz w:val="21"/>
          <w:szCs w:val="21"/>
          <w:highlight w:val="none"/>
          <w:lang w:val="en-US" w:eastAsia="zh-CN" w:bidi="ar-SA"/>
        </w:rPr>
        <w:t>（</w:t>
      </w:r>
      <w:r>
        <w:rPr>
          <w:rFonts w:hint="eastAsia" w:ascii="宋体" w:hAnsi="宋体" w:eastAsia="宋体" w:cs="宋体"/>
          <w:iCs w:val="0"/>
          <w:color w:val="auto"/>
          <w:sz w:val="21"/>
          <w:szCs w:val="21"/>
          <w:highlight w:val="none"/>
          <w:lang w:val="en" w:eastAsia="zh-CN" w:bidi="ar-SA"/>
        </w:rPr>
        <w:t>5</w:t>
      </w:r>
      <w:r>
        <w:rPr>
          <w:rFonts w:hint="eastAsia" w:ascii="宋体" w:hAnsi="宋体" w:eastAsia="宋体" w:cs="宋体"/>
          <w:iCs w:val="0"/>
          <w:color w:val="auto"/>
          <w:sz w:val="21"/>
          <w:szCs w:val="21"/>
          <w:highlight w:val="none"/>
          <w:lang w:val="en-US" w:eastAsia="zh-CN" w:bidi="ar-SA"/>
        </w:rPr>
        <w:t>）政府采购方式：</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公开招标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邀请招标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竞争性谈判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竞争性磋商</w:t>
      </w:r>
    </w:p>
    <w:p w14:paraId="7B1D1C5B">
      <w:pPr>
        <w:numPr>
          <w:ilvl w:val="-1"/>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color w:val="auto"/>
          <w:sz w:val="21"/>
          <w:szCs w:val="21"/>
          <w:highlight w:val="none"/>
          <w:u w:val="single"/>
          <w:lang w:val="en-US" w:eastAsia="zh-CN" w:bidi="ar-SA"/>
        </w:rPr>
      </w:pPr>
      <w:r>
        <w:rPr>
          <w:rFonts w:hint="eastAsia" w:ascii="宋体" w:hAnsi="宋体" w:eastAsia="宋体" w:cs="宋体"/>
          <w:color w:val="auto"/>
          <w:sz w:val="21"/>
          <w:szCs w:val="21"/>
          <w:highlight w:val="none"/>
          <w:u w:val="none"/>
          <w:lang w:val="en-US" w:eastAsia="zh-CN" w:bidi="ar-SA"/>
        </w:rPr>
        <w:t xml:space="preserve">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询价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单一来源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 xml:space="preserve">框架协议 </w:t>
      </w:r>
      <w:r>
        <w:rPr>
          <w:rFonts w:hint="eastAsia" w:ascii="宋体" w:hAnsi="宋体" w:eastAsia="宋体" w:cs="宋体"/>
          <w:iCs w:val="0"/>
          <w:color w:val="auto"/>
          <w:sz w:val="21"/>
          <w:szCs w:val="21"/>
          <w:highlight w:val="none"/>
          <w:lang w:val="en-US" w:eastAsia="zh-CN" w:bidi="ar-SA"/>
        </w:rPr>
        <w:sym w:font="Wingdings" w:char="00A8"/>
      </w:r>
      <w:r>
        <w:rPr>
          <w:rFonts w:hint="eastAsia" w:ascii="宋体" w:hAnsi="宋体" w:eastAsia="宋体" w:cs="宋体"/>
          <w:iCs w:val="0"/>
          <w:color w:val="auto"/>
          <w:sz w:val="21"/>
          <w:szCs w:val="21"/>
          <w:highlight w:val="none"/>
          <w:lang w:val="en-US" w:eastAsia="zh-CN" w:bidi="ar-SA"/>
        </w:rPr>
        <w:t>其他：</w:t>
      </w:r>
      <w:r>
        <w:rPr>
          <w:rFonts w:hint="eastAsia" w:ascii="宋体" w:hAnsi="宋体" w:eastAsia="宋体" w:cs="宋体"/>
          <w:iCs w:val="0"/>
          <w:color w:val="auto"/>
          <w:sz w:val="21"/>
          <w:szCs w:val="21"/>
          <w:highlight w:val="none"/>
          <w:u w:val="single"/>
          <w:lang w:val="en-US" w:eastAsia="zh-CN" w:bidi="ar-SA"/>
        </w:rPr>
        <w:t xml:space="preserve">          </w:t>
      </w:r>
    </w:p>
    <w:p w14:paraId="556B6728">
      <w:pPr>
        <w:numPr>
          <w:ilvl w:val="-1"/>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color w:val="auto"/>
          <w:sz w:val="21"/>
          <w:szCs w:val="21"/>
          <w:highlight w:val="none"/>
          <w:u w:val="none"/>
          <w:lang w:val="en-US" w:eastAsia="zh-CN" w:bidi="ar-SA"/>
        </w:rPr>
      </w:pPr>
      <w:r>
        <w:rPr>
          <w:rFonts w:hint="eastAsia" w:ascii="宋体" w:hAnsi="宋体" w:eastAsia="宋体" w:cs="宋体"/>
          <w:iCs w:val="0"/>
          <w:color w:val="auto"/>
          <w:sz w:val="21"/>
          <w:szCs w:val="21"/>
          <w:highlight w:val="none"/>
          <w:u w:val="none"/>
          <w:lang w:val="en-US" w:eastAsia="zh-CN" w:bidi="ar-SA"/>
        </w:rPr>
        <w:t>（注：在框架协议采购的第二阶段，可选择使用该合同文本）</w:t>
      </w:r>
    </w:p>
    <w:p w14:paraId="1636898B">
      <w:pPr>
        <w:numPr>
          <w:ilvl w:val="-1"/>
          <w:numId w:val="0"/>
        </w:numPr>
        <w:autoSpaceDE w:val="0"/>
        <w:autoSpaceDN w:val="0"/>
        <w:adjustRightInd w:val="0"/>
        <w:snapToGrid w:val="0"/>
        <w:spacing w:before="0" w:beforeLines="0" w:line="400" w:lineRule="exact"/>
        <w:ind w:firstLine="210" w:firstLineChars="100"/>
        <w:rPr>
          <w:rFonts w:hint="eastAsia" w:ascii="宋体" w:hAnsi="宋体" w:eastAsia="宋体" w:cs="宋体"/>
          <w:color w:val="auto"/>
          <w:w w:val="100"/>
          <w:kern w:val="2"/>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 （</w:t>
      </w:r>
      <w:r>
        <w:rPr>
          <w:rFonts w:hint="eastAsia" w:ascii="宋体" w:hAnsi="宋体" w:eastAsia="宋体" w:cs="宋体"/>
          <w:color w:val="auto"/>
          <w:sz w:val="21"/>
          <w:szCs w:val="21"/>
          <w:highlight w:val="none"/>
          <w:lang w:val="en" w:eastAsia="zh-CN" w:bidi="ar-SA"/>
        </w:rPr>
        <w:t>6</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w w:val="100"/>
          <w:kern w:val="2"/>
          <w:sz w:val="21"/>
          <w:szCs w:val="21"/>
          <w:highlight w:val="none"/>
          <w:lang w:val="en-US" w:eastAsia="zh-CN" w:bidi="ar-SA"/>
        </w:rPr>
        <w:t>中标（成交）采购标的制造商是否为中小企业：</w:t>
      </w:r>
      <w:r>
        <w:rPr>
          <w:rFonts w:hint="eastAsia" w:ascii="宋体" w:hAnsi="宋体" w:eastAsia="宋体" w:cs="宋体"/>
          <w:color w:val="auto"/>
          <w:w w:val="100"/>
          <w:kern w:val="2"/>
          <w:sz w:val="21"/>
          <w:szCs w:val="21"/>
          <w:highlight w:val="none"/>
          <w:lang w:val="en-US" w:eastAsia="zh-CN" w:bidi="ar-SA"/>
        </w:rPr>
        <w:sym w:font="Wingdings" w:char="00A8"/>
      </w:r>
      <w:r>
        <w:rPr>
          <w:rFonts w:hint="eastAsia" w:ascii="宋体" w:hAnsi="宋体" w:eastAsia="宋体" w:cs="宋体"/>
          <w:color w:val="auto"/>
          <w:w w:val="100"/>
          <w:kern w:val="2"/>
          <w:sz w:val="21"/>
          <w:szCs w:val="21"/>
          <w:highlight w:val="none"/>
          <w:lang w:val="en-US" w:eastAsia="zh-CN" w:bidi="ar-SA"/>
        </w:rPr>
        <w:t xml:space="preserve">是      </w:t>
      </w:r>
      <w:r>
        <w:rPr>
          <w:rFonts w:hint="eastAsia" w:ascii="宋体" w:hAnsi="宋体" w:eastAsia="宋体" w:cs="宋体"/>
          <w:color w:val="auto"/>
          <w:w w:val="100"/>
          <w:kern w:val="2"/>
          <w:sz w:val="21"/>
          <w:szCs w:val="21"/>
          <w:highlight w:val="none"/>
          <w:lang w:val="en-US" w:eastAsia="zh-CN" w:bidi="ar-SA"/>
        </w:rPr>
        <w:sym w:font="Wingdings" w:char="00A8"/>
      </w:r>
      <w:r>
        <w:rPr>
          <w:rFonts w:hint="eastAsia" w:ascii="宋体" w:hAnsi="宋体" w:eastAsia="宋体" w:cs="宋体"/>
          <w:color w:val="auto"/>
          <w:w w:val="100"/>
          <w:kern w:val="2"/>
          <w:sz w:val="21"/>
          <w:szCs w:val="21"/>
          <w:highlight w:val="none"/>
          <w:lang w:val="en-US" w:eastAsia="zh-CN" w:bidi="ar-SA"/>
        </w:rPr>
        <w:t>否</w:t>
      </w:r>
    </w:p>
    <w:p w14:paraId="61FB4A07">
      <w:pPr>
        <w:numPr>
          <w:ilvl w:val="-1"/>
          <w:numId w:val="0"/>
        </w:numPr>
        <w:autoSpaceDE/>
        <w:autoSpaceDN/>
        <w:adjustRightInd w:val="0"/>
        <w:snapToGrid w:val="0"/>
        <w:spacing w:before="0" w:beforeLines="0" w:line="400" w:lineRule="exact"/>
        <w:ind w:left="0" w:leftChars="0" w:firstLine="0" w:firstLineChars="0"/>
        <w:rPr>
          <w:rFonts w:hint="eastAsia" w:ascii="宋体" w:hAnsi="宋体" w:eastAsia="宋体" w:cs="宋体"/>
          <w:iCs/>
          <w:color w:val="auto"/>
          <w:kern w:val="2"/>
          <w:sz w:val="21"/>
          <w:szCs w:val="21"/>
          <w:highlight w:val="none"/>
        </w:rPr>
      </w:pPr>
      <w:r>
        <w:rPr>
          <w:rFonts w:hint="eastAsia" w:ascii="宋体" w:hAnsi="宋体" w:eastAsia="宋体" w:cs="宋体"/>
          <w:color w:val="auto"/>
          <w:w w:val="100"/>
          <w:kern w:val="2"/>
          <w:sz w:val="21"/>
          <w:szCs w:val="21"/>
          <w:highlight w:val="none"/>
          <w:lang w:val="en-US" w:eastAsia="zh-CN"/>
        </w:rPr>
        <w:t xml:space="preserve">         本合同</w:t>
      </w:r>
      <w:r>
        <w:rPr>
          <w:rFonts w:hint="eastAsia" w:ascii="宋体" w:hAnsi="宋体" w:eastAsia="宋体" w:cs="宋体"/>
          <w:color w:val="auto"/>
          <w:w w:val="100"/>
          <w:kern w:val="2"/>
          <w:sz w:val="21"/>
          <w:szCs w:val="21"/>
          <w:highlight w:val="none"/>
        </w:rPr>
        <w:t>是否</w:t>
      </w:r>
      <w:r>
        <w:rPr>
          <w:rFonts w:hint="eastAsia" w:ascii="宋体" w:hAnsi="宋体" w:eastAsia="宋体" w:cs="宋体"/>
          <w:color w:val="auto"/>
          <w:w w:val="100"/>
          <w:kern w:val="2"/>
          <w:sz w:val="21"/>
          <w:szCs w:val="21"/>
          <w:highlight w:val="none"/>
          <w:lang w:eastAsia="zh-CN"/>
        </w:rPr>
        <w:t>为专门面向</w:t>
      </w:r>
      <w:r>
        <w:rPr>
          <w:rFonts w:hint="eastAsia" w:ascii="宋体" w:hAnsi="宋体" w:eastAsia="宋体" w:cs="宋体"/>
          <w:color w:val="auto"/>
          <w:w w:val="100"/>
          <w:kern w:val="2"/>
          <w:sz w:val="21"/>
          <w:szCs w:val="21"/>
          <w:highlight w:val="none"/>
        </w:rPr>
        <w:t>中小企业</w:t>
      </w:r>
      <w:r>
        <w:rPr>
          <w:rFonts w:hint="eastAsia" w:ascii="宋体" w:hAnsi="宋体" w:eastAsia="宋体" w:cs="宋体"/>
          <w:color w:val="auto"/>
          <w:w w:val="100"/>
          <w:kern w:val="2"/>
          <w:sz w:val="21"/>
          <w:szCs w:val="21"/>
          <w:highlight w:val="none"/>
          <w:lang w:eastAsia="zh-CN"/>
        </w:rPr>
        <w:t>的采</w:t>
      </w:r>
      <w:r>
        <w:rPr>
          <w:rFonts w:hint="eastAsia" w:ascii="宋体" w:hAnsi="宋体" w:eastAsia="宋体" w:cs="宋体"/>
          <w:color w:val="auto"/>
          <w:w w:val="100"/>
          <w:kern w:val="2"/>
          <w:sz w:val="21"/>
          <w:szCs w:val="21"/>
          <w:highlight w:val="none"/>
          <w:shd w:val="clear"/>
          <w:lang w:eastAsia="zh-CN"/>
        </w:rPr>
        <w:t>购</w:t>
      </w:r>
      <w:r>
        <w:rPr>
          <w:rFonts w:hint="eastAsia" w:ascii="宋体" w:hAnsi="宋体" w:eastAsia="宋体" w:cs="宋体"/>
          <w:color w:val="auto"/>
          <w:w w:val="100"/>
          <w:kern w:val="2"/>
          <w:sz w:val="21"/>
          <w:szCs w:val="21"/>
          <w:highlight w:val="none"/>
          <w:shd w:val="clear"/>
        </w:rPr>
        <w:t>合同</w:t>
      </w:r>
      <w:r>
        <w:rPr>
          <w:rFonts w:hint="eastAsia" w:ascii="宋体" w:hAnsi="宋体" w:eastAsia="宋体" w:cs="宋体"/>
          <w:color w:val="auto"/>
          <w:w w:val="100"/>
          <w:kern w:val="2"/>
          <w:sz w:val="21"/>
          <w:szCs w:val="21"/>
          <w:highlight w:val="none"/>
          <w:shd w:val="clear"/>
          <w:lang w:eastAsia="zh-CN"/>
        </w:rPr>
        <w:t>（中小企业预留合同）</w:t>
      </w:r>
      <w:r>
        <w:rPr>
          <w:rFonts w:hint="eastAsia" w:ascii="宋体" w:hAnsi="宋体" w:eastAsia="宋体" w:cs="宋体"/>
          <w:color w:val="auto"/>
          <w:kern w:val="2"/>
          <w:sz w:val="21"/>
          <w:szCs w:val="21"/>
          <w:highlight w:val="none"/>
          <w:shd w:val="clear"/>
        </w:rPr>
        <w:t>：</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是 </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否</w:t>
      </w:r>
    </w:p>
    <w:p w14:paraId="636EFF63">
      <w:pPr>
        <w:numPr>
          <w:ilvl w:val="-1"/>
          <w:numId w:val="0"/>
        </w:numPr>
        <w:autoSpaceDE/>
        <w:autoSpaceDN/>
        <w:adjustRightInd w:val="0"/>
        <w:snapToGrid w:val="0"/>
        <w:spacing w:before="0" w:beforeLines="0" w:line="400" w:lineRule="exact"/>
        <w:ind w:firstLine="0" w:firstLineChars="0"/>
        <w:rPr>
          <w:rFonts w:hint="eastAsia" w:ascii="宋体" w:hAnsi="宋体" w:eastAsia="宋体" w:cs="宋体"/>
          <w:iCs/>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若本项目不专门面向中小企业采购，是否给予小微企业评审优惠：</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是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否</w:t>
      </w:r>
    </w:p>
    <w:p w14:paraId="29E43A75">
      <w:pPr>
        <w:numPr>
          <w:ilvl w:val="-1"/>
          <w:numId w:val="0"/>
        </w:numPr>
        <w:autoSpaceDE/>
        <w:autoSpaceDN/>
        <w:adjustRightInd w:val="0"/>
        <w:snapToGrid w:val="0"/>
        <w:spacing w:before="0" w:beforeLines="0" w:line="400" w:lineRule="exact"/>
        <w:ind w:firstLine="0" w:firstLineChars="0"/>
        <w:rPr>
          <w:rFonts w:hint="eastAsia" w:ascii="宋体" w:hAnsi="宋体" w:eastAsia="宋体" w:cs="宋体"/>
          <w:iCs/>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中标（成交）采购标的制造商是否为残疾人福利性单位：</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是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否</w:t>
      </w:r>
    </w:p>
    <w:p w14:paraId="0B497E98">
      <w:pPr>
        <w:numPr>
          <w:ilvl w:val="0"/>
          <w:numId w:val="0"/>
        </w:numPr>
        <w:autoSpaceDE/>
        <w:autoSpaceDN/>
        <w:adjustRightInd/>
        <w:snapToGrid w:val="0"/>
        <w:spacing w:beforeLines="0" w:line="400" w:lineRule="exact"/>
        <w:ind w:firstLine="0" w:firstLine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         中标（成交）采购标的制造商是否为监狱企业：</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是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否</w:t>
      </w:r>
    </w:p>
    <w:p w14:paraId="3BCD1D71">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 w:eastAsia="zh-CN"/>
        </w:rPr>
        <w:t>7</w:t>
      </w:r>
      <w:r>
        <w:rPr>
          <w:rFonts w:hint="eastAsia" w:ascii="宋体" w:hAnsi="宋体" w:eastAsia="宋体" w:cs="宋体"/>
          <w:color w:val="auto"/>
          <w:kern w:val="2"/>
          <w:sz w:val="21"/>
          <w:szCs w:val="21"/>
          <w:highlight w:val="none"/>
        </w:rPr>
        <w:t>）合同是否分包：</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是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否</w:t>
      </w:r>
    </w:p>
    <w:p w14:paraId="6C603DBA">
      <w:pPr>
        <w:autoSpaceDE/>
        <w:autoSpaceDN/>
        <w:adjustRightInd w:val="0"/>
        <w:snapToGrid w:val="0"/>
        <w:spacing w:before="0" w:beforeLines="0" w:line="400" w:lineRule="exact"/>
        <w:ind w:firstLine="840" w:firstLineChars="40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t>分包主要内容：</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p>
    <w:p w14:paraId="742AEBBC">
      <w:pPr>
        <w:autoSpaceDE/>
        <w:autoSpaceDN/>
        <w:adjustRightInd w:val="0"/>
        <w:snapToGrid w:val="0"/>
        <w:spacing w:before="0" w:beforeLines="0" w:line="400" w:lineRule="exact"/>
        <w:ind w:firstLine="840" w:firstLineChars="4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u w:val="none"/>
          <w:lang w:val="en-US" w:eastAsia="zh-CN"/>
        </w:rPr>
        <w:t xml:space="preserve"> </w:t>
      </w:r>
      <w:r>
        <w:rPr>
          <w:rFonts w:hint="eastAsia" w:ascii="宋体" w:hAnsi="宋体" w:eastAsia="宋体" w:cs="宋体"/>
          <w:color w:val="auto"/>
          <w:kern w:val="2"/>
          <w:sz w:val="21"/>
          <w:szCs w:val="21"/>
          <w:highlight w:val="none"/>
        </w:rPr>
        <w:t>分包供应商</w:t>
      </w:r>
      <w:r>
        <w:rPr>
          <w:rFonts w:hint="eastAsia" w:ascii="宋体" w:hAnsi="宋体" w:eastAsia="宋体" w:cs="宋体"/>
          <w:color w:val="auto"/>
          <w:kern w:val="2"/>
          <w:sz w:val="21"/>
          <w:szCs w:val="21"/>
          <w:highlight w:val="none"/>
          <w:lang w:eastAsia="zh-CN"/>
        </w:rPr>
        <w:t>/制造商</w:t>
      </w:r>
      <w:r>
        <w:rPr>
          <w:rFonts w:hint="eastAsia" w:ascii="宋体" w:hAnsi="宋体" w:eastAsia="宋体" w:cs="宋体"/>
          <w:color w:val="auto"/>
          <w:kern w:val="2"/>
          <w:sz w:val="21"/>
          <w:szCs w:val="21"/>
          <w:highlight w:val="none"/>
        </w:rPr>
        <w:t>名称</w:t>
      </w:r>
      <w:r>
        <w:rPr>
          <w:rFonts w:hint="eastAsia" w:ascii="宋体" w:hAnsi="宋体" w:eastAsia="宋体" w:cs="宋体"/>
          <w:color w:val="auto"/>
          <w:kern w:val="2"/>
          <w:sz w:val="21"/>
          <w:szCs w:val="21"/>
          <w:highlight w:val="none"/>
          <w:lang w:eastAsia="zh-CN"/>
        </w:rPr>
        <w:t>（如供应商和制造商不同，请分别填写）</w:t>
      </w:r>
      <w:r>
        <w:rPr>
          <w:rFonts w:hint="eastAsia" w:ascii="宋体" w:hAnsi="宋体" w:eastAsia="宋体" w:cs="宋体"/>
          <w:color w:val="auto"/>
          <w:kern w:val="2"/>
          <w:sz w:val="21"/>
          <w:szCs w:val="21"/>
          <w:highlight w:val="none"/>
        </w:rPr>
        <w:t>：</w:t>
      </w:r>
    </w:p>
    <w:p w14:paraId="7FA5EA47">
      <w:pPr>
        <w:autoSpaceDE/>
        <w:autoSpaceDN/>
        <w:adjustRightInd w:val="0"/>
        <w:snapToGrid w:val="0"/>
        <w:spacing w:before="0" w:beforeLines="0" w:line="400" w:lineRule="exact"/>
        <w:ind w:firstLine="840" w:firstLineChars="40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u w:val="non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p>
    <w:p w14:paraId="1F1D2B04">
      <w:pPr>
        <w:autoSpaceDE/>
        <w:autoSpaceDN/>
        <w:adjustRightInd w:val="0"/>
        <w:snapToGrid w:val="0"/>
        <w:spacing w:before="0" w:beforeLines="0" w:line="400" w:lineRule="exact"/>
        <w:ind w:firstLine="840" w:firstLineChars="4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t>分包供应商</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eastAsia="zh-CN"/>
        </w:rPr>
        <w:t>制造商</w:t>
      </w:r>
      <w:r>
        <w:rPr>
          <w:rFonts w:hint="eastAsia" w:ascii="宋体" w:hAnsi="宋体" w:eastAsia="宋体" w:cs="宋体"/>
          <w:color w:val="auto"/>
          <w:kern w:val="2"/>
          <w:sz w:val="21"/>
          <w:szCs w:val="21"/>
          <w:highlight w:val="none"/>
        </w:rPr>
        <w:t>类型</w:t>
      </w:r>
      <w:r>
        <w:rPr>
          <w:rFonts w:hint="eastAsia" w:ascii="宋体" w:hAnsi="宋体" w:eastAsia="宋体" w:cs="宋体"/>
          <w:color w:val="auto"/>
          <w:kern w:val="2"/>
          <w:sz w:val="21"/>
          <w:szCs w:val="21"/>
          <w:highlight w:val="none"/>
          <w:lang w:eastAsia="zh-CN"/>
        </w:rPr>
        <w:t>（如果供应商和制造商不同，只填写制造商类型）</w:t>
      </w:r>
      <w:r>
        <w:rPr>
          <w:rFonts w:hint="eastAsia" w:ascii="宋体" w:hAnsi="宋体" w:eastAsia="宋体" w:cs="宋体"/>
          <w:color w:val="auto"/>
          <w:kern w:val="2"/>
          <w:sz w:val="21"/>
          <w:szCs w:val="21"/>
          <w:highlight w:val="none"/>
        </w:rPr>
        <w:t>：</w:t>
      </w:r>
    </w:p>
    <w:p w14:paraId="180ED0E3">
      <w:pPr>
        <w:autoSpaceDE/>
        <w:autoSpaceDN/>
        <w:adjustRightInd w:val="0"/>
        <w:snapToGrid w:val="0"/>
        <w:spacing w:beforeLines="0" w:line="400" w:lineRule="exact"/>
        <w:ind w:firstLine="840" w:firstLineChars="400"/>
        <w:rPr>
          <w:rFonts w:hint="eastAsia" w:ascii="宋体" w:hAnsi="宋体" w:eastAsia="宋体" w:cs="宋体"/>
          <w:iCs/>
          <w:color w:val="auto"/>
          <w:kern w:val="2"/>
          <w:sz w:val="21"/>
          <w:szCs w:val="21"/>
          <w:highlight w:val="none"/>
          <w:lang w:val="en-US" w:eastAsia="zh-CN"/>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大型企业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中型企业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小微型企业</w:t>
      </w:r>
      <w:r>
        <w:rPr>
          <w:rFonts w:hint="eastAsia" w:ascii="宋体" w:hAnsi="宋体" w:eastAsia="宋体" w:cs="宋体"/>
          <w:iCs/>
          <w:color w:val="auto"/>
          <w:kern w:val="2"/>
          <w:sz w:val="21"/>
          <w:szCs w:val="21"/>
          <w:highlight w:val="none"/>
          <w:lang w:val="en-US" w:eastAsia="zh-CN"/>
        </w:rPr>
        <w:t xml:space="preserve">  </w:t>
      </w:r>
    </w:p>
    <w:p w14:paraId="18BF3496">
      <w:pPr>
        <w:autoSpaceDE/>
        <w:autoSpaceDN/>
        <w:adjustRightInd w:val="0"/>
        <w:snapToGrid w:val="0"/>
        <w:spacing w:beforeLines="0" w:line="400" w:lineRule="exact"/>
        <w:ind w:firstLine="840" w:firstLineChars="400"/>
        <w:rPr>
          <w:rFonts w:hint="eastAsia" w:ascii="宋体" w:hAnsi="宋体" w:eastAsia="宋体" w:cs="宋体"/>
          <w:color w:val="auto"/>
          <w:kern w:val="2"/>
          <w:sz w:val="21"/>
          <w:szCs w:val="21"/>
          <w:highlight w:val="none"/>
          <w:u w:val="none"/>
          <w:lang w:val="en-US" w:eastAsia="zh-CN"/>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残疾人福利性单位</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监狱</w:t>
      </w:r>
      <w:r>
        <w:rPr>
          <w:rFonts w:hint="eastAsia" w:ascii="宋体" w:hAnsi="宋体" w:eastAsia="宋体" w:cs="宋体"/>
          <w:iCs/>
          <w:color w:val="auto"/>
          <w:kern w:val="2"/>
          <w:sz w:val="21"/>
          <w:szCs w:val="21"/>
          <w:highlight w:val="none"/>
        </w:rPr>
        <w:t>企业</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其他</w:t>
      </w:r>
    </w:p>
    <w:p w14:paraId="7F2E0B02">
      <w:pPr>
        <w:numPr>
          <w:ilvl w:val="-1"/>
          <w:numId w:val="0"/>
        </w:numPr>
        <w:autoSpaceDE/>
        <w:autoSpaceDN/>
        <w:adjustRightInd w:val="0"/>
        <w:snapToGrid w:val="0"/>
        <w:spacing w:before="0" w:beforeLines="0" w:line="400" w:lineRule="exact"/>
        <w:ind w:left="0" w:leftChars="0" w:firstLine="0" w:firstLineChars="0"/>
        <w:rPr>
          <w:rFonts w:hint="eastAsia" w:ascii="宋体" w:hAnsi="宋体" w:eastAsia="宋体" w:cs="宋体"/>
          <w:iCs/>
          <w:color w:val="auto"/>
          <w:kern w:val="2"/>
          <w:sz w:val="21"/>
          <w:szCs w:val="21"/>
          <w:highlight w:val="none"/>
        </w:rPr>
      </w:pPr>
      <w:r>
        <w:rPr>
          <w:rFonts w:hint="eastAsia" w:ascii="宋体" w:hAnsi="宋体" w:eastAsia="宋体" w:cs="宋体"/>
          <w:color w:val="auto"/>
          <w:kern w:val="2"/>
          <w:sz w:val="21"/>
          <w:szCs w:val="21"/>
          <w:highlight w:val="none"/>
          <w:u w:val="none"/>
          <w:lang w:val="en-US" w:eastAsia="zh-CN"/>
        </w:rPr>
        <w:t xml:space="preserve">    （</w:t>
      </w:r>
      <w:r>
        <w:rPr>
          <w:rFonts w:hint="eastAsia" w:ascii="宋体" w:hAnsi="宋体" w:eastAsia="宋体" w:cs="宋体"/>
          <w:color w:val="auto"/>
          <w:kern w:val="2"/>
          <w:sz w:val="21"/>
          <w:szCs w:val="21"/>
          <w:highlight w:val="none"/>
          <w:u w:val="none"/>
          <w:lang w:val="en" w:eastAsia="zh-CN"/>
        </w:rPr>
        <w:t>8</w:t>
      </w:r>
      <w:r>
        <w:rPr>
          <w:rFonts w:hint="eastAsia" w:ascii="宋体" w:hAnsi="宋体" w:eastAsia="宋体" w:cs="宋体"/>
          <w:color w:val="auto"/>
          <w:kern w:val="2"/>
          <w:sz w:val="21"/>
          <w:szCs w:val="21"/>
          <w:highlight w:val="none"/>
          <w:u w:val="none"/>
          <w:lang w:val="en-US" w:eastAsia="zh-CN"/>
        </w:rPr>
        <w:t>）中标（成交）供应商是否为外商投资企业：</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是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否</w:t>
      </w:r>
    </w:p>
    <w:p w14:paraId="4ADA4F13">
      <w:pPr>
        <w:tabs>
          <w:tab w:val="left" w:pos="1340"/>
        </w:tabs>
        <w:autoSpaceDE w:val="0"/>
        <w:autoSpaceDN w:val="0"/>
        <w:adjustRightInd w:val="0"/>
        <w:spacing w:beforeLines="0" w:line="400" w:lineRule="exact"/>
        <w:ind w:firstLine="420" w:firstLineChars="200"/>
        <w:rPr>
          <w:rFonts w:hint="eastAsia" w:ascii="宋体" w:hAnsi="宋体" w:eastAsia="宋体" w:cs="宋体"/>
          <w:color w:val="auto"/>
          <w:sz w:val="21"/>
          <w:szCs w:val="21"/>
          <w:highlight w:val="none"/>
          <w:u w:val="single"/>
          <w:lang w:val="en-US" w:eastAsia="zh-CN" w:bidi="ar-SA"/>
        </w:rPr>
      </w:pPr>
      <w:r>
        <w:rPr>
          <w:rFonts w:hint="eastAsia" w:ascii="宋体" w:hAnsi="宋体" w:eastAsia="宋体" w:cs="宋体"/>
          <w:color w:val="auto"/>
          <w:sz w:val="21"/>
          <w:szCs w:val="21"/>
          <w:highlight w:val="none"/>
          <w:u w:val="none"/>
          <w:lang w:val="en-US" w:eastAsia="zh-CN" w:bidi="ar-SA"/>
        </w:rPr>
        <w:t xml:space="preserve">     外商投资企业类型：</w:t>
      </w:r>
      <w:r>
        <w:rPr>
          <w:rFonts w:hint="eastAsia" w:ascii="宋体" w:hAnsi="宋体" w:eastAsia="宋体" w:cs="宋体"/>
          <w:iCs/>
          <w:color w:val="auto"/>
          <w:sz w:val="21"/>
          <w:szCs w:val="21"/>
          <w:highlight w:val="none"/>
          <w:lang w:val="en-US" w:eastAsia="zh-CN" w:bidi="ar-SA"/>
        </w:rPr>
        <w:sym w:font="Wingdings" w:char="00A8"/>
      </w:r>
      <w:r>
        <w:rPr>
          <w:rFonts w:hint="eastAsia" w:ascii="宋体" w:hAnsi="宋体" w:eastAsia="宋体" w:cs="宋体"/>
          <w:color w:val="auto"/>
          <w:sz w:val="21"/>
          <w:szCs w:val="21"/>
          <w:highlight w:val="none"/>
          <w:u w:val="none"/>
          <w:lang w:val="en-US" w:eastAsia="zh-CN" w:bidi="ar-SA"/>
        </w:rPr>
        <w:t xml:space="preserve">全部由外国投资者投资  </w:t>
      </w:r>
      <w:r>
        <w:rPr>
          <w:rFonts w:hint="eastAsia" w:ascii="宋体" w:hAnsi="宋体" w:eastAsia="宋体" w:cs="宋体"/>
          <w:iCs/>
          <w:color w:val="auto"/>
          <w:sz w:val="21"/>
          <w:szCs w:val="21"/>
          <w:highlight w:val="none"/>
          <w:lang w:val="en-US" w:eastAsia="zh-CN" w:bidi="ar-SA"/>
        </w:rPr>
        <w:sym w:font="Wingdings" w:char="00A8"/>
      </w:r>
      <w:r>
        <w:rPr>
          <w:rFonts w:hint="eastAsia" w:ascii="宋体" w:hAnsi="宋体" w:eastAsia="宋体" w:cs="宋体"/>
          <w:iCs/>
          <w:color w:val="auto"/>
          <w:sz w:val="21"/>
          <w:szCs w:val="21"/>
          <w:highlight w:val="none"/>
          <w:lang w:val="en-US" w:eastAsia="zh-CN" w:bidi="ar-SA"/>
        </w:rPr>
        <w:t>部分由外国投资者投资</w:t>
      </w:r>
    </w:p>
    <w:p w14:paraId="3678F9F3">
      <w:pPr>
        <w:numPr>
          <w:ilvl w:val="-1"/>
          <w:numId w:val="0"/>
        </w:numPr>
        <w:autoSpaceDE/>
        <w:autoSpaceDN/>
        <w:adjustRightInd w:val="0"/>
        <w:snapToGrid w:val="0"/>
        <w:spacing w:before="0" w:beforeLines="0" w:line="400" w:lineRule="exact"/>
        <w:ind w:firstLine="420" w:firstLineChars="200"/>
        <w:rPr>
          <w:rFonts w:hint="eastAsia" w:ascii="宋体" w:hAnsi="宋体" w:eastAsia="宋体" w:cs="宋体"/>
          <w:b w:val="0"/>
          <w:bCs w:val="0"/>
          <w:color w:val="auto"/>
          <w:kern w:val="2"/>
          <w:sz w:val="21"/>
          <w:szCs w:val="21"/>
          <w:highlight w:val="none"/>
          <w:u w:val="none"/>
          <w:lang w:val="en-US" w:eastAsia="zh-CN"/>
        </w:rPr>
      </w:pPr>
      <w:r>
        <w:rPr>
          <w:rFonts w:hint="eastAsia" w:ascii="宋体" w:hAnsi="宋体" w:eastAsia="宋体" w:cs="宋体"/>
          <w:b w:val="0"/>
          <w:bCs w:val="0"/>
          <w:color w:val="auto"/>
          <w:kern w:val="2"/>
          <w:sz w:val="21"/>
          <w:szCs w:val="21"/>
          <w:highlight w:val="none"/>
          <w:u w:val="none"/>
          <w:lang w:val="en-US" w:eastAsia="zh-CN"/>
        </w:rPr>
        <w:t>（</w:t>
      </w:r>
      <w:r>
        <w:rPr>
          <w:rFonts w:hint="eastAsia" w:ascii="宋体" w:hAnsi="宋体" w:eastAsia="宋体" w:cs="宋体"/>
          <w:b w:val="0"/>
          <w:bCs w:val="0"/>
          <w:color w:val="auto"/>
          <w:kern w:val="2"/>
          <w:sz w:val="21"/>
          <w:szCs w:val="21"/>
          <w:highlight w:val="none"/>
          <w:u w:val="none"/>
          <w:lang w:val="en" w:eastAsia="zh-CN"/>
        </w:rPr>
        <w:t>9</w:t>
      </w:r>
      <w:r>
        <w:rPr>
          <w:rFonts w:hint="eastAsia" w:ascii="宋体" w:hAnsi="宋体" w:eastAsia="宋体" w:cs="宋体"/>
          <w:b w:val="0"/>
          <w:bCs w:val="0"/>
          <w:color w:val="auto"/>
          <w:kern w:val="2"/>
          <w:sz w:val="21"/>
          <w:szCs w:val="21"/>
          <w:highlight w:val="none"/>
          <w:u w:val="none"/>
          <w:lang w:val="en-US" w:eastAsia="zh-CN"/>
        </w:rPr>
        <w:t>）是否涉及进口产品：</w:t>
      </w:r>
    </w:p>
    <w:p w14:paraId="158ED47C">
      <w:pPr>
        <w:numPr>
          <w:ilvl w:val="-1"/>
          <w:numId w:val="0"/>
        </w:numPr>
        <w:autoSpaceDE/>
        <w:autoSpaceDN/>
        <w:adjustRightInd w:val="0"/>
        <w:snapToGrid w:val="0"/>
        <w:spacing w:before="0" w:beforeLines="0" w:line="400" w:lineRule="exact"/>
        <w:ind w:firstLine="840" w:firstLineChars="400"/>
        <w:rPr>
          <w:rFonts w:hint="eastAsia" w:ascii="宋体" w:hAnsi="宋体" w:eastAsia="宋体" w:cs="宋体"/>
          <w:color w:val="auto"/>
          <w:kern w:val="2"/>
          <w:sz w:val="21"/>
          <w:szCs w:val="21"/>
          <w:highlight w:val="none"/>
          <w:u w:val="single"/>
          <w:lang w:val="en-US" w:eastAsia="zh-CN"/>
        </w:rPr>
      </w:pPr>
      <w:r>
        <w:rPr>
          <w:rFonts w:hint="eastAsia" w:ascii="宋体" w:hAnsi="宋体" w:eastAsia="宋体" w:cs="宋体"/>
          <w:iCs w:val="0"/>
          <w:color w:val="auto"/>
          <w:kern w:val="2"/>
          <w:sz w:val="21"/>
          <w:szCs w:val="21"/>
          <w:highlight w:val="none"/>
          <w:lang w:val="en-US" w:eastAsia="zh-CN"/>
        </w:rPr>
        <w:t xml:space="preserve">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rPr>
        <w:t>是</w:t>
      </w:r>
      <w:r>
        <w:rPr>
          <w:rFonts w:hint="eastAsia" w:ascii="宋体" w:hAnsi="宋体" w:eastAsia="宋体" w:cs="宋体"/>
          <w:iCs w:val="0"/>
          <w:color w:val="auto"/>
          <w:kern w:val="2"/>
          <w:sz w:val="21"/>
          <w:szCs w:val="21"/>
          <w:highlight w:val="none"/>
          <w:lang w:eastAsia="zh-CN"/>
        </w:rPr>
        <w:t>，《政府采购品目分类目录》底级品目名称</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 xml:space="preserve"> 金额：</w:t>
      </w:r>
      <w:r>
        <w:rPr>
          <w:rFonts w:hint="eastAsia" w:ascii="宋体" w:hAnsi="宋体" w:eastAsia="宋体" w:cs="宋体"/>
          <w:color w:val="auto"/>
          <w:kern w:val="2"/>
          <w:sz w:val="21"/>
          <w:szCs w:val="21"/>
          <w:highlight w:val="none"/>
          <w:u w:val="single"/>
          <w:lang w:val="en-US" w:eastAsia="zh-CN"/>
        </w:rPr>
        <w:t xml:space="preserve">        </w:t>
      </w:r>
    </w:p>
    <w:p w14:paraId="3333668C">
      <w:pPr>
        <w:numPr>
          <w:ilvl w:val="-1"/>
          <w:numId w:val="0"/>
        </w:numPr>
        <w:autoSpaceDE/>
        <w:autoSpaceDN/>
        <w:adjustRightInd w:val="0"/>
        <w:snapToGrid w:val="0"/>
        <w:spacing w:before="0" w:beforeLines="0" w:line="400" w:lineRule="exact"/>
        <w:ind w:firstLine="840" w:firstLineChars="400"/>
        <w:rPr>
          <w:rFonts w:hint="eastAsia" w:ascii="宋体" w:hAnsi="宋体" w:eastAsia="宋体" w:cs="宋体"/>
          <w:iCs w:val="0"/>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国别：</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 xml:space="preserve"> 品牌：</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none"/>
          <w:lang w:val="en-US" w:eastAsia="zh-CN"/>
        </w:rPr>
        <w:t xml:space="preserve"> 规格型号：</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iCs w:val="0"/>
          <w:color w:val="auto"/>
          <w:kern w:val="2"/>
          <w:sz w:val="21"/>
          <w:szCs w:val="21"/>
          <w:highlight w:val="none"/>
        </w:rPr>
        <w:t xml:space="preserve">      </w:t>
      </w:r>
    </w:p>
    <w:p w14:paraId="2F868BE1">
      <w:pPr>
        <w:autoSpaceDE/>
        <w:autoSpaceDN/>
        <w:adjustRightInd w:val="0"/>
        <w:snapToGrid w:val="0"/>
        <w:spacing w:before="0" w:beforeLines="0" w:line="400" w:lineRule="exact"/>
        <w:ind w:firstLine="840" w:firstLineChars="400"/>
        <w:rPr>
          <w:rFonts w:hint="eastAsia" w:ascii="宋体" w:hAnsi="宋体" w:eastAsia="宋体" w:cs="宋体"/>
          <w:color w:val="auto"/>
          <w:kern w:val="2"/>
          <w:sz w:val="21"/>
          <w:szCs w:val="21"/>
          <w:highlight w:val="none"/>
          <w:u w:val="none"/>
          <w:lang w:val="en-US" w:eastAsia="zh-CN"/>
        </w:rPr>
      </w:pPr>
      <w:r>
        <w:rPr>
          <w:rFonts w:hint="eastAsia" w:ascii="宋体" w:hAnsi="宋体" w:eastAsia="宋体" w:cs="宋体"/>
          <w:iCs w:val="0"/>
          <w:color w:val="auto"/>
          <w:kern w:val="2"/>
          <w:sz w:val="21"/>
          <w:szCs w:val="21"/>
          <w:highlight w:val="none"/>
          <w:lang w:val="en-US" w:eastAsia="zh-CN"/>
        </w:rPr>
        <w:t xml:space="preserve">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lang w:eastAsia="zh-CN"/>
        </w:rPr>
        <w:t>否</w:t>
      </w:r>
    </w:p>
    <w:p w14:paraId="29B30414">
      <w:pPr>
        <w:numPr>
          <w:ilvl w:val="-1"/>
          <w:numId w:val="0"/>
        </w:numPr>
        <w:tabs>
          <w:tab w:val="left" w:pos="740"/>
        </w:tabs>
        <w:autoSpaceDE/>
        <w:autoSpaceDN/>
        <w:adjustRightInd w:val="0"/>
        <w:snapToGrid w:val="0"/>
        <w:spacing w:before="0" w:beforeLines="0" w:line="400" w:lineRule="exact"/>
        <w:ind w:left="0" w:firstLine="0" w:firstLineChars="0"/>
        <w:rPr>
          <w:rFonts w:hint="eastAsia" w:ascii="宋体" w:hAnsi="宋体" w:eastAsia="宋体" w:cs="宋体"/>
          <w:b w:val="0"/>
          <w:bCs w:val="0"/>
          <w:color w:val="auto"/>
          <w:kern w:val="2"/>
          <w:sz w:val="21"/>
          <w:szCs w:val="21"/>
          <w:highlight w:val="none"/>
          <w:u w:val="none"/>
          <w:lang w:val="en-US" w:eastAsia="zh-CN"/>
        </w:rPr>
      </w:pPr>
      <w:r>
        <w:rPr>
          <w:rFonts w:hint="eastAsia" w:ascii="宋体" w:hAnsi="宋体" w:eastAsia="宋体" w:cs="宋体"/>
          <w:b w:val="0"/>
          <w:bCs w:val="0"/>
          <w:color w:val="auto"/>
          <w:kern w:val="2"/>
          <w:sz w:val="21"/>
          <w:szCs w:val="21"/>
          <w:highlight w:val="none"/>
          <w:u w:val="none"/>
          <w:lang w:val="en-US" w:eastAsia="zh-CN"/>
        </w:rPr>
        <w:t xml:space="preserve">    （1</w:t>
      </w:r>
      <w:r>
        <w:rPr>
          <w:rFonts w:hint="eastAsia" w:ascii="宋体" w:hAnsi="宋体" w:eastAsia="宋体" w:cs="宋体"/>
          <w:b w:val="0"/>
          <w:bCs w:val="0"/>
          <w:color w:val="auto"/>
          <w:kern w:val="2"/>
          <w:sz w:val="21"/>
          <w:szCs w:val="21"/>
          <w:highlight w:val="none"/>
          <w:u w:val="none"/>
          <w:lang w:val="en" w:eastAsia="zh-CN"/>
        </w:rPr>
        <w:t>0</w:t>
      </w:r>
      <w:r>
        <w:rPr>
          <w:rFonts w:hint="eastAsia" w:ascii="宋体" w:hAnsi="宋体" w:eastAsia="宋体" w:cs="宋体"/>
          <w:b w:val="0"/>
          <w:bCs w:val="0"/>
          <w:color w:val="auto"/>
          <w:kern w:val="2"/>
          <w:sz w:val="21"/>
          <w:szCs w:val="21"/>
          <w:highlight w:val="none"/>
          <w:u w:val="none"/>
          <w:lang w:val="en-US" w:eastAsia="zh-CN"/>
        </w:rPr>
        <w:t>）是否涉及节能产品：</w:t>
      </w:r>
    </w:p>
    <w:p w14:paraId="17BB281F">
      <w:pPr>
        <w:numPr>
          <w:ilvl w:val="-1"/>
          <w:numId w:val="0"/>
        </w:numPr>
        <w:tabs>
          <w:tab w:val="left" w:pos="740"/>
        </w:tabs>
        <w:autoSpaceDE/>
        <w:autoSpaceDN/>
        <w:adjustRightInd w:val="0"/>
        <w:snapToGrid w:val="0"/>
        <w:spacing w:before="0" w:beforeLines="0" w:line="400" w:lineRule="exact"/>
        <w:ind w:firstLine="0" w:firstLineChars="0"/>
        <w:rPr>
          <w:rFonts w:hint="eastAsia" w:ascii="宋体" w:hAnsi="宋体" w:eastAsia="宋体" w:cs="宋体"/>
          <w:iCs/>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u w:val="none"/>
          <w:lang w:val="en-US" w:eastAsia="zh-CN"/>
        </w:rPr>
        <w:t xml:space="preserve">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rPr>
        <w:t>是</w:t>
      </w:r>
      <w:r>
        <w:rPr>
          <w:rFonts w:hint="eastAsia" w:ascii="宋体" w:hAnsi="宋体" w:eastAsia="宋体" w:cs="宋体"/>
          <w:iCs w:val="0"/>
          <w:color w:val="auto"/>
          <w:kern w:val="2"/>
          <w:sz w:val="21"/>
          <w:szCs w:val="21"/>
          <w:highlight w:val="none"/>
          <w:lang w:eastAsia="zh-CN"/>
        </w:rPr>
        <w:t>，《节能产品政府采购品目清单》的底级品目名称：</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iCs/>
          <w:color w:val="auto"/>
          <w:kern w:val="2"/>
          <w:sz w:val="21"/>
          <w:szCs w:val="21"/>
          <w:highlight w:val="none"/>
          <w:lang w:val="en-US" w:eastAsia="zh-CN"/>
        </w:rPr>
        <w:t xml:space="preserve">     </w:t>
      </w:r>
    </w:p>
    <w:p w14:paraId="49DC4FC8">
      <w:pPr>
        <w:numPr>
          <w:ilvl w:val="-1"/>
          <w:numId w:val="0"/>
        </w:numPr>
        <w:tabs>
          <w:tab w:val="left" w:pos="740"/>
        </w:tabs>
        <w:autoSpaceDE/>
        <w:autoSpaceDN/>
        <w:adjustRightInd w:val="0"/>
        <w:snapToGrid w:val="0"/>
        <w:spacing w:before="0" w:beforeLines="0" w:line="400" w:lineRule="exact"/>
        <w:ind w:firstLine="0" w:firstLineChars="0"/>
        <w:rPr>
          <w:rFonts w:hint="eastAsia" w:ascii="宋体" w:hAnsi="宋体" w:eastAsia="宋体" w:cs="宋体"/>
          <w:iCs/>
          <w:color w:val="auto"/>
          <w:kern w:val="2"/>
          <w:sz w:val="21"/>
          <w:szCs w:val="21"/>
          <w:highlight w:val="none"/>
          <w:lang w:val="en-US" w:eastAsia="zh-CN"/>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强制采购</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优先采购</w:t>
      </w:r>
      <w:r>
        <w:rPr>
          <w:rFonts w:hint="eastAsia" w:ascii="宋体" w:hAnsi="宋体" w:eastAsia="宋体" w:cs="宋体"/>
          <w:iCs/>
          <w:color w:val="auto"/>
          <w:kern w:val="2"/>
          <w:sz w:val="21"/>
          <w:szCs w:val="21"/>
          <w:highlight w:val="none"/>
          <w:lang w:val="en-US" w:eastAsia="zh-CN"/>
        </w:rPr>
        <w:t xml:space="preserve">    </w:t>
      </w:r>
    </w:p>
    <w:p w14:paraId="7165AD90">
      <w:pPr>
        <w:numPr>
          <w:ilvl w:val="-1"/>
          <w:numId w:val="0"/>
        </w:numPr>
        <w:tabs>
          <w:tab w:val="left" w:pos="740"/>
        </w:tabs>
        <w:autoSpaceDE/>
        <w:autoSpaceDN/>
        <w:adjustRightInd w:val="0"/>
        <w:snapToGrid w:val="0"/>
        <w:spacing w:before="0" w:beforeLines="0" w:line="400" w:lineRule="exact"/>
        <w:ind w:firstLine="0" w:firstLineChars="0"/>
        <w:rPr>
          <w:rFonts w:hint="eastAsia" w:ascii="宋体" w:hAnsi="宋体" w:eastAsia="宋体" w:cs="宋体"/>
          <w:iCs w:val="0"/>
          <w:color w:val="auto"/>
          <w:kern w:val="2"/>
          <w:sz w:val="21"/>
          <w:szCs w:val="21"/>
          <w:highlight w:val="none"/>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rPr>
        <w:t>否</w:t>
      </w:r>
    </w:p>
    <w:p w14:paraId="614F1EF5">
      <w:pPr>
        <w:numPr>
          <w:ilvl w:val="-1"/>
          <w:numId w:val="0"/>
        </w:numPr>
        <w:tabs>
          <w:tab w:val="left" w:pos="740"/>
        </w:tabs>
        <w:autoSpaceDE/>
        <w:autoSpaceDN/>
        <w:adjustRightInd w:val="0"/>
        <w:snapToGrid w:val="0"/>
        <w:spacing w:before="0" w:beforeLines="0" w:line="400" w:lineRule="exact"/>
        <w:ind w:left="0" w:firstLine="0" w:firstLineChars="0"/>
        <w:rPr>
          <w:rFonts w:hint="eastAsia" w:ascii="宋体" w:hAnsi="宋体" w:eastAsia="宋体" w:cs="宋体"/>
          <w:b w:val="0"/>
          <w:bCs w:val="0"/>
          <w:color w:val="auto"/>
          <w:kern w:val="2"/>
          <w:sz w:val="21"/>
          <w:szCs w:val="21"/>
          <w:highlight w:val="none"/>
          <w:u w:val="none"/>
          <w:lang w:val="en-US" w:eastAsia="zh-CN"/>
        </w:rPr>
      </w:pPr>
      <w:r>
        <w:rPr>
          <w:rFonts w:hint="eastAsia" w:ascii="宋体" w:hAnsi="宋体" w:eastAsia="宋体" w:cs="宋体"/>
          <w:b w:val="0"/>
          <w:bCs w:val="0"/>
          <w:color w:val="auto"/>
          <w:kern w:val="2"/>
          <w:sz w:val="21"/>
          <w:szCs w:val="21"/>
          <w:highlight w:val="none"/>
          <w:u w:val="none"/>
          <w:lang w:val="en-US" w:eastAsia="zh-CN"/>
        </w:rPr>
        <w:t xml:space="preserve">          是否涉及环境标志产品：</w:t>
      </w:r>
    </w:p>
    <w:p w14:paraId="09E05CBA">
      <w:pPr>
        <w:numPr>
          <w:ilvl w:val="-1"/>
          <w:numId w:val="0"/>
        </w:numPr>
        <w:tabs>
          <w:tab w:val="left" w:pos="740"/>
        </w:tabs>
        <w:autoSpaceDE/>
        <w:autoSpaceDN/>
        <w:adjustRightInd w:val="0"/>
        <w:snapToGrid w:val="0"/>
        <w:spacing w:before="0" w:beforeLines="0" w:line="400" w:lineRule="exact"/>
        <w:ind w:firstLine="0" w:firstLineChars="0"/>
        <w:rPr>
          <w:rFonts w:hint="eastAsia" w:ascii="宋体" w:hAnsi="宋体" w:eastAsia="宋体" w:cs="宋体"/>
          <w:i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u w:val="none"/>
          <w:lang w:val="en-US" w:eastAsia="zh-CN"/>
        </w:rPr>
        <w:t xml:space="preserve">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rPr>
        <w:t>是</w:t>
      </w:r>
      <w:r>
        <w:rPr>
          <w:rFonts w:hint="eastAsia" w:ascii="宋体" w:hAnsi="宋体" w:eastAsia="宋体" w:cs="宋体"/>
          <w:iCs w:val="0"/>
          <w:color w:val="auto"/>
          <w:kern w:val="2"/>
          <w:sz w:val="21"/>
          <w:szCs w:val="21"/>
          <w:highlight w:val="none"/>
          <w:lang w:eastAsia="zh-CN"/>
        </w:rPr>
        <w:t>，《环境标志产品政府采购品目清单》的底级品目名称：</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iCs/>
          <w:color w:val="auto"/>
          <w:kern w:val="2"/>
          <w:sz w:val="21"/>
          <w:szCs w:val="21"/>
          <w:highlight w:val="none"/>
          <w:lang w:val="en-US" w:eastAsia="zh-CN"/>
        </w:rPr>
        <w:t xml:space="preserve"> </w:t>
      </w:r>
    </w:p>
    <w:p w14:paraId="522F082F">
      <w:pPr>
        <w:numPr>
          <w:ilvl w:val="-1"/>
          <w:numId w:val="0"/>
        </w:numPr>
        <w:tabs>
          <w:tab w:val="left" w:pos="740"/>
        </w:tabs>
        <w:autoSpaceDE/>
        <w:autoSpaceDN/>
        <w:adjustRightInd w:val="0"/>
        <w:snapToGrid w:val="0"/>
        <w:spacing w:before="0" w:beforeLines="0" w:line="400" w:lineRule="exact"/>
        <w:ind w:firstLine="0" w:firstLineChars="0"/>
        <w:rPr>
          <w:rFonts w:hint="eastAsia" w:ascii="宋体" w:hAnsi="宋体" w:eastAsia="宋体" w:cs="宋体"/>
          <w:iCs/>
          <w:color w:val="auto"/>
          <w:kern w:val="2"/>
          <w:sz w:val="21"/>
          <w:szCs w:val="21"/>
          <w:highlight w:val="none"/>
          <w:lang w:val="en-US" w:eastAsia="zh-CN"/>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强制采购</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优先采购</w:t>
      </w:r>
      <w:r>
        <w:rPr>
          <w:rFonts w:hint="eastAsia" w:ascii="宋体" w:hAnsi="宋体" w:eastAsia="宋体" w:cs="宋体"/>
          <w:iCs/>
          <w:color w:val="auto"/>
          <w:kern w:val="2"/>
          <w:sz w:val="21"/>
          <w:szCs w:val="21"/>
          <w:highlight w:val="none"/>
          <w:lang w:val="en-US" w:eastAsia="zh-CN"/>
        </w:rPr>
        <w:t xml:space="preserve">    </w:t>
      </w:r>
    </w:p>
    <w:p w14:paraId="26D9199E">
      <w:pPr>
        <w:numPr>
          <w:ilvl w:val="-1"/>
          <w:numId w:val="0"/>
        </w:numPr>
        <w:tabs>
          <w:tab w:val="left" w:pos="740"/>
        </w:tabs>
        <w:autoSpaceDE/>
        <w:autoSpaceDN/>
        <w:adjustRightInd w:val="0"/>
        <w:snapToGrid w:val="0"/>
        <w:spacing w:before="0" w:beforeLines="0" w:line="400" w:lineRule="exact"/>
        <w:ind w:firstLine="0" w:firstLineChars="0"/>
        <w:rPr>
          <w:rFonts w:hint="eastAsia" w:ascii="宋体" w:hAnsi="宋体" w:eastAsia="宋体" w:cs="宋体"/>
          <w:b w:val="0"/>
          <w:bCs w:val="0"/>
          <w:color w:val="auto"/>
          <w:kern w:val="2"/>
          <w:sz w:val="21"/>
          <w:szCs w:val="21"/>
          <w:highlight w:val="none"/>
          <w:u w:val="none"/>
          <w:lang w:val="en-US" w:eastAsia="zh-CN"/>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rPr>
        <w:t>否</w:t>
      </w:r>
    </w:p>
    <w:p w14:paraId="76BB6FA7">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color w:val="auto"/>
          <w:kern w:val="2"/>
          <w:sz w:val="21"/>
          <w:szCs w:val="21"/>
          <w:highlight w:val="none"/>
          <w:u w:val="none"/>
          <w:lang w:val="en-US" w:eastAsia="zh-CN" w:bidi="ar-SA"/>
        </w:rPr>
      </w:pPr>
      <w:r>
        <w:rPr>
          <w:rFonts w:hint="eastAsia" w:ascii="宋体" w:hAnsi="宋体" w:eastAsia="宋体" w:cs="宋体"/>
          <w:b w:val="0"/>
          <w:bCs w:val="0"/>
          <w:color w:val="auto"/>
          <w:sz w:val="21"/>
          <w:szCs w:val="21"/>
          <w:highlight w:val="none"/>
          <w:u w:val="none"/>
          <w:lang w:val="en-US" w:eastAsia="zh-CN" w:bidi="ar-SA"/>
        </w:rPr>
        <w:t xml:space="preserve">          </w:t>
      </w:r>
      <w:r>
        <w:rPr>
          <w:rFonts w:hint="eastAsia" w:ascii="宋体" w:hAnsi="宋体" w:eastAsia="宋体" w:cs="宋体"/>
          <w:b w:val="0"/>
          <w:bCs w:val="0"/>
          <w:color w:val="auto"/>
          <w:kern w:val="2"/>
          <w:sz w:val="21"/>
          <w:szCs w:val="21"/>
          <w:highlight w:val="none"/>
          <w:u w:val="none"/>
          <w:lang w:val="en-US" w:eastAsia="zh-CN" w:bidi="ar-SA"/>
        </w:rPr>
        <w:t>是否涉及绿色产品：</w:t>
      </w:r>
      <w:r>
        <w:rPr>
          <w:rFonts w:hint="eastAsia" w:ascii="宋体" w:hAnsi="宋体" w:eastAsia="宋体" w:cs="宋体"/>
          <w:iCs w:val="0"/>
          <w:color w:val="auto"/>
          <w:kern w:val="2"/>
          <w:sz w:val="21"/>
          <w:szCs w:val="21"/>
          <w:highlight w:val="none"/>
          <w:u w:val="none"/>
          <w:lang w:val="en-US" w:eastAsia="zh-CN" w:bidi="ar-SA"/>
        </w:rPr>
        <w:t xml:space="preserve"> </w:t>
      </w:r>
    </w:p>
    <w:p w14:paraId="1965CB32">
      <w:pPr>
        <w:autoSpaceDE w:val="0"/>
        <w:autoSpaceDN w:val="0"/>
        <w:adjustRightInd w:val="0"/>
        <w:spacing w:beforeLines="0" w:line="400" w:lineRule="exact"/>
        <w:ind w:firstLine="420" w:firstLineChars="0"/>
        <w:rPr>
          <w:rFonts w:hint="eastAsia" w:ascii="宋体" w:hAnsi="宋体" w:eastAsia="宋体" w:cs="宋体"/>
          <w:color w:val="auto"/>
          <w:sz w:val="21"/>
          <w:szCs w:val="21"/>
          <w:highlight w:val="none"/>
          <w:u w:val="single"/>
          <w:lang w:val="en-US" w:eastAsia="zh-CN" w:bidi="ar-SA"/>
        </w:rPr>
      </w:pPr>
      <w:r>
        <w:rPr>
          <w:rFonts w:hint="eastAsia" w:ascii="宋体" w:hAnsi="宋体" w:eastAsia="宋体" w:cs="宋体"/>
          <w:iCs w:val="0"/>
          <w:color w:val="auto"/>
          <w:kern w:val="2"/>
          <w:sz w:val="21"/>
          <w:szCs w:val="21"/>
          <w:highlight w:val="none"/>
          <w:u w:val="none"/>
          <w:lang w:val="en-US" w:eastAsia="zh-CN" w:bidi="ar-SA"/>
        </w:rPr>
        <w:t xml:space="preserve">     </w:t>
      </w:r>
      <w:r>
        <w:rPr>
          <w:rFonts w:hint="eastAsia" w:ascii="宋体" w:hAnsi="宋体" w:eastAsia="宋体" w:cs="宋体"/>
          <w:iCs w:val="0"/>
          <w:color w:val="auto"/>
          <w:kern w:val="2"/>
          <w:sz w:val="21"/>
          <w:szCs w:val="21"/>
          <w:highlight w:val="none"/>
          <w:u w:val="none"/>
          <w:lang w:val="en-US" w:eastAsia="zh-CN" w:bidi="ar-SA"/>
        </w:rPr>
        <w:sym w:font="Wingdings" w:char="00A8"/>
      </w:r>
      <w:r>
        <w:rPr>
          <w:rFonts w:hint="eastAsia" w:ascii="宋体" w:hAnsi="宋体" w:eastAsia="宋体" w:cs="宋体"/>
          <w:iCs w:val="0"/>
          <w:color w:val="auto"/>
          <w:kern w:val="2"/>
          <w:sz w:val="21"/>
          <w:szCs w:val="21"/>
          <w:highlight w:val="none"/>
          <w:u w:val="none"/>
          <w:lang w:val="en-US" w:eastAsia="zh-CN" w:bidi="ar-SA"/>
        </w:rPr>
        <w:t>是，绿色产品政府采购相关政策确定的底级品目名称：</w:t>
      </w:r>
      <w:r>
        <w:rPr>
          <w:rFonts w:hint="eastAsia" w:ascii="宋体" w:hAnsi="宋体" w:eastAsia="宋体" w:cs="宋体"/>
          <w:color w:val="auto"/>
          <w:sz w:val="21"/>
          <w:szCs w:val="21"/>
          <w:highlight w:val="none"/>
          <w:u w:val="single"/>
          <w:lang w:val="en-US" w:eastAsia="zh-CN" w:bidi="ar-SA"/>
        </w:rPr>
        <w:t xml:space="preserve">         </w:t>
      </w:r>
    </w:p>
    <w:p w14:paraId="01D2B2B4">
      <w:pPr>
        <w:numPr>
          <w:ilvl w:val="-1"/>
          <w:numId w:val="0"/>
        </w:numPr>
        <w:tabs>
          <w:tab w:val="left" w:pos="740"/>
        </w:tabs>
        <w:autoSpaceDE/>
        <w:autoSpaceDN/>
        <w:adjustRightInd w:val="0"/>
        <w:snapToGrid w:val="0"/>
        <w:spacing w:before="0" w:beforeLines="0" w:line="400" w:lineRule="exact"/>
        <w:ind w:firstLine="0" w:firstLineChars="0"/>
        <w:rPr>
          <w:rFonts w:hint="eastAsia" w:ascii="宋体" w:hAnsi="宋体" w:eastAsia="宋体" w:cs="宋体"/>
          <w:iCs/>
          <w:color w:val="auto"/>
          <w:kern w:val="2"/>
          <w:sz w:val="21"/>
          <w:szCs w:val="21"/>
          <w:highlight w:val="none"/>
          <w:lang w:val="en-US" w:eastAsia="zh-CN"/>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强制采购</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优先采购</w:t>
      </w:r>
      <w:r>
        <w:rPr>
          <w:rFonts w:hint="eastAsia" w:ascii="宋体" w:hAnsi="宋体" w:eastAsia="宋体" w:cs="宋体"/>
          <w:iCs/>
          <w:color w:val="auto"/>
          <w:kern w:val="2"/>
          <w:sz w:val="21"/>
          <w:szCs w:val="21"/>
          <w:highlight w:val="none"/>
          <w:lang w:val="en-US" w:eastAsia="zh-CN"/>
        </w:rPr>
        <w:t xml:space="preserve">    </w:t>
      </w:r>
    </w:p>
    <w:p w14:paraId="57F0C3BA">
      <w:pPr>
        <w:autoSpaceDE w:val="0"/>
        <w:autoSpaceDN w:val="0"/>
        <w:adjustRightInd w:val="0"/>
        <w:spacing w:beforeLines="0" w:line="400" w:lineRule="exact"/>
        <w:ind w:firstLine="420" w:firstLineChars="0"/>
        <w:rPr>
          <w:rFonts w:hint="eastAsia" w:ascii="宋体" w:hAnsi="宋体" w:eastAsia="宋体" w:cs="宋体"/>
          <w:b w:val="0"/>
          <w:bCs w:val="0"/>
          <w:color w:val="auto"/>
          <w:sz w:val="21"/>
          <w:szCs w:val="21"/>
          <w:highlight w:val="none"/>
          <w:u w:val="none"/>
          <w:lang w:val="en-US" w:eastAsia="zh-CN" w:bidi="ar-SA"/>
        </w:rPr>
      </w:pPr>
      <w:r>
        <w:rPr>
          <w:rFonts w:hint="eastAsia" w:ascii="宋体" w:hAnsi="宋体" w:eastAsia="宋体" w:cs="宋体"/>
          <w:iCs w:val="0"/>
          <w:color w:val="auto"/>
          <w:kern w:val="2"/>
          <w:sz w:val="21"/>
          <w:szCs w:val="21"/>
          <w:highlight w:val="none"/>
          <w:u w:val="none"/>
          <w:lang w:val="en-US" w:eastAsia="zh-CN" w:bidi="ar-SA"/>
        </w:rPr>
        <w:t xml:space="preserve">     </w:t>
      </w:r>
      <w:r>
        <w:rPr>
          <w:rFonts w:hint="eastAsia" w:ascii="宋体" w:hAnsi="宋体" w:eastAsia="宋体" w:cs="宋体"/>
          <w:iCs w:val="0"/>
          <w:color w:val="auto"/>
          <w:kern w:val="2"/>
          <w:sz w:val="21"/>
          <w:szCs w:val="21"/>
          <w:highlight w:val="none"/>
          <w:u w:val="none"/>
          <w:lang w:val="en-US" w:eastAsia="zh-CN" w:bidi="ar-SA"/>
        </w:rPr>
        <w:sym w:font="Wingdings" w:char="00A8"/>
      </w:r>
      <w:r>
        <w:rPr>
          <w:rFonts w:hint="eastAsia" w:ascii="宋体" w:hAnsi="宋体" w:eastAsia="宋体" w:cs="宋体"/>
          <w:iCs w:val="0"/>
          <w:color w:val="auto"/>
          <w:kern w:val="2"/>
          <w:sz w:val="21"/>
          <w:szCs w:val="21"/>
          <w:highlight w:val="none"/>
          <w:u w:val="none"/>
          <w:lang w:val="en-US" w:eastAsia="zh-CN" w:bidi="ar-SA"/>
        </w:rPr>
        <w:t>否</w:t>
      </w:r>
    </w:p>
    <w:p w14:paraId="469A8CCD">
      <w:pPr>
        <w:numPr>
          <w:ilvl w:val="-1"/>
          <w:numId w:val="0"/>
        </w:numPr>
        <w:autoSpaceDE/>
        <w:autoSpaceDN/>
        <w:adjustRightInd w:val="0"/>
        <w:snapToGrid w:val="0"/>
        <w:spacing w:before="0" w:beforeLines="0" w:line="400" w:lineRule="exact"/>
        <w:ind w:firstLine="0" w:firstLine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    （1</w:t>
      </w:r>
      <w:r>
        <w:rPr>
          <w:rFonts w:hint="eastAsia" w:ascii="宋体" w:hAnsi="宋体" w:eastAsia="宋体" w:cs="宋体"/>
          <w:color w:val="auto"/>
          <w:kern w:val="2"/>
          <w:sz w:val="21"/>
          <w:szCs w:val="21"/>
          <w:highlight w:val="none"/>
          <w:lang w:val="en" w:eastAsia="zh-CN"/>
        </w:rPr>
        <w:t>1</w:t>
      </w:r>
      <w:r>
        <w:rPr>
          <w:rFonts w:hint="eastAsia" w:ascii="宋体" w:hAnsi="宋体" w:eastAsia="宋体" w:cs="宋体"/>
          <w:color w:val="auto"/>
          <w:kern w:val="2"/>
          <w:sz w:val="21"/>
          <w:szCs w:val="21"/>
          <w:highlight w:val="none"/>
          <w:lang w:val="en-US" w:eastAsia="zh-CN"/>
        </w:rPr>
        <w:t>）涉及商品包装和快递包装的，是否参考</w:t>
      </w:r>
      <w:r>
        <w:rPr>
          <w:rFonts w:hint="eastAsia" w:ascii="宋体" w:hAnsi="宋体" w:eastAsia="宋体" w:cs="宋体"/>
          <w:color w:val="auto"/>
          <w:kern w:val="2"/>
          <w:sz w:val="21"/>
          <w:szCs w:val="21"/>
          <w:highlight w:val="none"/>
        </w:rPr>
        <w:t>《商品包装政府采购需求标准（试行）》、《快递包装政府采购需求标准（试行）》</w:t>
      </w:r>
      <w:r>
        <w:rPr>
          <w:rFonts w:hint="eastAsia" w:ascii="宋体" w:hAnsi="宋体" w:eastAsia="宋体" w:cs="宋体"/>
          <w:color w:val="auto"/>
          <w:kern w:val="2"/>
          <w:sz w:val="21"/>
          <w:szCs w:val="21"/>
          <w:highlight w:val="none"/>
          <w:lang w:eastAsia="zh-CN"/>
        </w:rPr>
        <w:t>明确产品及相关快递服务的具体包装要求：</w:t>
      </w:r>
    </w:p>
    <w:p w14:paraId="31637B1F">
      <w:pPr>
        <w:numPr>
          <w:ilvl w:val="-1"/>
          <w:numId w:val="0"/>
        </w:numPr>
        <w:autoSpaceDE/>
        <w:autoSpaceDN/>
        <w:adjustRightInd w:val="0"/>
        <w:snapToGrid w:val="0"/>
        <w:spacing w:before="0" w:beforeLines="0" w:line="400" w:lineRule="exact"/>
        <w:ind w:firstLine="1050" w:firstLineChars="500"/>
        <w:rPr>
          <w:rFonts w:hint="eastAsia" w:ascii="宋体" w:hAnsi="宋体" w:eastAsia="宋体" w:cs="宋体"/>
          <w:iCs w:val="0"/>
          <w:color w:val="auto"/>
          <w:kern w:val="2"/>
          <w:sz w:val="21"/>
          <w:szCs w:val="21"/>
          <w:highlight w:val="none"/>
          <w:lang w:val="en-US" w:eastAsia="zh-CN"/>
        </w:rPr>
      </w:pP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rPr>
        <w:t xml:space="preserve">是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rPr>
        <w:t>否</w:t>
      </w:r>
      <w:r>
        <w:rPr>
          <w:rFonts w:hint="eastAsia" w:ascii="宋体" w:hAnsi="宋体" w:eastAsia="宋体" w:cs="宋体"/>
          <w:iCs w:val="0"/>
          <w:color w:val="auto"/>
          <w:kern w:val="2"/>
          <w:sz w:val="21"/>
          <w:szCs w:val="21"/>
          <w:highlight w:val="none"/>
          <w:lang w:val="en-US" w:eastAsia="zh-CN"/>
        </w:rPr>
        <w:t xml:space="preserve">      </w:t>
      </w:r>
      <w:r>
        <w:rPr>
          <w:rFonts w:hint="eastAsia" w:ascii="宋体" w:hAnsi="宋体" w:eastAsia="宋体" w:cs="宋体"/>
          <w:iCs w:val="0"/>
          <w:color w:val="auto"/>
          <w:kern w:val="2"/>
          <w:sz w:val="21"/>
          <w:szCs w:val="21"/>
          <w:highlight w:val="none"/>
        </w:rPr>
        <w:sym w:font="Wingdings" w:char="00A8"/>
      </w:r>
      <w:r>
        <w:rPr>
          <w:rFonts w:hint="eastAsia" w:ascii="宋体" w:hAnsi="宋体" w:eastAsia="宋体" w:cs="宋体"/>
          <w:iCs w:val="0"/>
          <w:color w:val="auto"/>
          <w:kern w:val="2"/>
          <w:sz w:val="21"/>
          <w:szCs w:val="21"/>
          <w:highlight w:val="none"/>
          <w:lang w:eastAsia="zh-CN"/>
        </w:rPr>
        <w:t>不涉及</w:t>
      </w:r>
    </w:p>
    <w:p w14:paraId="3F1BC9E3">
      <w:pPr>
        <w:numPr>
          <w:ilvl w:val="0"/>
          <w:numId w:val="5"/>
        </w:numPr>
        <w:autoSpaceDE/>
        <w:autoSpaceDN/>
        <w:adjustRightInd w:val="0"/>
        <w:snapToGrid w:val="0"/>
        <w:spacing w:before="0" w:beforeLines="0" w:line="400" w:lineRule="exact"/>
        <w:ind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合同金额</w:t>
      </w:r>
    </w:p>
    <w:p w14:paraId="3AE20D27">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（1）合同金额小写：</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p>
    <w:p w14:paraId="7CD6FDFA">
      <w:pPr>
        <w:autoSpaceDE/>
        <w:autoSpaceDN/>
        <w:adjustRightInd w:val="0"/>
        <w:snapToGrid w:val="0"/>
        <w:spacing w:before="0" w:beforeLines="0" w:line="400" w:lineRule="exact"/>
        <w:ind w:left="0" w:firstLine="0" w:firstLineChars="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t>大写：</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p>
    <w:p w14:paraId="7466BEAA">
      <w:pPr>
        <w:autoSpaceDE/>
        <w:autoSpaceDN/>
        <w:adjustRightInd w:val="0"/>
        <w:snapToGrid w:val="0"/>
        <w:spacing w:before="0" w:beforeLines="0" w:line="400" w:lineRule="exact"/>
        <w:ind w:firstLine="0" w:firstLineChars="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t>分包金额</w:t>
      </w:r>
      <w:r>
        <w:rPr>
          <w:rFonts w:hint="eastAsia" w:ascii="宋体" w:hAnsi="宋体" w:eastAsia="宋体" w:cs="宋体"/>
          <w:color w:val="auto"/>
          <w:kern w:val="2"/>
          <w:sz w:val="21"/>
          <w:szCs w:val="21"/>
          <w:highlight w:val="none"/>
          <w:lang w:eastAsia="zh-CN"/>
        </w:rPr>
        <w:t>（如有）</w:t>
      </w:r>
      <w:r>
        <w:rPr>
          <w:rFonts w:hint="eastAsia" w:ascii="宋体" w:hAnsi="宋体" w:eastAsia="宋体" w:cs="宋体"/>
          <w:color w:val="auto"/>
          <w:kern w:val="2"/>
          <w:sz w:val="21"/>
          <w:szCs w:val="21"/>
          <w:highlight w:val="none"/>
        </w:rPr>
        <w:t>小写：</w:t>
      </w:r>
      <w:r>
        <w:rPr>
          <w:rFonts w:hint="eastAsia" w:ascii="宋体" w:hAnsi="宋体" w:eastAsia="宋体" w:cs="宋体"/>
          <w:color w:val="auto"/>
          <w:kern w:val="2"/>
          <w:sz w:val="21"/>
          <w:szCs w:val="21"/>
          <w:highlight w:val="none"/>
          <w:u w:val="single"/>
        </w:rPr>
        <w:t xml:space="preserve">                   </w:t>
      </w:r>
    </w:p>
    <w:p w14:paraId="0C7CE46D">
      <w:pPr>
        <w:autoSpaceDE/>
        <w:autoSpaceDN/>
        <w:adjustRightInd w:val="0"/>
        <w:snapToGrid w:val="0"/>
        <w:spacing w:before="0" w:beforeLines="0" w:line="400" w:lineRule="exact"/>
        <w:ind w:firstLine="0" w:firstLineChars="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t>大写：</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p>
    <w:p w14:paraId="3F7459D6">
      <w:pPr>
        <w:autoSpaceDE/>
        <w:autoSpaceDN/>
        <w:adjustRightInd w:val="0"/>
        <w:snapToGrid w:val="0"/>
        <w:spacing w:before="0" w:beforeLines="0" w:line="400" w:lineRule="exact"/>
        <w:ind w:firstLine="0" w:firstLine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    （注：固定单价合同应填写单价和最高限价）</w:t>
      </w:r>
    </w:p>
    <w:p w14:paraId="0CD632B1">
      <w:pPr>
        <w:numPr>
          <w:ilvl w:val="-1"/>
          <w:numId w:val="0"/>
        </w:numPr>
        <w:autoSpaceDE/>
        <w:autoSpaceDN/>
        <w:adjustRightInd w:val="0"/>
        <w:snapToGrid w:val="0"/>
        <w:spacing w:before="0" w:beforeLines="0" w:line="400" w:lineRule="exact"/>
        <w:ind w:firstLine="0" w:firstLineChars="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合同定价方式</w:t>
      </w:r>
      <w:r>
        <w:rPr>
          <w:rFonts w:hint="eastAsia" w:ascii="宋体" w:hAnsi="宋体" w:eastAsia="宋体" w:cs="宋体"/>
          <w:color w:val="auto"/>
          <w:kern w:val="2"/>
          <w:sz w:val="21"/>
          <w:szCs w:val="21"/>
          <w:highlight w:val="none"/>
          <w:lang w:eastAsia="zh-CN"/>
        </w:rPr>
        <w:t>（采用组合定价方式的，可以勾选多项）</w:t>
      </w:r>
      <w:r>
        <w:rPr>
          <w:rFonts w:hint="eastAsia" w:ascii="宋体" w:hAnsi="宋体" w:eastAsia="宋体" w:cs="宋体"/>
          <w:color w:val="auto"/>
          <w:kern w:val="2"/>
          <w:sz w:val="21"/>
          <w:szCs w:val="21"/>
          <w:highlight w:val="none"/>
        </w:rPr>
        <w:t>：</w:t>
      </w:r>
    </w:p>
    <w:p w14:paraId="1CCE239E">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固定总价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固定单价</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固定费率</w:t>
      </w:r>
      <w:r>
        <w:rPr>
          <w:rFonts w:hint="eastAsia" w:ascii="宋体" w:hAnsi="宋体" w:eastAsia="宋体" w:cs="宋体"/>
          <w:iCs/>
          <w:color w:val="auto"/>
          <w:kern w:val="2"/>
          <w:sz w:val="21"/>
          <w:szCs w:val="21"/>
          <w:highlight w:val="none"/>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 xml:space="preserve">成本补偿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rPr>
        <w:t>绩效激励</w:t>
      </w:r>
      <w:r>
        <w:rPr>
          <w:rFonts w:hint="eastAsia" w:ascii="宋体" w:hAnsi="宋体" w:eastAsia="宋体" w:cs="宋体"/>
          <w:iCs/>
          <w:color w:val="auto"/>
          <w:kern w:val="2"/>
          <w:sz w:val="21"/>
          <w:szCs w:val="21"/>
          <w:highlight w:val="none"/>
          <w:lang w:val="en-US" w:eastAsia="zh-CN"/>
        </w:rPr>
        <w:t xml:space="preserve"> </w:t>
      </w:r>
      <w:r>
        <w:rPr>
          <w:rFonts w:hint="eastAsia" w:ascii="宋体" w:hAnsi="宋体" w:eastAsia="宋体" w:cs="宋体"/>
          <w:iCs/>
          <w:color w:val="auto"/>
          <w:kern w:val="2"/>
          <w:sz w:val="21"/>
          <w:szCs w:val="21"/>
          <w:highlight w:val="none"/>
        </w:rPr>
        <w:sym w:font="Wingdings" w:char="00A8"/>
      </w:r>
      <w:r>
        <w:rPr>
          <w:rFonts w:hint="eastAsia" w:ascii="宋体" w:hAnsi="宋体" w:eastAsia="宋体" w:cs="宋体"/>
          <w:iCs/>
          <w:color w:val="auto"/>
          <w:kern w:val="2"/>
          <w:sz w:val="21"/>
          <w:szCs w:val="21"/>
          <w:highlight w:val="none"/>
          <w:lang w:eastAsia="zh-CN"/>
        </w:rPr>
        <w:t>其他</w:t>
      </w:r>
      <w:r>
        <w:rPr>
          <w:rFonts w:hint="eastAsia" w:ascii="宋体" w:hAnsi="宋体" w:eastAsia="宋体" w:cs="宋体"/>
          <w:color w:val="auto"/>
          <w:kern w:val="2"/>
          <w:sz w:val="21"/>
          <w:szCs w:val="21"/>
          <w:highlight w:val="none"/>
          <w:u w:val="single"/>
        </w:rPr>
        <w:t xml:space="preserve">       </w:t>
      </w:r>
    </w:p>
    <w:p w14:paraId="0F51C916">
      <w:pPr>
        <w:widowControl w:val="0"/>
        <w:spacing w:beforeLines="0" w:line="40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（3）付款方式（按项目实际勾选填写）：</w:t>
      </w:r>
    </w:p>
    <w:p w14:paraId="684DBB0F">
      <w:pPr>
        <w:autoSpaceDE/>
        <w:autoSpaceDN/>
        <w:adjustRightInd w:val="0"/>
        <w:snapToGrid w:val="0"/>
        <w:spacing w:before="0" w:beforeLines="0" w:line="400" w:lineRule="exact"/>
        <w:ind w:firstLine="630" w:firstLineChars="30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rPr>
        <w:sym w:font="Wingdings" w:char="00A8"/>
      </w:r>
      <w:r>
        <w:rPr>
          <w:rFonts w:hint="eastAsia" w:ascii="宋体" w:hAnsi="宋体" w:eastAsia="宋体" w:cs="宋体"/>
          <w:color w:val="auto"/>
          <w:kern w:val="2"/>
          <w:sz w:val="21"/>
          <w:szCs w:val="21"/>
          <w:highlight w:val="none"/>
        </w:rPr>
        <w:t>全额付款：</w:t>
      </w:r>
      <w:r>
        <w:rPr>
          <w:rFonts w:hint="eastAsia" w:ascii="宋体" w:hAnsi="宋体" w:eastAsia="宋体" w:cs="宋体"/>
          <w:color w:val="auto"/>
          <w:kern w:val="2"/>
          <w:sz w:val="21"/>
          <w:szCs w:val="21"/>
          <w:highlight w:val="none"/>
          <w:u w:val="single"/>
        </w:rPr>
        <w:t xml:space="preserve">     （应</w:t>
      </w:r>
      <w:r>
        <w:rPr>
          <w:rFonts w:hint="eastAsia" w:ascii="宋体" w:hAnsi="宋体" w:eastAsia="宋体" w:cs="宋体"/>
          <w:color w:val="auto"/>
          <w:kern w:val="2"/>
          <w:sz w:val="21"/>
          <w:szCs w:val="21"/>
          <w:highlight w:val="none"/>
          <w:u w:val="single"/>
          <w:lang w:eastAsia="zh-CN"/>
        </w:rPr>
        <w:t>明确</w:t>
      </w:r>
      <w:r>
        <w:rPr>
          <w:rFonts w:hint="eastAsia" w:ascii="宋体" w:hAnsi="宋体" w:eastAsia="宋体" w:cs="宋体"/>
          <w:color w:val="auto"/>
          <w:kern w:val="2"/>
          <w:sz w:val="21"/>
          <w:szCs w:val="21"/>
          <w:highlight w:val="none"/>
          <w:u w:val="single"/>
        </w:rPr>
        <w:t>一次性支付合同款项</w:t>
      </w:r>
      <w:r>
        <w:rPr>
          <w:rFonts w:hint="eastAsia" w:ascii="宋体" w:hAnsi="宋体" w:eastAsia="宋体" w:cs="宋体"/>
          <w:color w:val="auto"/>
          <w:kern w:val="2"/>
          <w:sz w:val="21"/>
          <w:szCs w:val="21"/>
          <w:highlight w:val="none"/>
          <w:u w:val="single"/>
          <w:lang w:eastAsia="zh-CN"/>
        </w:rPr>
        <w:t>的条件</w:t>
      </w:r>
      <w:r>
        <w:rPr>
          <w:rFonts w:hint="eastAsia" w:ascii="宋体" w:hAnsi="宋体" w:eastAsia="宋体" w:cs="宋体"/>
          <w:color w:val="auto"/>
          <w:kern w:val="2"/>
          <w:sz w:val="21"/>
          <w:szCs w:val="21"/>
          <w:highlight w:val="none"/>
          <w:u w:val="single"/>
        </w:rPr>
        <w:t xml:space="preserve">）                    </w:t>
      </w:r>
    </w:p>
    <w:p w14:paraId="07D32B87">
      <w:pPr>
        <w:autoSpaceDE/>
        <w:autoSpaceDN/>
        <w:adjustRightInd/>
        <w:snapToGrid w:val="0"/>
        <w:spacing w:beforeLines="0" w:line="400" w:lineRule="exact"/>
        <w:ind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sym w:font="Wingdings" w:char="00A8"/>
      </w:r>
      <w:r>
        <w:rPr>
          <w:rFonts w:hint="eastAsia" w:ascii="宋体" w:hAnsi="宋体" w:eastAsia="宋体" w:cs="宋体"/>
          <w:color w:val="auto"/>
          <w:kern w:val="2"/>
          <w:sz w:val="21"/>
          <w:szCs w:val="21"/>
          <w:highlight w:val="none"/>
        </w:rPr>
        <w:t>分期付款：</w:t>
      </w:r>
      <w:r>
        <w:rPr>
          <w:rFonts w:hint="eastAsia" w:ascii="宋体" w:hAnsi="宋体" w:eastAsia="宋体" w:cs="宋体"/>
          <w:color w:val="auto"/>
          <w:kern w:val="2"/>
          <w:sz w:val="21"/>
          <w:szCs w:val="21"/>
          <w:highlight w:val="none"/>
          <w:u w:val="single"/>
        </w:rPr>
        <w:t xml:space="preserve">  （应明确分期支付合同款项的各期比例和支付条件</w:t>
      </w:r>
      <w:r>
        <w:rPr>
          <w:rFonts w:hint="eastAsia" w:ascii="宋体" w:hAnsi="宋体" w:eastAsia="宋体" w:cs="宋体"/>
          <w:color w:val="auto"/>
          <w:kern w:val="2"/>
          <w:sz w:val="21"/>
          <w:szCs w:val="21"/>
          <w:highlight w:val="none"/>
          <w:u w:val="single"/>
          <w:lang w:eastAsia="zh-CN"/>
        </w:rPr>
        <w:t>，各期支付条件应与分期履约验收情况挂钩</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none"/>
          <w:lang w:eastAsia="zh-CN"/>
        </w:rPr>
        <w:t>，</w:t>
      </w:r>
      <w:r>
        <w:rPr>
          <w:rFonts w:hint="eastAsia" w:ascii="宋体" w:hAnsi="宋体" w:eastAsia="宋体" w:cs="宋体"/>
          <w:color w:val="auto"/>
          <w:kern w:val="2"/>
          <w:sz w:val="21"/>
          <w:szCs w:val="21"/>
          <w:highlight w:val="none"/>
          <w:lang w:eastAsia="zh-CN"/>
        </w:rPr>
        <w:t>其中涉及预付款的</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u w:val="single"/>
        </w:rPr>
        <w:t xml:space="preserve"> （应明确预付款的支付比例和支付条件） </w:t>
      </w:r>
    </w:p>
    <w:p w14:paraId="0A1A7CCC">
      <w:pPr>
        <w:autoSpaceDE/>
        <w:autoSpaceDN/>
        <w:adjustRightInd w:val="0"/>
        <w:snapToGrid w:val="0"/>
        <w:spacing w:before="0" w:beforeLines="0" w:line="400" w:lineRule="exact"/>
        <w:ind w:firstLine="630" w:firstLineChars="30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rPr>
        <w:sym w:font="Wingdings" w:char="00A8"/>
      </w:r>
      <w:r>
        <w:rPr>
          <w:rFonts w:hint="eastAsia" w:ascii="宋体" w:hAnsi="宋体" w:eastAsia="宋体" w:cs="宋体"/>
          <w:color w:val="auto"/>
          <w:kern w:val="2"/>
          <w:sz w:val="21"/>
          <w:szCs w:val="21"/>
          <w:highlight w:val="none"/>
        </w:rPr>
        <w:t>成本补偿：</w:t>
      </w:r>
      <w:r>
        <w:rPr>
          <w:rFonts w:hint="eastAsia" w:ascii="宋体" w:hAnsi="宋体" w:eastAsia="宋体" w:cs="宋体"/>
          <w:color w:val="auto"/>
          <w:kern w:val="2"/>
          <w:sz w:val="21"/>
          <w:szCs w:val="21"/>
          <w:highlight w:val="none"/>
          <w:u w:val="single"/>
        </w:rPr>
        <w:t xml:space="preserve">      （应明确按照成本补偿方式的支付方式和支付条件）   </w:t>
      </w:r>
    </w:p>
    <w:p w14:paraId="70461483">
      <w:pPr>
        <w:autoSpaceDE/>
        <w:autoSpaceDN/>
        <w:adjustRightInd w:val="0"/>
        <w:snapToGrid w:val="0"/>
        <w:spacing w:before="0" w:beforeLines="0" w:line="400" w:lineRule="exact"/>
        <w:ind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sym w:font="Wingdings" w:char="00A8"/>
      </w:r>
      <w:r>
        <w:rPr>
          <w:rFonts w:hint="eastAsia" w:ascii="宋体" w:hAnsi="宋体" w:eastAsia="宋体" w:cs="宋体"/>
          <w:color w:val="auto"/>
          <w:kern w:val="2"/>
          <w:sz w:val="21"/>
          <w:szCs w:val="21"/>
          <w:highlight w:val="none"/>
        </w:rPr>
        <w:t>绩效激励：</w:t>
      </w:r>
      <w:r>
        <w:rPr>
          <w:rFonts w:hint="eastAsia" w:ascii="宋体" w:hAnsi="宋体" w:eastAsia="宋体" w:cs="宋体"/>
          <w:color w:val="auto"/>
          <w:kern w:val="2"/>
          <w:sz w:val="21"/>
          <w:szCs w:val="21"/>
          <w:highlight w:val="none"/>
          <w:u w:val="single"/>
        </w:rPr>
        <w:t xml:space="preserve">      （应明确按照绩效激励方式的支付方式和支付条件）   </w:t>
      </w:r>
    </w:p>
    <w:p w14:paraId="6A27CDEB">
      <w:pPr>
        <w:numPr>
          <w:ilvl w:val="0"/>
          <w:numId w:val="5"/>
        </w:numPr>
        <w:autoSpaceDE/>
        <w:autoSpaceDN/>
        <w:adjustRightInd w:val="0"/>
        <w:snapToGrid w:val="0"/>
        <w:spacing w:before="0" w:beforeLines="0" w:line="400" w:lineRule="exact"/>
        <w:ind w:firstLine="422" w:firstLineChars="200"/>
        <w:rPr>
          <w:rFonts w:hint="eastAsia" w:ascii="宋体" w:hAnsi="宋体" w:eastAsia="宋体" w:cs="宋体"/>
          <w:b/>
          <w:bCs w:val="0"/>
          <w:color w:val="auto"/>
          <w:kern w:val="2"/>
          <w:sz w:val="21"/>
          <w:szCs w:val="21"/>
          <w:highlight w:val="none"/>
          <w:u w:val="single"/>
        </w:rPr>
      </w:pPr>
      <w:r>
        <w:rPr>
          <w:rFonts w:hint="eastAsia" w:ascii="宋体" w:hAnsi="宋体" w:eastAsia="宋体" w:cs="宋体"/>
          <w:b/>
          <w:bCs w:val="0"/>
          <w:color w:val="auto"/>
          <w:kern w:val="2"/>
          <w:sz w:val="21"/>
          <w:szCs w:val="21"/>
          <w:highlight w:val="none"/>
        </w:rPr>
        <w:t>合同履行</w:t>
      </w:r>
    </w:p>
    <w:p w14:paraId="7BB86A0D">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（1）起始日期：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日，完成日期：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p w14:paraId="1E8AF94E">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rPr>
        <w:t>（2）</w:t>
      </w:r>
      <w:r>
        <w:rPr>
          <w:rFonts w:hint="eastAsia" w:ascii="宋体" w:hAnsi="宋体" w:eastAsia="宋体" w:cs="宋体"/>
          <w:color w:val="auto"/>
          <w:kern w:val="2"/>
          <w:sz w:val="21"/>
          <w:szCs w:val="21"/>
          <w:highlight w:val="none"/>
          <w:lang w:eastAsia="zh-CN"/>
        </w:rPr>
        <w:t>履约</w:t>
      </w:r>
      <w:r>
        <w:rPr>
          <w:rFonts w:hint="eastAsia" w:ascii="宋体" w:hAnsi="宋体" w:eastAsia="宋体" w:cs="宋体"/>
          <w:color w:val="auto"/>
          <w:kern w:val="2"/>
          <w:sz w:val="21"/>
          <w:szCs w:val="21"/>
          <w:highlight w:val="none"/>
        </w:rPr>
        <w:t>地点</w:t>
      </w:r>
      <w:r>
        <w:rPr>
          <w:rFonts w:hint="eastAsia" w:ascii="宋体" w:hAnsi="宋体" w:eastAsia="宋体" w:cs="宋体"/>
          <w:b w:val="0"/>
          <w:bCs/>
          <w:color w:val="auto"/>
          <w:kern w:val="2"/>
          <w:sz w:val="21"/>
          <w:szCs w:val="21"/>
          <w:highlight w:val="none"/>
        </w:rPr>
        <w:t>：</w:t>
      </w:r>
      <w:r>
        <w:rPr>
          <w:rFonts w:hint="eastAsia" w:ascii="宋体" w:hAnsi="宋体" w:eastAsia="宋体" w:cs="宋体"/>
          <w:color w:val="auto"/>
          <w:kern w:val="2"/>
          <w:sz w:val="21"/>
          <w:szCs w:val="21"/>
          <w:highlight w:val="none"/>
          <w:u w:val="single"/>
        </w:rPr>
        <w:t xml:space="preserve">                             </w:t>
      </w:r>
    </w:p>
    <w:p w14:paraId="6037687B">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bCs/>
          <w:color w:val="auto"/>
          <w:kern w:val="2"/>
          <w:sz w:val="21"/>
          <w:szCs w:val="21"/>
          <w:highlight w:val="none"/>
        </w:rPr>
        <w:t>（3）履约担保：</w:t>
      </w:r>
      <w:r>
        <w:rPr>
          <w:rFonts w:hint="eastAsia" w:ascii="宋体" w:hAnsi="宋体" w:eastAsia="宋体" w:cs="宋体"/>
          <w:color w:val="auto"/>
          <w:kern w:val="2"/>
          <w:sz w:val="21"/>
          <w:szCs w:val="21"/>
          <w:highlight w:val="none"/>
          <w:lang w:val="en-US" w:eastAsia="zh-CN"/>
        </w:rPr>
        <w:t>是否收取履约保证金：</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color w:val="auto"/>
          <w:kern w:val="2"/>
          <w:sz w:val="21"/>
          <w:szCs w:val="21"/>
          <w:highlight w:val="none"/>
          <w:lang w:eastAsia="zh-CN"/>
        </w:rPr>
        <w:t>是</w:t>
      </w: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color w:val="auto"/>
          <w:kern w:val="2"/>
          <w:sz w:val="21"/>
          <w:szCs w:val="21"/>
          <w:highlight w:val="none"/>
          <w:lang w:eastAsia="zh-CN"/>
        </w:rPr>
        <w:t>否</w:t>
      </w:r>
    </w:p>
    <w:p w14:paraId="2F96A3FA">
      <w:pPr>
        <w:autoSpaceDE w:val="0"/>
        <w:autoSpaceDN w:val="0"/>
        <w:adjustRightInd w:val="0"/>
        <w:spacing w:beforeLines="0" w:line="400" w:lineRule="exact"/>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bCs/>
          <w:color w:val="auto"/>
          <w:sz w:val="21"/>
          <w:szCs w:val="21"/>
          <w:highlight w:val="none"/>
          <w:u w:val="none"/>
          <w:lang w:val="en-US" w:eastAsia="zh-CN" w:bidi="ar-SA"/>
        </w:rPr>
        <w:t xml:space="preserve">  </w:t>
      </w:r>
      <w:r>
        <w:rPr>
          <w:rFonts w:hint="eastAsia" w:ascii="宋体" w:hAnsi="宋体" w:eastAsia="宋体" w:cs="宋体"/>
          <w:color w:val="auto"/>
          <w:sz w:val="21"/>
          <w:szCs w:val="21"/>
          <w:highlight w:val="none"/>
          <w:lang w:val="en-US" w:eastAsia="zh-CN" w:bidi="ar-SA"/>
        </w:rPr>
        <w:t xml:space="preserve">  收取履约保证金形式：</w:t>
      </w:r>
      <w:r>
        <w:rPr>
          <w:rFonts w:hint="eastAsia" w:ascii="宋体" w:hAnsi="宋体" w:eastAsia="宋体" w:cs="宋体"/>
          <w:bCs/>
          <w:color w:val="auto"/>
          <w:sz w:val="21"/>
          <w:szCs w:val="21"/>
          <w:highlight w:val="none"/>
          <w:u w:val="single"/>
          <w:lang w:val="en-US" w:eastAsia="zh-CN" w:bidi="ar-SA"/>
        </w:rPr>
        <w:t xml:space="preserve">                            </w:t>
      </w:r>
    </w:p>
    <w:p w14:paraId="765CCFFC">
      <w:pPr>
        <w:autoSpaceDE w:val="0"/>
        <w:autoSpaceDN w:val="0"/>
        <w:adjustRightInd w:val="0"/>
        <w:spacing w:beforeLines="0" w:line="400" w:lineRule="exact"/>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    收取履约保证金金额：</w:t>
      </w:r>
      <w:r>
        <w:rPr>
          <w:rFonts w:hint="eastAsia" w:ascii="宋体" w:hAnsi="宋体" w:eastAsia="宋体" w:cs="宋体"/>
          <w:bCs/>
          <w:color w:val="auto"/>
          <w:sz w:val="21"/>
          <w:szCs w:val="21"/>
          <w:highlight w:val="none"/>
          <w:u w:val="single"/>
          <w:lang w:val="en-US" w:eastAsia="zh-CN" w:bidi="ar-SA"/>
        </w:rPr>
        <w:t xml:space="preserve">                            </w:t>
      </w:r>
    </w:p>
    <w:p w14:paraId="54E6FED6">
      <w:pPr>
        <w:autoSpaceDE/>
        <w:autoSpaceDN/>
        <w:adjustRightInd/>
        <w:snapToGrid w:val="0"/>
        <w:spacing w:beforeLines="0" w:line="400" w:lineRule="exact"/>
        <w:ind w:firstLine="420" w:firstLineChars="200"/>
        <w:rPr>
          <w:rFonts w:hint="eastAsia" w:ascii="宋体" w:hAnsi="宋体" w:eastAsia="宋体" w:cs="宋体"/>
          <w:color w:val="auto"/>
          <w:kern w:val="2"/>
          <w:sz w:val="21"/>
          <w:szCs w:val="21"/>
          <w:highlight w:val="none"/>
          <w:lang w:val="en-US" w:eastAsia="zh-CN"/>
        </w:rPr>
      </w:pPr>
      <w:r>
        <w:rPr>
          <w:rFonts w:hint="eastAsia" w:ascii="宋体" w:hAnsi="宋体" w:eastAsia="宋体" w:cs="宋体"/>
          <w:bCs/>
          <w:color w:val="auto"/>
          <w:kern w:val="2"/>
          <w:sz w:val="21"/>
          <w:szCs w:val="21"/>
          <w:highlight w:val="none"/>
          <w:u w:val="none"/>
          <w:lang w:val="en-US" w:eastAsia="zh-CN"/>
        </w:rPr>
        <w:t xml:space="preserve">    履约担保期限</w:t>
      </w:r>
      <w:r>
        <w:rPr>
          <w:rFonts w:hint="eastAsia" w:ascii="宋体" w:hAnsi="宋体" w:eastAsia="宋体" w:cs="宋体"/>
          <w:bCs/>
          <w:color w:val="auto"/>
          <w:kern w:val="2"/>
          <w:sz w:val="21"/>
          <w:szCs w:val="21"/>
          <w:highlight w:val="none"/>
          <w:u w:val="none"/>
          <w:lang w:eastAsia="zh-CN"/>
        </w:rPr>
        <w:t>：</w:t>
      </w:r>
      <w:r>
        <w:rPr>
          <w:rFonts w:hint="eastAsia" w:ascii="宋体" w:hAnsi="宋体" w:eastAsia="宋体"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val="en-US" w:eastAsia="zh-CN"/>
        </w:rPr>
        <w:t xml:space="preserve">                     </w:t>
      </w:r>
      <w:r>
        <w:rPr>
          <w:rFonts w:hint="eastAsia" w:ascii="宋体" w:hAnsi="宋体" w:eastAsia="宋体" w:cs="宋体"/>
          <w:bCs/>
          <w:color w:val="auto"/>
          <w:kern w:val="2"/>
          <w:sz w:val="21"/>
          <w:szCs w:val="21"/>
          <w:highlight w:val="none"/>
          <w:u w:val="single"/>
        </w:rPr>
        <w:t xml:space="preserve">       </w:t>
      </w:r>
    </w:p>
    <w:p w14:paraId="1D28DC4A">
      <w:p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（4）分期履行要求：</w:t>
      </w:r>
      <w:r>
        <w:rPr>
          <w:rFonts w:hint="eastAsia" w:ascii="宋体" w:hAnsi="宋体" w:eastAsia="宋体"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val="en-US" w:eastAsia="zh-CN"/>
        </w:rPr>
        <w:t xml:space="preserve">    </w:t>
      </w:r>
      <w:r>
        <w:rPr>
          <w:rFonts w:hint="eastAsia" w:ascii="宋体" w:hAnsi="宋体" w:eastAsia="宋体" w:cs="宋体"/>
          <w:bCs/>
          <w:color w:val="auto"/>
          <w:kern w:val="2"/>
          <w:sz w:val="21"/>
          <w:szCs w:val="21"/>
          <w:highlight w:val="none"/>
          <w:u w:val="single"/>
        </w:rPr>
        <w:t xml:space="preserve"> </w:t>
      </w:r>
    </w:p>
    <w:p w14:paraId="67696B2E">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u w:val="single"/>
        </w:rPr>
      </w:pPr>
      <w:r>
        <w:rPr>
          <w:rFonts w:hint="eastAsia" w:ascii="宋体" w:hAnsi="宋体" w:eastAsia="宋体" w:cs="宋体"/>
          <w:bCs/>
          <w:color w:val="auto"/>
          <w:kern w:val="2"/>
          <w:sz w:val="21"/>
          <w:szCs w:val="21"/>
          <w:highlight w:val="none"/>
        </w:rPr>
        <w:t>（5）</w:t>
      </w:r>
      <w:r>
        <w:rPr>
          <w:rFonts w:hint="eastAsia" w:ascii="宋体" w:hAnsi="宋体" w:eastAsia="宋体" w:cs="宋体"/>
          <w:bCs/>
          <w:color w:val="auto"/>
          <w:kern w:val="2"/>
          <w:sz w:val="21"/>
          <w:szCs w:val="21"/>
          <w:highlight w:val="none"/>
          <w:lang w:eastAsia="zh-CN"/>
        </w:rPr>
        <w:t>风险处置措施和替代方案</w:t>
      </w:r>
      <w:r>
        <w:rPr>
          <w:rFonts w:hint="eastAsia" w:ascii="宋体" w:hAnsi="宋体" w:eastAsia="宋体" w:cs="宋体"/>
          <w:bCs/>
          <w:color w:val="auto"/>
          <w:kern w:val="2"/>
          <w:sz w:val="21"/>
          <w:szCs w:val="21"/>
          <w:highlight w:val="none"/>
        </w:rPr>
        <w:t>：</w:t>
      </w:r>
      <w:r>
        <w:rPr>
          <w:rFonts w:hint="eastAsia" w:ascii="宋体" w:hAnsi="宋体" w:eastAsia="宋体" w:cs="宋体"/>
          <w:color w:val="auto"/>
          <w:kern w:val="2"/>
          <w:sz w:val="21"/>
          <w:szCs w:val="21"/>
          <w:highlight w:val="none"/>
          <w:u w:val="single"/>
        </w:rPr>
        <w:t xml:space="preserve">                                                               </w:t>
      </w:r>
    </w:p>
    <w:p w14:paraId="08A769C1">
      <w:pPr>
        <w:numPr>
          <w:ilvl w:val="0"/>
          <w:numId w:val="5"/>
        </w:numPr>
        <w:autoSpaceDE/>
        <w:autoSpaceDN/>
        <w:adjustRightInd w:val="0"/>
        <w:snapToGrid w:val="0"/>
        <w:spacing w:before="0" w:beforeLines="0" w:line="400" w:lineRule="exact"/>
        <w:ind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合同验收</w:t>
      </w:r>
    </w:p>
    <w:p w14:paraId="06898485">
      <w:pPr>
        <w:numPr>
          <w:ilvl w:val="0"/>
          <w:numId w:val="7"/>
        </w:num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验收组织方式：</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 xml:space="preserve">自行组织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委托第三方组织</w:t>
      </w:r>
    </w:p>
    <w:p w14:paraId="12679905">
      <w:pPr>
        <w:numPr>
          <w:ilvl w:val="0"/>
          <w:numId w:val="0"/>
        </w:numPr>
        <w:autoSpaceDE/>
        <w:autoSpaceDN/>
        <w:adjustRightInd w:val="0"/>
        <w:snapToGrid w:val="0"/>
        <w:spacing w:before="0" w:beforeLines="0" w:line="400" w:lineRule="exact"/>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lang w:val="en-US" w:eastAsia="zh-CN"/>
        </w:rPr>
        <w:t xml:space="preserve">         </w:t>
      </w:r>
      <w:r>
        <w:rPr>
          <w:rFonts w:hint="eastAsia" w:ascii="宋体" w:hAnsi="宋体" w:eastAsia="宋体" w:cs="宋体"/>
          <w:bCs/>
          <w:color w:val="auto"/>
          <w:kern w:val="2"/>
          <w:sz w:val="21"/>
          <w:szCs w:val="21"/>
          <w:highlight w:val="none"/>
        </w:rPr>
        <w:t>验收主体：</w:t>
      </w:r>
      <w:r>
        <w:rPr>
          <w:rFonts w:hint="eastAsia" w:ascii="宋体" w:hAnsi="宋体" w:eastAsia="宋体" w:cs="宋体"/>
          <w:bCs/>
          <w:color w:val="auto"/>
          <w:kern w:val="2"/>
          <w:sz w:val="21"/>
          <w:szCs w:val="21"/>
          <w:highlight w:val="none"/>
          <w:u w:val="single"/>
        </w:rPr>
        <w:t xml:space="preserve">                  </w:t>
      </w:r>
    </w:p>
    <w:p w14:paraId="0E278AF1">
      <w:pPr>
        <w:autoSpaceDE/>
        <w:autoSpaceDN/>
        <w:adjustRightInd w:val="0"/>
        <w:snapToGrid w:val="0"/>
        <w:spacing w:before="0" w:beforeLines="0" w:line="400" w:lineRule="exact"/>
        <w:ind w:firstLine="0" w:firstLineChars="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lang w:val="en-US" w:eastAsia="zh-CN"/>
        </w:rPr>
        <w:t xml:space="preserve">        </w:t>
      </w:r>
      <w:r>
        <w:rPr>
          <w:rFonts w:hint="eastAsia" w:ascii="宋体" w:hAnsi="宋体" w:eastAsia="宋体" w:cs="宋体"/>
          <w:bCs/>
          <w:color w:val="auto"/>
          <w:kern w:val="2"/>
          <w:sz w:val="21"/>
          <w:szCs w:val="21"/>
          <w:highlight w:val="none"/>
        </w:rPr>
        <w:t>是否邀请本项目的其他供应商</w:t>
      </w:r>
      <w:r>
        <w:rPr>
          <w:rFonts w:hint="eastAsia" w:ascii="宋体" w:hAnsi="宋体" w:eastAsia="宋体" w:cs="宋体"/>
          <w:bCs/>
          <w:color w:val="auto"/>
          <w:kern w:val="2"/>
          <w:sz w:val="21"/>
          <w:szCs w:val="21"/>
          <w:highlight w:val="none"/>
          <w:lang w:eastAsia="zh-CN"/>
        </w:rPr>
        <w:t>参加验收</w:t>
      </w:r>
      <w:r>
        <w:rPr>
          <w:rFonts w:hint="eastAsia" w:ascii="宋体" w:hAnsi="宋体" w:eastAsia="宋体" w:cs="宋体"/>
          <w:bCs/>
          <w:color w:val="auto"/>
          <w:kern w:val="2"/>
          <w:sz w:val="21"/>
          <w:szCs w:val="21"/>
          <w:highlight w:val="none"/>
        </w:rPr>
        <w:t>：</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 xml:space="preserve">是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否</w:t>
      </w:r>
    </w:p>
    <w:p w14:paraId="3B8CF6DF">
      <w:pPr>
        <w:autoSpaceDE/>
        <w:autoSpaceDN/>
        <w:adjustRightInd w:val="0"/>
        <w:snapToGrid w:val="0"/>
        <w:spacing w:before="0" w:beforeLines="0" w:line="400" w:lineRule="exact"/>
        <w:ind w:firstLine="840" w:firstLineChars="4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是否邀请专家</w:t>
      </w:r>
      <w:r>
        <w:rPr>
          <w:rFonts w:hint="eastAsia" w:ascii="宋体" w:hAnsi="宋体" w:eastAsia="宋体" w:cs="宋体"/>
          <w:bCs/>
          <w:color w:val="auto"/>
          <w:kern w:val="2"/>
          <w:sz w:val="21"/>
          <w:szCs w:val="21"/>
          <w:highlight w:val="none"/>
          <w:lang w:eastAsia="zh-CN"/>
        </w:rPr>
        <w:t>参加验收</w:t>
      </w:r>
      <w:r>
        <w:rPr>
          <w:rFonts w:hint="eastAsia" w:ascii="宋体" w:hAnsi="宋体" w:eastAsia="宋体" w:cs="宋体"/>
          <w:bCs/>
          <w:color w:val="auto"/>
          <w:kern w:val="2"/>
          <w:sz w:val="21"/>
          <w:szCs w:val="21"/>
          <w:highlight w:val="none"/>
        </w:rPr>
        <w:t>：</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 xml:space="preserve">是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否</w:t>
      </w:r>
    </w:p>
    <w:p w14:paraId="53FE791D">
      <w:pPr>
        <w:autoSpaceDE/>
        <w:autoSpaceDN/>
        <w:adjustRightInd w:val="0"/>
        <w:snapToGrid w:val="0"/>
        <w:spacing w:before="0" w:beforeLines="0" w:line="400" w:lineRule="exact"/>
        <w:ind w:firstLine="840" w:firstLineChars="4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是否邀请服务对象</w:t>
      </w:r>
      <w:r>
        <w:rPr>
          <w:rFonts w:hint="eastAsia" w:ascii="宋体" w:hAnsi="宋体" w:eastAsia="宋体" w:cs="宋体"/>
          <w:bCs/>
          <w:color w:val="auto"/>
          <w:kern w:val="2"/>
          <w:sz w:val="21"/>
          <w:szCs w:val="21"/>
          <w:highlight w:val="none"/>
          <w:lang w:eastAsia="zh-CN"/>
        </w:rPr>
        <w:t>参加验收</w:t>
      </w:r>
      <w:r>
        <w:rPr>
          <w:rFonts w:hint="eastAsia" w:ascii="宋体" w:hAnsi="宋体" w:eastAsia="宋体" w:cs="宋体"/>
          <w:bCs/>
          <w:color w:val="auto"/>
          <w:kern w:val="2"/>
          <w:sz w:val="21"/>
          <w:szCs w:val="21"/>
          <w:highlight w:val="none"/>
        </w:rPr>
        <w:t>：</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 xml:space="preserve">是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否</w:t>
      </w:r>
    </w:p>
    <w:p w14:paraId="312F90D6">
      <w:pPr>
        <w:autoSpaceDE/>
        <w:autoSpaceDN/>
        <w:adjustRightInd w:val="0"/>
        <w:snapToGrid w:val="0"/>
        <w:spacing w:before="0" w:beforeLines="0" w:line="400" w:lineRule="exact"/>
        <w:ind w:firstLine="840" w:firstLineChars="4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是否邀请第三方检测机构</w:t>
      </w:r>
      <w:r>
        <w:rPr>
          <w:rFonts w:hint="eastAsia" w:ascii="宋体" w:hAnsi="宋体" w:eastAsia="宋体" w:cs="宋体"/>
          <w:bCs/>
          <w:color w:val="auto"/>
          <w:kern w:val="2"/>
          <w:sz w:val="21"/>
          <w:szCs w:val="21"/>
          <w:highlight w:val="none"/>
          <w:lang w:eastAsia="zh-CN"/>
        </w:rPr>
        <w:t>参加验收</w:t>
      </w:r>
      <w:r>
        <w:rPr>
          <w:rFonts w:hint="eastAsia" w:ascii="宋体" w:hAnsi="宋体" w:eastAsia="宋体" w:cs="宋体"/>
          <w:bCs/>
          <w:color w:val="auto"/>
          <w:kern w:val="2"/>
          <w:sz w:val="21"/>
          <w:szCs w:val="21"/>
          <w:highlight w:val="none"/>
        </w:rPr>
        <w:t>：</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 xml:space="preserve">是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否</w:t>
      </w:r>
    </w:p>
    <w:p w14:paraId="411CB732">
      <w:pPr>
        <w:autoSpaceDE/>
        <w:autoSpaceDN/>
        <w:adjustRightInd w:val="0"/>
        <w:snapToGrid w:val="0"/>
        <w:spacing w:before="0" w:beforeLines="0" w:line="400" w:lineRule="exact"/>
        <w:ind w:firstLine="840" w:firstLineChars="4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lang w:eastAsia="zh-CN"/>
        </w:rPr>
        <w:t>是否进行抽查检测：</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是</w:t>
      </w:r>
      <w:r>
        <w:rPr>
          <w:rFonts w:hint="eastAsia" w:ascii="宋体" w:hAnsi="宋体" w:eastAsia="宋体" w:cs="宋体"/>
          <w:bCs/>
          <w:color w:val="auto"/>
          <w:kern w:val="2"/>
          <w:sz w:val="21"/>
          <w:szCs w:val="21"/>
          <w:highlight w:val="none"/>
          <w:lang w:eastAsia="zh-CN"/>
        </w:rPr>
        <w:t>，抽查比例：</w:t>
      </w:r>
      <w:r>
        <w:rPr>
          <w:rFonts w:hint="eastAsia" w:ascii="宋体" w:hAnsi="宋体" w:eastAsia="宋体"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val="en-US" w:eastAsia="zh-CN"/>
        </w:rPr>
        <w:t xml:space="preserve">     </w:t>
      </w:r>
      <w:r>
        <w:rPr>
          <w:rFonts w:hint="eastAsia" w:ascii="宋体" w:hAnsi="宋体" w:eastAsia="宋体" w:cs="宋体"/>
          <w:bCs/>
          <w:color w:val="auto"/>
          <w:kern w:val="2"/>
          <w:sz w:val="21"/>
          <w:szCs w:val="21"/>
          <w:highlight w:val="none"/>
        </w:rPr>
        <w:t xml:space="preserve">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否</w:t>
      </w:r>
    </w:p>
    <w:p w14:paraId="451EC1EF">
      <w:pPr>
        <w:autoSpaceDE/>
        <w:autoSpaceDN/>
        <w:adjustRightInd w:val="0"/>
        <w:snapToGrid w:val="0"/>
        <w:spacing w:before="0" w:beforeLines="0" w:line="400" w:lineRule="exact"/>
        <w:ind w:firstLine="840" w:firstLineChars="400"/>
        <w:rPr>
          <w:rFonts w:hint="eastAsia" w:ascii="宋体" w:hAnsi="宋体" w:eastAsia="宋体" w:cs="宋体"/>
          <w:bCs/>
          <w:color w:val="auto"/>
          <w:kern w:val="2"/>
          <w:sz w:val="21"/>
          <w:szCs w:val="21"/>
          <w:highlight w:val="none"/>
          <w:u w:val="single"/>
          <w:lang w:eastAsia="zh-CN"/>
        </w:rPr>
      </w:pPr>
      <w:r>
        <w:rPr>
          <w:rFonts w:hint="eastAsia" w:ascii="宋体" w:hAnsi="宋体" w:eastAsia="宋体" w:cs="宋体"/>
          <w:bCs/>
          <w:color w:val="auto"/>
          <w:kern w:val="2"/>
          <w:sz w:val="21"/>
          <w:szCs w:val="21"/>
          <w:highlight w:val="none"/>
          <w:lang w:val="en-US" w:eastAsia="zh-CN"/>
        </w:rPr>
        <w:t>是否存在破坏性检测：</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是</w:t>
      </w:r>
      <w:r>
        <w:rPr>
          <w:rFonts w:hint="eastAsia" w:ascii="宋体" w:hAnsi="宋体" w:eastAsia="宋体" w:cs="宋体"/>
          <w:bCs/>
          <w:color w:val="auto"/>
          <w:kern w:val="2"/>
          <w:sz w:val="21"/>
          <w:szCs w:val="21"/>
          <w:highlight w:val="none"/>
          <w:lang w:eastAsia="zh-CN"/>
        </w:rPr>
        <w:t>，</w:t>
      </w:r>
      <w:r>
        <w:rPr>
          <w:rFonts w:hint="eastAsia" w:ascii="宋体" w:hAnsi="宋体" w:eastAsia="宋体" w:cs="宋体"/>
          <w:bCs/>
          <w:color w:val="auto"/>
          <w:kern w:val="2"/>
          <w:sz w:val="21"/>
          <w:szCs w:val="21"/>
          <w:highlight w:val="none"/>
          <w:u w:val="single"/>
          <w:lang w:eastAsia="zh-CN"/>
        </w:rPr>
        <w:t>（应明确对被破坏的检测产品的处理方式）</w:t>
      </w:r>
    </w:p>
    <w:p w14:paraId="6F575199">
      <w:pPr>
        <w:autoSpaceDE/>
        <w:autoSpaceDN/>
        <w:adjustRightInd w:val="0"/>
        <w:snapToGrid w:val="0"/>
        <w:spacing w:before="0" w:beforeLines="0" w:line="400" w:lineRule="exact"/>
        <w:ind w:firstLine="840" w:firstLineChars="400"/>
        <w:rPr>
          <w:rFonts w:hint="eastAsia" w:ascii="宋体" w:hAnsi="宋体" w:eastAsia="宋体" w:cs="宋体"/>
          <w:bCs/>
          <w:color w:val="auto"/>
          <w:kern w:val="2"/>
          <w:sz w:val="21"/>
          <w:szCs w:val="21"/>
          <w:highlight w:val="none"/>
          <w:lang w:eastAsia="zh-CN"/>
        </w:rPr>
      </w:pPr>
      <w:r>
        <w:rPr>
          <w:rFonts w:hint="eastAsia" w:ascii="宋体" w:hAnsi="宋体" w:eastAsia="宋体" w:cs="宋体"/>
          <w:bCs/>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否</w:t>
      </w:r>
    </w:p>
    <w:p w14:paraId="713A6911">
      <w:pPr>
        <w:autoSpaceDE/>
        <w:autoSpaceDN/>
        <w:adjustRightInd w:val="0"/>
        <w:snapToGrid w:val="0"/>
        <w:spacing w:before="0" w:beforeLines="0" w:line="400" w:lineRule="exact"/>
        <w:ind w:firstLine="840" w:firstLineChars="400"/>
        <w:rPr>
          <w:rFonts w:hint="eastAsia" w:ascii="宋体" w:hAnsi="宋体" w:eastAsia="宋体" w:cs="宋体"/>
          <w:bCs/>
          <w:color w:val="auto"/>
          <w:kern w:val="2"/>
          <w:sz w:val="21"/>
          <w:szCs w:val="21"/>
          <w:highlight w:val="none"/>
          <w:u w:val="single"/>
        </w:rPr>
      </w:pPr>
      <w:r>
        <w:rPr>
          <w:rFonts w:hint="eastAsia" w:ascii="宋体" w:hAnsi="宋体" w:eastAsia="宋体" w:cs="宋体"/>
          <w:bCs/>
          <w:color w:val="auto"/>
          <w:kern w:val="2"/>
          <w:sz w:val="21"/>
          <w:szCs w:val="21"/>
          <w:highlight w:val="none"/>
        </w:rPr>
        <w:t>验收组织的其他事项：</w:t>
      </w:r>
      <w:r>
        <w:rPr>
          <w:rFonts w:hint="eastAsia" w:ascii="宋体" w:hAnsi="宋体" w:eastAsia="宋体" w:cs="宋体"/>
          <w:bCs/>
          <w:color w:val="auto"/>
          <w:kern w:val="2"/>
          <w:sz w:val="21"/>
          <w:szCs w:val="21"/>
          <w:highlight w:val="none"/>
          <w:u w:val="single"/>
        </w:rPr>
        <w:t xml:space="preserve">                </w:t>
      </w:r>
    </w:p>
    <w:p w14:paraId="34F035FE">
      <w:p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u w:val="single"/>
        </w:rPr>
      </w:pPr>
      <w:r>
        <w:rPr>
          <w:rFonts w:hint="eastAsia" w:ascii="宋体" w:hAnsi="宋体" w:eastAsia="宋体" w:cs="宋体"/>
          <w:bCs/>
          <w:color w:val="auto"/>
          <w:kern w:val="2"/>
          <w:sz w:val="21"/>
          <w:szCs w:val="21"/>
          <w:highlight w:val="none"/>
        </w:rPr>
        <w:t>（2）履约验收时间：</w:t>
      </w:r>
      <w:r>
        <w:rPr>
          <w:rFonts w:hint="eastAsia" w:ascii="宋体" w:hAnsi="宋体" w:eastAsia="宋体" w:cs="宋体"/>
          <w:bCs/>
          <w:color w:val="auto"/>
          <w:kern w:val="2"/>
          <w:sz w:val="21"/>
          <w:szCs w:val="21"/>
          <w:highlight w:val="none"/>
          <w:u w:val="single"/>
        </w:rPr>
        <w:t>（计划于何时验收/供应商提出验收申请之日起   日内组织验收）</w:t>
      </w:r>
      <w:r>
        <w:rPr>
          <w:rFonts w:hint="eastAsia" w:ascii="宋体" w:hAnsi="宋体" w:eastAsia="宋体" w:cs="宋体"/>
          <w:bCs/>
          <w:color w:val="auto"/>
          <w:kern w:val="2"/>
          <w:sz w:val="21"/>
          <w:szCs w:val="21"/>
          <w:highlight w:val="none"/>
          <w:u w:val="single"/>
          <w:lang w:val="en-US" w:eastAsia="zh-CN"/>
        </w:rPr>
        <w:t xml:space="preserve"> </w:t>
      </w:r>
    </w:p>
    <w:p w14:paraId="7AAAB0FB">
      <w:p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（3）履约验收方式：</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 xml:space="preserve">一次性验收         </w:t>
      </w:r>
    </w:p>
    <w:p w14:paraId="730E481A">
      <w:pPr>
        <w:autoSpaceDE/>
        <w:autoSpaceDN/>
        <w:adjustRightInd w:val="0"/>
        <w:snapToGrid w:val="0"/>
        <w:spacing w:before="0" w:beforeLines="0" w:line="400" w:lineRule="exact"/>
        <w:ind w:firstLine="0" w:firstLineChars="0"/>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sym w:font="Wingdings" w:char="00A8"/>
      </w:r>
      <w:r>
        <w:rPr>
          <w:rFonts w:hint="eastAsia" w:ascii="宋体" w:hAnsi="宋体" w:eastAsia="宋体" w:cs="宋体"/>
          <w:bCs/>
          <w:color w:val="auto"/>
          <w:kern w:val="2"/>
          <w:sz w:val="21"/>
          <w:szCs w:val="21"/>
          <w:highlight w:val="none"/>
        </w:rPr>
        <w:t>分期/分项验收</w:t>
      </w:r>
      <w:r>
        <w:rPr>
          <w:rFonts w:hint="eastAsia" w:ascii="宋体" w:hAnsi="宋体" w:eastAsia="宋体" w:cs="宋体"/>
          <w:bCs/>
          <w:color w:val="auto"/>
          <w:kern w:val="2"/>
          <w:sz w:val="21"/>
          <w:szCs w:val="21"/>
          <w:highlight w:val="none"/>
          <w:lang w:eastAsia="zh-CN"/>
        </w:rPr>
        <w:t>：</w:t>
      </w:r>
      <w:r>
        <w:rPr>
          <w:rFonts w:hint="eastAsia" w:ascii="宋体" w:hAnsi="宋体" w:eastAsia="宋体"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eastAsia="zh-CN"/>
        </w:rPr>
        <w:t>（应明确分期</w:t>
      </w:r>
      <w:r>
        <w:rPr>
          <w:rFonts w:hint="eastAsia" w:ascii="宋体" w:hAnsi="宋体" w:eastAsia="宋体" w:cs="宋体"/>
          <w:bCs/>
          <w:color w:val="auto"/>
          <w:kern w:val="2"/>
          <w:sz w:val="21"/>
          <w:szCs w:val="21"/>
          <w:highlight w:val="none"/>
          <w:u w:val="single"/>
          <w:lang w:val="en" w:eastAsia="zh-CN"/>
        </w:rPr>
        <w:t>/分项验收的工作安排</w:t>
      </w:r>
      <w:r>
        <w:rPr>
          <w:rFonts w:hint="eastAsia" w:ascii="宋体" w:hAnsi="宋体" w:eastAsia="宋体" w:cs="宋体"/>
          <w:bCs/>
          <w:color w:val="auto"/>
          <w:kern w:val="2"/>
          <w:sz w:val="21"/>
          <w:szCs w:val="21"/>
          <w:highlight w:val="none"/>
          <w:u w:val="single"/>
          <w:lang w:eastAsia="zh-CN"/>
        </w:rPr>
        <w:t>）</w:t>
      </w:r>
      <w:r>
        <w:rPr>
          <w:rFonts w:hint="eastAsia" w:ascii="宋体" w:hAnsi="宋体" w:eastAsia="宋体"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val="en-US" w:eastAsia="zh-CN"/>
        </w:rPr>
        <w:t xml:space="preserve"> </w:t>
      </w:r>
    </w:p>
    <w:p w14:paraId="5FED00E5">
      <w:p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（4）履约验收程序：</w:t>
      </w:r>
      <w:r>
        <w:rPr>
          <w:rFonts w:hint="eastAsia" w:ascii="宋体" w:hAnsi="宋体" w:eastAsia="宋体" w:cs="宋体"/>
          <w:bCs/>
          <w:color w:val="auto"/>
          <w:kern w:val="2"/>
          <w:sz w:val="21"/>
          <w:szCs w:val="21"/>
          <w:highlight w:val="none"/>
          <w:u w:val="single"/>
        </w:rPr>
        <w:t xml:space="preserve">                                         </w:t>
      </w:r>
    </w:p>
    <w:p w14:paraId="1036A9B1">
      <w:p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u w:val="single"/>
        </w:rPr>
      </w:pPr>
      <w:r>
        <w:rPr>
          <w:rFonts w:hint="eastAsia" w:ascii="宋体" w:hAnsi="宋体" w:eastAsia="宋体" w:cs="宋体"/>
          <w:bCs/>
          <w:color w:val="auto"/>
          <w:kern w:val="2"/>
          <w:sz w:val="21"/>
          <w:szCs w:val="21"/>
          <w:highlight w:val="none"/>
        </w:rPr>
        <w:t>（5）履约验收的内容：</w:t>
      </w:r>
      <w:r>
        <w:rPr>
          <w:rFonts w:hint="eastAsia" w:ascii="宋体" w:hAnsi="宋体" w:eastAsia="宋体"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eastAsia="zh-CN"/>
        </w:rPr>
        <w:t>（应当包括每一项技术和商务要求的履约情况，特别是落实政府采购扶持中小企业，支持绿色发展和乡村振兴等政策情况）</w:t>
      </w:r>
      <w:r>
        <w:rPr>
          <w:rFonts w:hint="eastAsia" w:ascii="宋体" w:hAnsi="宋体" w:eastAsia="宋体" w:cs="宋体"/>
          <w:bCs/>
          <w:color w:val="auto"/>
          <w:kern w:val="2"/>
          <w:sz w:val="21"/>
          <w:szCs w:val="21"/>
          <w:highlight w:val="none"/>
          <w:u w:val="single"/>
        </w:rPr>
        <w:t xml:space="preserve">                                      </w:t>
      </w:r>
    </w:p>
    <w:p w14:paraId="004A39AB">
      <w:p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u w:val="single"/>
        </w:rPr>
      </w:pPr>
      <w:r>
        <w:rPr>
          <w:rFonts w:hint="eastAsia" w:ascii="宋体" w:hAnsi="宋体" w:eastAsia="宋体" w:cs="宋体"/>
          <w:bCs/>
          <w:color w:val="auto"/>
          <w:kern w:val="2"/>
          <w:sz w:val="21"/>
          <w:szCs w:val="21"/>
          <w:highlight w:val="none"/>
        </w:rPr>
        <w:t>（6）履约验收标准：</w:t>
      </w:r>
      <w:r>
        <w:rPr>
          <w:rFonts w:hint="eastAsia" w:ascii="宋体" w:hAnsi="宋体" w:eastAsia="宋体" w:cs="宋体"/>
          <w:bCs/>
          <w:color w:val="auto"/>
          <w:kern w:val="2"/>
          <w:sz w:val="21"/>
          <w:szCs w:val="21"/>
          <w:highlight w:val="none"/>
          <w:u w:val="single"/>
        </w:rPr>
        <w:t xml:space="preserve">                                         </w:t>
      </w:r>
    </w:p>
    <w:p w14:paraId="09FF201C">
      <w:pPr>
        <w:autoSpaceDE w:val="0"/>
        <w:autoSpaceDN w:val="0"/>
        <w:adjustRightInd w:val="0"/>
        <w:spacing w:beforeLines="0" w:line="400" w:lineRule="exact"/>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bCs/>
          <w:color w:val="auto"/>
          <w:sz w:val="21"/>
          <w:szCs w:val="21"/>
          <w:highlight w:val="none"/>
          <w:u w:val="none"/>
          <w:lang w:val="en-US" w:eastAsia="zh-CN" w:bidi="ar-SA"/>
        </w:rPr>
        <w:t>（7）是否以采购活动中供应商提供的样品作为参考：</w:t>
      </w:r>
      <w:r>
        <w:rPr>
          <w:rFonts w:hint="eastAsia" w:ascii="宋体" w:hAnsi="宋体" w:eastAsia="宋体" w:cs="宋体"/>
          <w:color w:val="auto"/>
          <w:sz w:val="21"/>
          <w:szCs w:val="21"/>
          <w:highlight w:val="none"/>
          <w:lang w:val="en-US" w:eastAsia="zh-CN" w:bidi="ar-SA"/>
        </w:rPr>
        <w:sym w:font="Wingdings" w:char="00A8"/>
      </w:r>
      <w:r>
        <w:rPr>
          <w:rFonts w:hint="eastAsia" w:ascii="宋体" w:hAnsi="宋体" w:eastAsia="宋体" w:cs="宋体"/>
          <w:bCs/>
          <w:color w:val="auto"/>
          <w:sz w:val="21"/>
          <w:szCs w:val="21"/>
          <w:highlight w:val="none"/>
          <w:lang w:val="en-US" w:eastAsia="zh-CN" w:bidi="ar-SA"/>
        </w:rPr>
        <w:t xml:space="preserve">是  </w:t>
      </w:r>
      <w:r>
        <w:rPr>
          <w:rFonts w:hint="eastAsia" w:ascii="宋体" w:hAnsi="宋体" w:eastAsia="宋体" w:cs="宋体"/>
          <w:color w:val="auto"/>
          <w:sz w:val="21"/>
          <w:szCs w:val="21"/>
          <w:highlight w:val="none"/>
          <w:lang w:val="en-US" w:eastAsia="zh-CN" w:bidi="ar-SA"/>
        </w:rPr>
        <w:sym w:font="Wingdings" w:char="00A8"/>
      </w:r>
      <w:r>
        <w:rPr>
          <w:rFonts w:hint="eastAsia" w:ascii="宋体" w:hAnsi="宋体" w:eastAsia="宋体" w:cs="宋体"/>
          <w:bCs/>
          <w:color w:val="auto"/>
          <w:sz w:val="21"/>
          <w:szCs w:val="21"/>
          <w:highlight w:val="none"/>
          <w:lang w:val="en-US" w:eastAsia="zh-CN" w:bidi="ar-SA"/>
        </w:rPr>
        <w:t>否</w:t>
      </w:r>
    </w:p>
    <w:p w14:paraId="6B31070E">
      <w:pPr>
        <w:autoSpaceDE/>
        <w:autoSpaceDN/>
        <w:adjustRightInd w:val="0"/>
        <w:snapToGrid w:val="0"/>
        <w:spacing w:before="0" w:beforeLines="0" w:line="400" w:lineRule="exact"/>
        <w:ind w:firstLine="420" w:firstLineChars="200"/>
        <w:rPr>
          <w:rFonts w:hint="eastAsia" w:ascii="宋体" w:hAnsi="宋体" w:eastAsia="宋体" w:cs="宋体"/>
          <w:bCs/>
          <w:color w:val="auto"/>
          <w:kern w:val="2"/>
          <w:sz w:val="21"/>
          <w:szCs w:val="21"/>
          <w:highlight w:val="none"/>
          <w:u w:val="single"/>
        </w:rPr>
      </w:pPr>
      <w:r>
        <w:rPr>
          <w:rFonts w:hint="eastAsia" w:ascii="宋体" w:hAnsi="宋体" w:eastAsia="宋体" w:cs="宋体"/>
          <w:bCs/>
          <w:color w:val="auto"/>
          <w:kern w:val="2"/>
          <w:sz w:val="21"/>
          <w:szCs w:val="21"/>
          <w:highlight w:val="none"/>
        </w:rPr>
        <w:t>（8）履约验收其他事项：</w:t>
      </w:r>
      <w:r>
        <w:rPr>
          <w:rFonts w:hint="eastAsia" w:ascii="宋体" w:hAnsi="宋体" w:eastAsia="宋体" w:cs="宋体"/>
          <w:bCs/>
          <w:color w:val="auto"/>
          <w:kern w:val="2"/>
          <w:sz w:val="21"/>
          <w:szCs w:val="21"/>
          <w:highlight w:val="none"/>
          <w:u w:val="single"/>
        </w:rPr>
        <w:t xml:space="preserve">      </w:t>
      </w:r>
      <w:r>
        <w:rPr>
          <w:rFonts w:hint="eastAsia" w:ascii="宋体" w:hAnsi="宋体" w:eastAsia="宋体" w:cs="宋体"/>
          <w:bCs/>
          <w:i w:val="0"/>
          <w:iCs w:val="0"/>
          <w:color w:val="auto"/>
          <w:kern w:val="2"/>
          <w:sz w:val="21"/>
          <w:szCs w:val="21"/>
          <w:highlight w:val="none"/>
          <w:u w:val="single"/>
        </w:rPr>
        <w:t>（产权过户登记等）</w:t>
      </w:r>
      <w:r>
        <w:rPr>
          <w:rFonts w:hint="eastAsia" w:ascii="宋体" w:hAnsi="宋体" w:eastAsia="宋体" w:cs="宋体"/>
          <w:bCs/>
          <w:color w:val="auto"/>
          <w:kern w:val="2"/>
          <w:sz w:val="21"/>
          <w:szCs w:val="21"/>
          <w:highlight w:val="none"/>
          <w:u w:val="single"/>
        </w:rPr>
        <w:t xml:space="preserve">          </w:t>
      </w:r>
    </w:p>
    <w:p w14:paraId="12D12B78">
      <w:pPr>
        <w:numPr>
          <w:ilvl w:val="0"/>
          <w:numId w:val="5"/>
        </w:numPr>
        <w:autoSpaceDE/>
        <w:autoSpaceDN/>
        <w:adjustRightInd w:val="0"/>
        <w:snapToGrid w:val="0"/>
        <w:spacing w:before="0" w:beforeLines="0" w:line="400" w:lineRule="exact"/>
        <w:ind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组成合同的文件</w:t>
      </w:r>
    </w:p>
    <w:p w14:paraId="64351A2D">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本协议书与下列文件一起构成合同文件，如下述文件之间有任何抵触、矛盾或歧义，应按以下顺序解释：</w:t>
      </w:r>
    </w:p>
    <w:p w14:paraId="68D4877D">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政府采购</w:t>
      </w:r>
      <w:r>
        <w:rPr>
          <w:rFonts w:hint="eastAsia" w:ascii="宋体" w:hAnsi="宋体" w:eastAsia="宋体" w:cs="宋体"/>
          <w:color w:val="auto"/>
          <w:kern w:val="2"/>
          <w:sz w:val="21"/>
          <w:szCs w:val="21"/>
          <w:highlight w:val="none"/>
        </w:rPr>
        <w:t>合同协议书及其变更、补充</w:t>
      </w:r>
      <w:r>
        <w:rPr>
          <w:rFonts w:hint="eastAsia" w:ascii="宋体" w:hAnsi="宋体" w:eastAsia="宋体" w:cs="宋体"/>
          <w:color w:val="auto"/>
          <w:kern w:val="2"/>
          <w:sz w:val="21"/>
          <w:szCs w:val="21"/>
          <w:highlight w:val="none"/>
          <w:lang w:eastAsia="zh-CN"/>
        </w:rPr>
        <w:t>协议</w:t>
      </w:r>
    </w:p>
    <w:p w14:paraId="44E38EF1">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）政府采购合同专用条款</w:t>
      </w:r>
    </w:p>
    <w:p w14:paraId="7E1D83EA">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rPr>
        <w:t>）政府采购合同通用条款</w:t>
      </w:r>
    </w:p>
    <w:p w14:paraId="7FF12C16">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）中标</w:t>
      </w:r>
      <w:r>
        <w:rPr>
          <w:rFonts w:hint="eastAsia" w:ascii="宋体" w:hAnsi="宋体" w:eastAsia="宋体" w:cs="宋体"/>
          <w:color w:val="auto"/>
          <w:kern w:val="2"/>
          <w:sz w:val="21"/>
          <w:szCs w:val="21"/>
          <w:highlight w:val="none"/>
          <w:lang w:eastAsia="zh-CN"/>
        </w:rPr>
        <w:t>（成交）</w:t>
      </w:r>
      <w:r>
        <w:rPr>
          <w:rFonts w:hint="eastAsia" w:ascii="宋体" w:hAnsi="宋体" w:eastAsia="宋体" w:cs="宋体"/>
          <w:color w:val="auto"/>
          <w:kern w:val="2"/>
          <w:sz w:val="21"/>
          <w:szCs w:val="21"/>
          <w:highlight w:val="none"/>
        </w:rPr>
        <w:t>通知书</w:t>
      </w:r>
    </w:p>
    <w:p w14:paraId="7A560505">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）投标（响应）文件</w:t>
      </w:r>
    </w:p>
    <w:p w14:paraId="04975BDA">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（6）采购文件</w:t>
      </w:r>
    </w:p>
    <w:p w14:paraId="7372A09D">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（7）有关技术文件，图纸</w:t>
      </w:r>
    </w:p>
    <w:p w14:paraId="6712BEBD">
      <w:pPr>
        <w:autoSpaceDE w:val="0"/>
        <w:autoSpaceDN w:val="0"/>
        <w:adjustRightInd w:val="0"/>
        <w:spacing w:beforeLines="0" w:line="40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（8）</w:t>
      </w:r>
      <w:r>
        <w:rPr>
          <w:rFonts w:hint="eastAsia" w:ascii="宋体" w:hAnsi="宋体" w:eastAsia="宋体" w:cs="宋体"/>
          <w:bCs w:val="0"/>
          <w:color w:val="auto"/>
          <w:kern w:val="2"/>
          <w:sz w:val="21"/>
          <w:szCs w:val="21"/>
          <w:highlight w:val="none"/>
          <w:lang w:val="en-US" w:eastAsia="zh-CN" w:bidi="ar-SA"/>
        </w:rPr>
        <w:t>国家法律、行政法规和规章制度规定或合同约定的作为合同组成部分的其他文件</w:t>
      </w:r>
    </w:p>
    <w:p w14:paraId="26F77EB9">
      <w:pPr>
        <w:numPr>
          <w:ilvl w:val="0"/>
          <w:numId w:val="5"/>
        </w:numPr>
        <w:autoSpaceDE/>
        <w:autoSpaceDN/>
        <w:adjustRightInd w:val="0"/>
        <w:snapToGrid w:val="0"/>
        <w:spacing w:before="0" w:beforeLines="0" w:line="400" w:lineRule="exact"/>
        <w:ind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合同生效</w:t>
      </w:r>
    </w:p>
    <w:p w14:paraId="488CA610">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本合同自</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生效。</w:t>
      </w:r>
    </w:p>
    <w:p w14:paraId="15F85FF4">
      <w:pPr>
        <w:numPr>
          <w:ilvl w:val="0"/>
          <w:numId w:val="5"/>
        </w:numPr>
        <w:autoSpaceDE/>
        <w:autoSpaceDN/>
        <w:adjustRightInd w:val="0"/>
        <w:snapToGrid w:val="0"/>
        <w:spacing w:before="0" w:beforeLines="0" w:line="400" w:lineRule="exact"/>
        <w:ind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合同份数</w:t>
      </w:r>
    </w:p>
    <w:p w14:paraId="18997E31">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本合同一式</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执</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执</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份，均具有同等法律效力。</w:t>
      </w:r>
    </w:p>
    <w:p w14:paraId="0629D407">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合同订立时间：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p w14:paraId="2DF0FD02">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合同订立地点：</w:t>
      </w:r>
      <w:r>
        <w:rPr>
          <w:rFonts w:hint="eastAsia" w:ascii="宋体" w:hAnsi="宋体" w:eastAsia="宋体" w:cs="宋体"/>
          <w:color w:val="auto"/>
          <w:kern w:val="2"/>
          <w:sz w:val="21"/>
          <w:szCs w:val="21"/>
          <w:highlight w:val="none"/>
          <w:u w:val="single"/>
        </w:rPr>
        <w:t xml:space="preserve">                           </w:t>
      </w:r>
    </w:p>
    <w:p w14:paraId="7CA56739">
      <w:pPr>
        <w:autoSpaceDE/>
        <w:autoSpaceDN/>
        <w:adjustRightInd w:val="0"/>
        <w:snapToGrid w:val="0"/>
        <w:spacing w:before="0" w:beforeLines="0" w:line="40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附件：具体标</w:t>
      </w:r>
      <w:r>
        <w:rPr>
          <w:rFonts w:hint="eastAsia" w:ascii="宋体" w:hAnsi="宋体" w:eastAsia="宋体" w:cs="宋体"/>
          <w:color w:val="auto"/>
          <w:kern w:val="2"/>
          <w:sz w:val="21"/>
          <w:szCs w:val="21"/>
          <w:highlight w:val="none"/>
          <w:lang w:eastAsia="zh-CN"/>
        </w:rPr>
        <w:t>的及其</w:t>
      </w:r>
      <w:r>
        <w:rPr>
          <w:rFonts w:hint="eastAsia" w:ascii="宋体" w:hAnsi="宋体" w:eastAsia="宋体" w:cs="宋体"/>
          <w:color w:val="auto"/>
          <w:kern w:val="2"/>
          <w:sz w:val="21"/>
          <w:szCs w:val="21"/>
          <w:highlight w:val="none"/>
          <w:u w:val="none"/>
          <w:lang w:val="en-US" w:eastAsia="zh-CN"/>
        </w:rPr>
        <w:t>技术要求和商务要求</w:t>
      </w:r>
      <w:r>
        <w:rPr>
          <w:rFonts w:hint="eastAsia" w:ascii="宋体" w:hAnsi="宋体" w:eastAsia="宋体" w:cs="宋体"/>
          <w:color w:val="auto"/>
          <w:kern w:val="2"/>
          <w:sz w:val="21"/>
          <w:szCs w:val="21"/>
          <w:highlight w:val="none"/>
        </w:rPr>
        <w:t>、联合</w:t>
      </w:r>
      <w:r>
        <w:rPr>
          <w:rFonts w:hint="eastAsia" w:ascii="宋体" w:hAnsi="宋体" w:eastAsia="宋体" w:cs="宋体"/>
          <w:color w:val="auto"/>
          <w:kern w:val="2"/>
          <w:sz w:val="21"/>
          <w:szCs w:val="21"/>
          <w:highlight w:val="none"/>
          <w:lang w:val="en-US" w:eastAsia="zh-CN"/>
        </w:rPr>
        <w:t>体</w:t>
      </w:r>
      <w:r>
        <w:rPr>
          <w:rFonts w:hint="eastAsia" w:ascii="宋体" w:hAnsi="宋体" w:eastAsia="宋体" w:cs="宋体"/>
          <w:color w:val="auto"/>
          <w:kern w:val="2"/>
          <w:sz w:val="21"/>
          <w:szCs w:val="21"/>
          <w:highlight w:val="none"/>
        </w:rPr>
        <w:t>协议</w:t>
      </w:r>
      <w:r>
        <w:rPr>
          <w:rFonts w:hint="eastAsia" w:ascii="宋体" w:hAnsi="宋体" w:eastAsia="宋体" w:cs="宋体"/>
          <w:color w:val="auto"/>
          <w:kern w:val="2"/>
          <w:sz w:val="21"/>
          <w:szCs w:val="21"/>
          <w:highlight w:val="none"/>
          <w:lang w:val="en-US" w:eastAsia="zh-CN"/>
        </w:rPr>
        <w:t>书</w:t>
      </w:r>
      <w:r>
        <w:rPr>
          <w:rFonts w:hint="eastAsia" w:ascii="宋体" w:hAnsi="宋体" w:eastAsia="宋体" w:cs="宋体"/>
          <w:color w:val="auto"/>
          <w:kern w:val="2"/>
          <w:sz w:val="21"/>
          <w:szCs w:val="21"/>
          <w:highlight w:val="none"/>
        </w:rPr>
        <w:t>、分包</w:t>
      </w:r>
      <w:r>
        <w:rPr>
          <w:rFonts w:hint="eastAsia" w:ascii="宋体" w:hAnsi="宋体" w:eastAsia="宋体" w:cs="宋体"/>
          <w:color w:val="auto"/>
          <w:kern w:val="2"/>
          <w:sz w:val="21"/>
          <w:szCs w:val="21"/>
          <w:highlight w:val="none"/>
          <w:lang w:eastAsia="zh-CN"/>
        </w:rPr>
        <w:t>意向</w:t>
      </w:r>
      <w:r>
        <w:rPr>
          <w:rFonts w:hint="eastAsia" w:ascii="宋体" w:hAnsi="宋体" w:eastAsia="宋体" w:cs="宋体"/>
          <w:color w:val="auto"/>
          <w:kern w:val="2"/>
          <w:sz w:val="21"/>
          <w:szCs w:val="21"/>
          <w:highlight w:val="none"/>
        </w:rPr>
        <w:t>协议</w:t>
      </w:r>
      <w:r>
        <w:rPr>
          <w:rFonts w:hint="eastAsia" w:ascii="宋体" w:hAnsi="宋体" w:eastAsia="宋体" w:cs="宋体"/>
          <w:color w:val="auto"/>
          <w:kern w:val="2"/>
          <w:sz w:val="21"/>
          <w:szCs w:val="21"/>
          <w:highlight w:val="none"/>
          <w:lang w:val="en-US" w:eastAsia="zh-CN"/>
        </w:rPr>
        <w:t>书</w:t>
      </w:r>
      <w:r>
        <w:rPr>
          <w:rFonts w:hint="eastAsia" w:ascii="宋体" w:hAnsi="宋体" w:eastAsia="宋体" w:cs="宋体"/>
          <w:color w:val="auto"/>
          <w:kern w:val="2"/>
          <w:sz w:val="21"/>
          <w:szCs w:val="21"/>
          <w:highlight w:val="none"/>
        </w:rPr>
        <w:t>等。</w:t>
      </w:r>
    </w:p>
    <w:p w14:paraId="0D129071">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5CEC79C0">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4FAD25FD">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10A85BCA">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75233267">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5409D989">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15B355E6">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1287727F">
      <w:pPr>
        <w:widowControl w:val="0"/>
        <w:spacing w:line="360" w:lineRule="auto"/>
        <w:ind w:firstLine="420" w:firstLineChars="200"/>
        <w:rPr>
          <w:rFonts w:hint="eastAsia" w:ascii="宋体" w:hAnsi="宋体" w:eastAsia="宋体" w:cs="宋体"/>
          <w:color w:val="auto"/>
          <w:kern w:val="2"/>
          <w:sz w:val="21"/>
          <w:szCs w:val="21"/>
          <w:highlight w:val="none"/>
          <w:lang w:val="en-US" w:eastAsia="zh-CN" w:bidi="ar-SA"/>
        </w:rPr>
      </w:pPr>
    </w:p>
    <w:tbl>
      <w:tblPr>
        <w:tblStyle w:val="29"/>
        <w:tblW w:w="4868" w:type="pct"/>
        <w:tblInd w:w="10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90"/>
        <w:gridCol w:w="2000"/>
        <w:gridCol w:w="1927"/>
        <w:gridCol w:w="2066"/>
      </w:tblGrid>
      <w:tr w14:paraId="30EEA23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30" w:type="pct"/>
            <w:gridSpan w:val="2"/>
            <w:tcBorders>
              <w:bottom w:val="single" w:color="auto" w:sz="2" w:space="0"/>
              <w:right w:val="single" w:color="auto" w:sz="2" w:space="0"/>
            </w:tcBorders>
            <w:vAlign w:val="center"/>
          </w:tcPr>
          <w:p w14:paraId="122EEEC5">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甲方（采购人</w:t>
            </w:r>
            <w:r>
              <w:rPr>
                <w:rFonts w:hint="eastAsia" w:ascii="宋体" w:hAnsi="宋体" w:eastAsia="宋体" w:cs="宋体"/>
                <w:color w:val="auto"/>
                <w:kern w:val="2"/>
                <w:sz w:val="21"/>
                <w:szCs w:val="21"/>
                <w:highlight w:val="none"/>
                <w:lang w:eastAsia="zh-CN"/>
              </w:rPr>
              <w:t>、受采购人委托签订合同的单位</w:t>
            </w:r>
            <w:r>
              <w:rPr>
                <w:rFonts w:hint="eastAsia" w:ascii="宋体" w:hAnsi="宋体" w:eastAsia="宋体" w:cs="宋体"/>
                <w:color w:val="auto"/>
                <w:kern w:val="2"/>
                <w:sz w:val="21"/>
                <w:szCs w:val="21"/>
                <w:highlight w:val="none"/>
              </w:rPr>
              <w:t>或采购文件约定的合同甲方）</w:t>
            </w:r>
          </w:p>
        </w:tc>
        <w:tc>
          <w:tcPr>
            <w:tcW w:w="2469" w:type="pct"/>
            <w:gridSpan w:val="2"/>
            <w:tcBorders>
              <w:left w:val="single" w:color="auto" w:sz="2" w:space="0"/>
              <w:bottom w:val="single" w:color="auto" w:sz="2" w:space="0"/>
            </w:tcBorders>
            <w:vAlign w:val="center"/>
          </w:tcPr>
          <w:p w14:paraId="1ADB6644">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乙方（供应商）</w:t>
            </w:r>
          </w:p>
        </w:tc>
      </w:tr>
      <w:tr w14:paraId="73D34EF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293" w:type="pct"/>
            <w:tcBorders>
              <w:top w:val="single" w:color="auto" w:sz="2" w:space="0"/>
              <w:bottom w:val="single" w:color="auto" w:sz="2" w:space="0"/>
              <w:right w:val="single" w:color="auto" w:sz="2" w:space="0"/>
            </w:tcBorders>
            <w:vAlign w:val="center"/>
          </w:tcPr>
          <w:p w14:paraId="2893D5B0">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单位名称（公章</w:t>
            </w:r>
            <w:r>
              <w:rPr>
                <w:rFonts w:hint="eastAsia" w:ascii="宋体" w:hAnsi="宋体" w:eastAsia="宋体" w:cs="宋体"/>
                <w:color w:val="auto"/>
                <w:kern w:val="2"/>
                <w:sz w:val="21"/>
                <w:szCs w:val="21"/>
                <w:highlight w:val="none"/>
                <w:lang w:eastAsia="zh-CN"/>
              </w:rPr>
              <w:t>或合同章</w:t>
            </w:r>
            <w:r>
              <w:rPr>
                <w:rFonts w:hint="eastAsia" w:ascii="宋体" w:hAnsi="宋体" w:eastAsia="宋体" w:cs="宋体"/>
                <w:color w:val="auto"/>
                <w:kern w:val="2"/>
                <w:sz w:val="21"/>
                <w:szCs w:val="21"/>
                <w:highlight w:val="none"/>
              </w:rPr>
              <w:t>）</w:t>
            </w:r>
          </w:p>
        </w:tc>
        <w:tc>
          <w:tcPr>
            <w:tcW w:w="1236" w:type="pct"/>
            <w:tcBorders>
              <w:top w:val="single" w:color="auto" w:sz="2" w:space="0"/>
              <w:left w:val="single" w:color="auto" w:sz="2" w:space="0"/>
              <w:bottom w:val="single" w:color="auto" w:sz="2" w:space="0"/>
              <w:right w:val="single" w:color="auto" w:sz="2" w:space="0"/>
            </w:tcBorders>
            <w:vAlign w:val="center"/>
          </w:tcPr>
          <w:p w14:paraId="55E33E36">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0CD156FD">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单位名称（公章</w:t>
            </w:r>
            <w:r>
              <w:rPr>
                <w:rFonts w:hint="eastAsia" w:ascii="宋体" w:hAnsi="宋体" w:eastAsia="宋体" w:cs="宋体"/>
                <w:color w:val="auto"/>
                <w:kern w:val="2"/>
                <w:sz w:val="21"/>
                <w:szCs w:val="21"/>
                <w:highlight w:val="none"/>
                <w:lang w:eastAsia="zh-CN"/>
              </w:rPr>
              <w:t>或合同章</w:t>
            </w:r>
            <w:r>
              <w:rPr>
                <w:rFonts w:hint="eastAsia" w:ascii="宋体" w:hAnsi="宋体" w:eastAsia="宋体" w:cs="宋体"/>
                <w:color w:val="auto"/>
                <w:kern w:val="2"/>
                <w:sz w:val="21"/>
                <w:szCs w:val="21"/>
                <w:highlight w:val="none"/>
              </w:rPr>
              <w:t>）</w:t>
            </w:r>
          </w:p>
        </w:tc>
        <w:tc>
          <w:tcPr>
            <w:tcW w:w="1277" w:type="pct"/>
            <w:tcBorders>
              <w:top w:val="single" w:color="auto" w:sz="2" w:space="0"/>
              <w:left w:val="single" w:color="auto" w:sz="2" w:space="0"/>
              <w:bottom w:val="single" w:color="auto" w:sz="2" w:space="0"/>
            </w:tcBorders>
            <w:vAlign w:val="center"/>
          </w:tcPr>
          <w:p w14:paraId="33BA3691">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1AF345D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293" w:type="pct"/>
            <w:vMerge w:val="restart"/>
            <w:tcBorders>
              <w:top w:val="single" w:color="auto" w:sz="2" w:space="0"/>
              <w:right w:val="single" w:color="auto" w:sz="2" w:space="0"/>
            </w:tcBorders>
            <w:vAlign w:val="center"/>
          </w:tcPr>
          <w:p w14:paraId="36476D95">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法定代表人</w:t>
            </w:r>
          </w:p>
          <w:p w14:paraId="13B8614E">
            <w:pPr>
              <w:autoSpaceDE/>
              <w:autoSpaceDN/>
              <w:adjustRightInd w:val="0"/>
              <w:snapToGrid w:val="0"/>
              <w:spacing w:line="300" w:lineRule="exact"/>
              <w:ind w:firstLine="100" w:firstLineChars="48"/>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或其委托代理人（签章）</w:t>
            </w:r>
          </w:p>
        </w:tc>
        <w:tc>
          <w:tcPr>
            <w:tcW w:w="1236" w:type="pct"/>
            <w:vMerge w:val="restart"/>
            <w:tcBorders>
              <w:top w:val="single" w:color="auto" w:sz="2" w:space="0"/>
              <w:left w:val="single" w:color="auto" w:sz="2" w:space="0"/>
              <w:right w:val="single" w:color="auto" w:sz="2" w:space="0"/>
            </w:tcBorders>
            <w:vAlign w:val="center"/>
          </w:tcPr>
          <w:p w14:paraId="1898CF89">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right w:val="single" w:color="auto" w:sz="2" w:space="0"/>
            </w:tcBorders>
            <w:vAlign w:val="center"/>
          </w:tcPr>
          <w:p w14:paraId="5838F6CE">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法定代表人</w:t>
            </w:r>
          </w:p>
          <w:p w14:paraId="7DCF0669">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或其委托代理人（签章）</w:t>
            </w:r>
          </w:p>
        </w:tc>
        <w:tc>
          <w:tcPr>
            <w:tcW w:w="1277" w:type="pct"/>
            <w:tcBorders>
              <w:top w:val="single" w:color="auto" w:sz="2" w:space="0"/>
              <w:left w:val="single" w:color="auto" w:sz="2" w:space="0"/>
              <w:bottom w:val="single" w:color="auto" w:sz="2" w:space="0"/>
            </w:tcBorders>
            <w:vAlign w:val="center"/>
          </w:tcPr>
          <w:p w14:paraId="28DBBD99">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r>
      <w:tr w14:paraId="73DF28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vMerge w:val="continue"/>
            <w:tcBorders>
              <w:bottom w:val="single" w:color="auto" w:sz="2" w:space="0"/>
              <w:right w:val="single" w:color="auto" w:sz="2" w:space="0"/>
            </w:tcBorders>
            <w:vAlign w:val="center"/>
          </w:tcPr>
          <w:p w14:paraId="79741DED">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236" w:type="pct"/>
            <w:vMerge w:val="continue"/>
            <w:tcBorders>
              <w:left w:val="single" w:color="auto" w:sz="2" w:space="0"/>
              <w:bottom w:val="single" w:color="auto" w:sz="2" w:space="0"/>
              <w:right w:val="single" w:color="auto" w:sz="2" w:space="0"/>
            </w:tcBorders>
            <w:vAlign w:val="center"/>
          </w:tcPr>
          <w:p w14:paraId="109C2527">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5999D7D6">
            <w:pPr>
              <w:autoSpaceDE/>
              <w:autoSpaceDN/>
              <w:adjustRightInd w:val="0"/>
              <w:snapToGrid w:val="0"/>
              <w:spacing w:line="300" w:lineRule="exact"/>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拥有者性别</w:t>
            </w:r>
          </w:p>
        </w:tc>
        <w:tc>
          <w:tcPr>
            <w:tcW w:w="1277" w:type="pct"/>
            <w:tcBorders>
              <w:top w:val="single" w:color="auto" w:sz="2" w:space="0"/>
              <w:left w:val="single" w:color="auto" w:sz="2" w:space="0"/>
              <w:bottom w:val="single" w:color="auto" w:sz="2" w:space="0"/>
            </w:tcBorders>
            <w:vAlign w:val="center"/>
          </w:tcPr>
          <w:p w14:paraId="4D49D8D4">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06DB702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4C781B48">
            <w:pPr>
              <w:autoSpaceDE/>
              <w:autoSpaceDN/>
              <w:adjustRightInd w:val="0"/>
              <w:snapToGrid w:val="0"/>
              <w:spacing w:line="300" w:lineRule="exact"/>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住</w:t>
            </w: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lang w:eastAsia="zh-CN"/>
              </w:rPr>
              <w:t>所</w:t>
            </w:r>
          </w:p>
        </w:tc>
        <w:tc>
          <w:tcPr>
            <w:tcW w:w="1236" w:type="pct"/>
            <w:tcBorders>
              <w:top w:val="single" w:color="auto" w:sz="2" w:space="0"/>
              <w:left w:val="single" w:color="auto" w:sz="2" w:space="0"/>
              <w:bottom w:val="single" w:color="auto" w:sz="2" w:space="0"/>
              <w:right w:val="single" w:color="auto" w:sz="2" w:space="0"/>
            </w:tcBorders>
            <w:vAlign w:val="center"/>
          </w:tcPr>
          <w:p w14:paraId="2944E6ED">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7286588E">
            <w:pPr>
              <w:autoSpaceDE/>
              <w:autoSpaceDN/>
              <w:adjustRightInd w:val="0"/>
              <w:snapToGrid w:val="0"/>
              <w:spacing w:line="300" w:lineRule="exact"/>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住</w:t>
            </w: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lang w:eastAsia="zh-CN"/>
              </w:rPr>
              <w:t>所</w:t>
            </w:r>
          </w:p>
        </w:tc>
        <w:tc>
          <w:tcPr>
            <w:tcW w:w="1277" w:type="pct"/>
            <w:tcBorders>
              <w:top w:val="single" w:color="auto" w:sz="2" w:space="0"/>
              <w:left w:val="single" w:color="auto" w:sz="2" w:space="0"/>
              <w:bottom w:val="single" w:color="auto" w:sz="2" w:space="0"/>
            </w:tcBorders>
            <w:vAlign w:val="center"/>
          </w:tcPr>
          <w:p w14:paraId="099028D8">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64298F7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3BF37A91">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 系 人</w:t>
            </w:r>
          </w:p>
        </w:tc>
        <w:tc>
          <w:tcPr>
            <w:tcW w:w="1236" w:type="pct"/>
            <w:tcBorders>
              <w:top w:val="single" w:color="auto" w:sz="2" w:space="0"/>
              <w:left w:val="single" w:color="auto" w:sz="2" w:space="0"/>
              <w:bottom w:val="single" w:color="auto" w:sz="2" w:space="0"/>
              <w:right w:val="single" w:color="auto" w:sz="2" w:space="0"/>
            </w:tcBorders>
            <w:vAlign w:val="center"/>
          </w:tcPr>
          <w:p w14:paraId="21E566CF">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1D2D0DC3">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 系 人</w:t>
            </w:r>
          </w:p>
        </w:tc>
        <w:tc>
          <w:tcPr>
            <w:tcW w:w="1277" w:type="pct"/>
            <w:tcBorders>
              <w:top w:val="single" w:color="auto" w:sz="2" w:space="0"/>
              <w:left w:val="single" w:color="auto" w:sz="2" w:space="0"/>
              <w:bottom w:val="single" w:color="auto" w:sz="2" w:space="0"/>
            </w:tcBorders>
            <w:vAlign w:val="center"/>
          </w:tcPr>
          <w:p w14:paraId="1D856A85">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77E0987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024CB895">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联系电话</w:t>
            </w:r>
          </w:p>
        </w:tc>
        <w:tc>
          <w:tcPr>
            <w:tcW w:w="1236" w:type="pct"/>
            <w:tcBorders>
              <w:top w:val="single" w:color="auto" w:sz="2" w:space="0"/>
              <w:left w:val="single" w:color="auto" w:sz="2" w:space="0"/>
              <w:bottom w:val="single" w:color="auto" w:sz="2" w:space="0"/>
              <w:right w:val="single" w:color="auto" w:sz="2" w:space="0"/>
            </w:tcBorders>
            <w:vAlign w:val="center"/>
          </w:tcPr>
          <w:p w14:paraId="4C498000">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7B4134DE">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联系电话</w:t>
            </w:r>
          </w:p>
        </w:tc>
        <w:tc>
          <w:tcPr>
            <w:tcW w:w="1277" w:type="pct"/>
            <w:tcBorders>
              <w:top w:val="single" w:color="auto" w:sz="2" w:space="0"/>
              <w:left w:val="single" w:color="auto" w:sz="2" w:space="0"/>
              <w:bottom w:val="single" w:color="auto" w:sz="2" w:space="0"/>
            </w:tcBorders>
            <w:vAlign w:val="center"/>
          </w:tcPr>
          <w:p w14:paraId="701C890C">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1179D0A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6410AC1E">
            <w:pPr>
              <w:autoSpaceDE/>
              <w:autoSpaceDN/>
              <w:adjustRightInd w:val="0"/>
              <w:snapToGrid w:val="0"/>
              <w:spacing w:line="300" w:lineRule="exact"/>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通信地址</w:t>
            </w:r>
          </w:p>
        </w:tc>
        <w:tc>
          <w:tcPr>
            <w:tcW w:w="1236" w:type="pct"/>
            <w:tcBorders>
              <w:top w:val="single" w:color="auto" w:sz="2" w:space="0"/>
              <w:left w:val="single" w:color="auto" w:sz="2" w:space="0"/>
              <w:bottom w:val="single" w:color="auto" w:sz="2" w:space="0"/>
              <w:right w:val="single" w:color="auto" w:sz="2" w:space="0"/>
            </w:tcBorders>
            <w:vAlign w:val="center"/>
          </w:tcPr>
          <w:p w14:paraId="4A52DBDF">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161E99B8">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通信地址</w:t>
            </w:r>
          </w:p>
        </w:tc>
        <w:tc>
          <w:tcPr>
            <w:tcW w:w="1277" w:type="pct"/>
            <w:tcBorders>
              <w:top w:val="single" w:color="auto" w:sz="2" w:space="0"/>
              <w:left w:val="single" w:color="auto" w:sz="2" w:space="0"/>
              <w:bottom w:val="single" w:color="auto" w:sz="2" w:space="0"/>
            </w:tcBorders>
            <w:vAlign w:val="center"/>
          </w:tcPr>
          <w:p w14:paraId="7733D880">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18397F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359FB791">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邮政编码</w:t>
            </w:r>
          </w:p>
        </w:tc>
        <w:tc>
          <w:tcPr>
            <w:tcW w:w="1236" w:type="pct"/>
            <w:tcBorders>
              <w:top w:val="single" w:color="auto" w:sz="2" w:space="0"/>
              <w:left w:val="single" w:color="auto" w:sz="2" w:space="0"/>
              <w:bottom w:val="single" w:color="auto" w:sz="2" w:space="0"/>
              <w:right w:val="single" w:color="auto" w:sz="2" w:space="0"/>
            </w:tcBorders>
            <w:vAlign w:val="center"/>
          </w:tcPr>
          <w:p w14:paraId="694C6AF3">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00FEBFA1">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邮政编码</w:t>
            </w:r>
          </w:p>
        </w:tc>
        <w:tc>
          <w:tcPr>
            <w:tcW w:w="1277" w:type="pct"/>
            <w:tcBorders>
              <w:top w:val="single" w:color="auto" w:sz="2" w:space="0"/>
              <w:left w:val="single" w:color="auto" w:sz="2" w:space="0"/>
              <w:bottom w:val="single" w:color="auto" w:sz="2" w:space="0"/>
            </w:tcBorders>
            <w:vAlign w:val="center"/>
          </w:tcPr>
          <w:p w14:paraId="70981218">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550E399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437B108A">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电子邮箱</w:t>
            </w:r>
          </w:p>
        </w:tc>
        <w:tc>
          <w:tcPr>
            <w:tcW w:w="1236" w:type="pct"/>
            <w:tcBorders>
              <w:top w:val="single" w:color="auto" w:sz="2" w:space="0"/>
              <w:left w:val="single" w:color="auto" w:sz="2" w:space="0"/>
              <w:bottom w:val="single" w:color="auto" w:sz="2" w:space="0"/>
              <w:right w:val="single" w:color="auto" w:sz="2" w:space="0"/>
            </w:tcBorders>
            <w:vAlign w:val="center"/>
          </w:tcPr>
          <w:p w14:paraId="1C96C6AF">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55B991CE">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电子邮箱</w:t>
            </w:r>
          </w:p>
        </w:tc>
        <w:tc>
          <w:tcPr>
            <w:tcW w:w="1277" w:type="pct"/>
            <w:tcBorders>
              <w:top w:val="single" w:color="auto" w:sz="2" w:space="0"/>
              <w:left w:val="single" w:color="auto" w:sz="2" w:space="0"/>
              <w:bottom w:val="single" w:color="auto" w:sz="2" w:space="0"/>
            </w:tcBorders>
            <w:vAlign w:val="center"/>
          </w:tcPr>
          <w:p w14:paraId="0DC85DC3">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0271A5A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2F3AE2AD">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统一社会信用代码</w:t>
            </w:r>
          </w:p>
        </w:tc>
        <w:tc>
          <w:tcPr>
            <w:tcW w:w="1236" w:type="pct"/>
            <w:tcBorders>
              <w:top w:val="single" w:color="auto" w:sz="2" w:space="0"/>
              <w:left w:val="single" w:color="auto" w:sz="2" w:space="0"/>
              <w:bottom w:val="single" w:color="auto" w:sz="2" w:space="0"/>
              <w:right w:val="single" w:color="auto" w:sz="2" w:space="0"/>
            </w:tcBorders>
            <w:vAlign w:val="center"/>
          </w:tcPr>
          <w:p w14:paraId="179974F2">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0EBD6FBE">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统一社会信用代码</w:t>
            </w:r>
          </w:p>
        </w:tc>
        <w:tc>
          <w:tcPr>
            <w:tcW w:w="1277" w:type="pct"/>
            <w:tcBorders>
              <w:top w:val="single" w:color="auto" w:sz="2" w:space="0"/>
              <w:left w:val="single" w:color="auto" w:sz="2" w:space="0"/>
              <w:bottom w:val="single" w:color="auto" w:sz="2" w:space="0"/>
            </w:tcBorders>
            <w:vAlign w:val="center"/>
          </w:tcPr>
          <w:p w14:paraId="3663A1A2">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61E315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33AB1682">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236" w:type="pct"/>
            <w:tcBorders>
              <w:top w:val="single" w:color="auto" w:sz="2" w:space="0"/>
              <w:left w:val="single" w:color="auto" w:sz="2" w:space="0"/>
              <w:bottom w:val="single" w:color="auto" w:sz="2" w:space="0"/>
              <w:right w:val="single" w:color="auto" w:sz="2" w:space="0"/>
            </w:tcBorders>
            <w:vAlign w:val="center"/>
          </w:tcPr>
          <w:p w14:paraId="704563A5">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3E23BC3A">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开户名称</w:t>
            </w:r>
          </w:p>
        </w:tc>
        <w:tc>
          <w:tcPr>
            <w:tcW w:w="1277" w:type="pct"/>
            <w:tcBorders>
              <w:top w:val="single" w:color="auto" w:sz="2" w:space="0"/>
              <w:left w:val="single" w:color="auto" w:sz="2" w:space="0"/>
              <w:bottom w:val="single" w:color="auto" w:sz="2" w:space="0"/>
            </w:tcBorders>
            <w:vAlign w:val="center"/>
          </w:tcPr>
          <w:p w14:paraId="6E184549">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3F5912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7EDA1AFE">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236" w:type="pct"/>
            <w:tcBorders>
              <w:top w:val="single" w:color="auto" w:sz="2" w:space="0"/>
              <w:left w:val="single" w:color="auto" w:sz="2" w:space="0"/>
              <w:bottom w:val="single" w:color="auto" w:sz="2" w:space="0"/>
              <w:right w:val="single" w:color="auto" w:sz="2" w:space="0"/>
            </w:tcBorders>
            <w:vAlign w:val="center"/>
          </w:tcPr>
          <w:p w14:paraId="7ABB2AC7">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35806D87">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开户银行</w:t>
            </w:r>
          </w:p>
        </w:tc>
        <w:tc>
          <w:tcPr>
            <w:tcW w:w="1277" w:type="pct"/>
            <w:tcBorders>
              <w:top w:val="single" w:color="auto" w:sz="2" w:space="0"/>
              <w:left w:val="single" w:color="auto" w:sz="2" w:space="0"/>
              <w:bottom w:val="single" w:color="auto" w:sz="2" w:space="0"/>
            </w:tcBorders>
            <w:vAlign w:val="center"/>
          </w:tcPr>
          <w:p w14:paraId="740EC35E">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77429C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293" w:type="pct"/>
            <w:tcBorders>
              <w:top w:val="single" w:color="auto" w:sz="2" w:space="0"/>
              <w:bottom w:val="single" w:color="auto" w:sz="2" w:space="0"/>
              <w:right w:val="single" w:color="auto" w:sz="2" w:space="0"/>
            </w:tcBorders>
            <w:vAlign w:val="center"/>
          </w:tcPr>
          <w:p w14:paraId="68178CC3">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236" w:type="pct"/>
            <w:tcBorders>
              <w:top w:val="single" w:color="auto" w:sz="2" w:space="0"/>
              <w:left w:val="single" w:color="auto" w:sz="2" w:space="0"/>
              <w:bottom w:val="single" w:color="auto" w:sz="2" w:space="0"/>
              <w:right w:val="single" w:color="auto" w:sz="2" w:space="0"/>
            </w:tcBorders>
            <w:vAlign w:val="center"/>
          </w:tcPr>
          <w:p w14:paraId="5607259C">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p>
        </w:tc>
        <w:tc>
          <w:tcPr>
            <w:tcW w:w="1192" w:type="pct"/>
            <w:tcBorders>
              <w:top w:val="single" w:color="auto" w:sz="2" w:space="0"/>
              <w:left w:val="single" w:color="auto" w:sz="2" w:space="0"/>
              <w:bottom w:val="single" w:color="auto" w:sz="2" w:space="0"/>
              <w:right w:val="single" w:color="auto" w:sz="2" w:space="0"/>
            </w:tcBorders>
            <w:vAlign w:val="center"/>
          </w:tcPr>
          <w:p w14:paraId="68B30708">
            <w:pPr>
              <w:autoSpaceDE/>
              <w:autoSpaceDN/>
              <w:adjustRightInd w:val="0"/>
              <w:snapToGrid w:val="0"/>
              <w:spacing w:line="30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银行账号</w:t>
            </w:r>
          </w:p>
        </w:tc>
        <w:tc>
          <w:tcPr>
            <w:tcW w:w="1277" w:type="pct"/>
            <w:tcBorders>
              <w:top w:val="single" w:color="auto" w:sz="2" w:space="0"/>
              <w:left w:val="single" w:color="auto" w:sz="2" w:space="0"/>
              <w:bottom w:val="single" w:color="auto" w:sz="2" w:space="0"/>
            </w:tcBorders>
            <w:vAlign w:val="center"/>
          </w:tcPr>
          <w:p w14:paraId="48E686BC">
            <w:pPr>
              <w:autoSpaceDE/>
              <w:autoSpaceDN/>
              <w:adjustRightInd w:val="0"/>
              <w:snapToGrid w:val="0"/>
              <w:spacing w:line="300" w:lineRule="exact"/>
              <w:jc w:val="center"/>
              <w:rPr>
                <w:rFonts w:hint="eastAsia" w:ascii="宋体" w:hAnsi="宋体" w:eastAsia="宋体" w:cs="宋体"/>
                <w:color w:val="auto"/>
                <w:spacing w:val="20"/>
                <w:kern w:val="2"/>
                <w:sz w:val="21"/>
                <w:szCs w:val="21"/>
                <w:highlight w:val="none"/>
              </w:rPr>
            </w:pPr>
          </w:p>
        </w:tc>
      </w:tr>
      <w:tr w14:paraId="694FCC6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63BA60FE">
            <w:pPr>
              <w:widowControl w:val="0"/>
              <w:adjustRightInd w:val="0"/>
              <w:snapToGrid w:val="0"/>
              <w:spacing w:before="156" w:beforeLines="50" w:after="0" w:line="360" w:lineRule="auto"/>
              <w:ind w:left="0" w:leftChars="0" w:firstLine="630"/>
              <w:jc w:val="left"/>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注：涉及联合体或其他合同主体的信息应按上表格式加列。</w:t>
            </w:r>
          </w:p>
        </w:tc>
      </w:tr>
    </w:tbl>
    <w:p w14:paraId="4938941A">
      <w:pPr>
        <w:keepNext/>
        <w:keepLines/>
        <w:pageBreakBefore w:val="0"/>
        <w:widowControl w:val="0"/>
        <w:kinsoku/>
        <w:wordWrap/>
        <w:overflowPunct/>
        <w:topLinePunct w:val="0"/>
        <w:autoSpaceDE/>
        <w:autoSpaceDN/>
        <w:bidi w:val="0"/>
        <w:adjustRightInd w:val="0"/>
        <w:snapToGrid w:val="0"/>
        <w:spacing w:before="156" w:beforeLines="50" w:after="157" w:afterLines="50" w:line="240" w:lineRule="auto"/>
        <w:jc w:val="center"/>
        <w:textAlignment w:val="auto"/>
        <w:outlineLvl w:val="1"/>
        <w:rPr>
          <w:rFonts w:hint="eastAsia" w:ascii="宋体" w:hAnsi="宋体" w:eastAsia="宋体" w:cs="宋体"/>
          <w:b/>
          <w:bCs/>
          <w:color w:val="auto"/>
          <w:kern w:val="2"/>
          <w:sz w:val="36"/>
          <w:szCs w:val="36"/>
          <w:highlight w:val="none"/>
          <w:lang w:val="en-US" w:eastAsia="zh-CN" w:bidi="ar-SA"/>
        </w:rPr>
      </w:pPr>
      <w:r>
        <w:rPr>
          <w:rFonts w:hint="eastAsia" w:ascii="宋体" w:hAnsi="宋体" w:eastAsia="宋体" w:cs="宋体"/>
          <w:b/>
          <w:bCs/>
          <w:color w:val="auto"/>
          <w:kern w:val="2"/>
          <w:sz w:val="21"/>
          <w:szCs w:val="21"/>
          <w:highlight w:val="none"/>
          <w:u w:val="single"/>
          <w:lang w:val="en-US" w:eastAsia="zh-CN" w:bidi="ar-SA"/>
        </w:rPr>
        <w:br w:type="page"/>
      </w:r>
      <w:bookmarkStart w:id="118" w:name="_Toc11498"/>
      <w:bookmarkStart w:id="119" w:name="_Toc13825"/>
      <w:bookmarkStart w:id="120" w:name="_Toc27624"/>
      <w:r>
        <w:rPr>
          <w:rFonts w:hint="eastAsia" w:ascii="宋体" w:hAnsi="宋体" w:eastAsia="宋体" w:cs="宋体"/>
          <w:b/>
          <w:bCs/>
          <w:color w:val="auto"/>
          <w:kern w:val="2"/>
          <w:sz w:val="36"/>
          <w:szCs w:val="36"/>
          <w:highlight w:val="none"/>
          <w:lang w:val="en-US" w:eastAsia="zh-CN" w:bidi="ar-SA"/>
        </w:rPr>
        <w:t>第二节 政府采购合同通用条款</w:t>
      </w:r>
      <w:bookmarkEnd w:id="118"/>
      <w:bookmarkEnd w:id="119"/>
      <w:bookmarkEnd w:id="120"/>
    </w:p>
    <w:p w14:paraId="04059302">
      <w:pPr>
        <w:tabs>
          <w:tab w:val="left" w:pos="8820"/>
          <w:tab w:val="left" w:pos="9345"/>
          <w:tab w:val="left" w:pos="9765"/>
        </w:tabs>
        <w:autoSpaceDE/>
        <w:autoSpaceDN/>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color w:val="auto"/>
          <w:kern w:val="2"/>
          <w:sz w:val="21"/>
          <w:szCs w:val="21"/>
          <w:highlight w:val="none"/>
        </w:rPr>
        <w:t>1.</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定义</w:t>
      </w:r>
    </w:p>
    <w:p w14:paraId="1EA126DD">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1.1合同当事人</w:t>
      </w:r>
    </w:p>
    <w:p w14:paraId="1B278EF8">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（1）采购人（以下称甲方）是指使用财政性资金，通过政府采购方式向供应商购买货物</w:t>
      </w:r>
      <w:r>
        <w:rPr>
          <w:rFonts w:hint="eastAsia" w:ascii="宋体" w:hAnsi="宋体" w:eastAsia="宋体" w:cs="宋体"/>
          <w:color w:val="auto"/>
          <w:kern w:val="2"/>
          <w:sz w:val="21"/>
          <w:szCs w:val="21"/>
          <w:highlight w:val="none"/>
          <w:lang w:val="en-US" w:eastAsia="zh-CN"/>
        </w:rPr>
        <w:t>及其相关服务的</w:t>
      </w:r>
      <w:r>
        <w:rPr>
          <w:rFonts w:hint="eastAsia" w:ascii="宋体" w:hAnsi="宋体" w:eastAsia="宋体" w:cs="宋体"/>
          <w:color w:val="auto"/>
          <w:kern w:val="2"/>
          <w:sz w:val="21"/>
          <w:szCs w:val="21"/>
          <w:highlight w:val="none"/>
        </w:rPr>
        <w:t>国家机关、事业单位、团体组织。</w:t>
      </w:r>
    </w:p>
    <w:p w14:paraId="4A104EEB">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（2）供应商（以下称</w:t>
      </w:r>
      <w:r>
        <w:rPr>
          <w:rFonts w:hint="eastAsia" w:ascii="宋体" w:hAnsi="宋体" w:eastAsia="宋体" w:cs="宋体"/>
          <w:color w:val="auto"/>
          <w:kern w:val="2"/>
          <w:sz w:val="21"/>
          <w:szCs w:val="21"/>
          <w:highlight w:val="none"/>
          <w:lang w:eastAsia="zh-CN"/>
        </w:rPr>
        <w:t>乙</w:t>
      </w:r>
      <w:r>
        <w:rPr>
          <w:rFonts w:hint="eastAsia" w:ascii="宋体" w:hAnsi="宋体" w:eastAsia="宋体" w:cs="宋体"/>
          <w:color w:val="auto"/>
          <w:kern w:val="2"/>
          <w:sz w:val="21"/>
          <w:szCs w:val="21"/>
          <w:highlight w:val="none"/>
        </w:rPr>
        <w:t>方）是指参加政府采购活动并且中标（成交），向采购人提供</w:t>
      </w:r>
      <w:r>
        <w:rPr>
          <w:rFonts w:hint="eastAsia" w:ascii="宋体" w:hAnsi="宋体" w:eastAsia="宋体" w:cs="宋体"/>
          <w:color w:val="auto"/>
          <w:kern w:val="2"/>
          <w:sz w:val="21"/>
          <w:szCs w:val="21"/>
          <w:highlight w:val="none"/>
          <w:lang w:val="en-US" w:eastAsia="zh-CN"/>
        </w:rPr>
        <w:t>合同约定的货物及其相关服务的法人、非法人组织或者自然人</w:t>
      </w:r>
      <w:r>
        <w:rPr>
          <w:rFonts w:hint="eastAsia" w:ascii="宋体" w:hAnsi="宋体" w:eastAsia="宋体" w:cs="宋体"/>
          <w:color w:val="auto"/>
          <w:kern w:val="2"/>
          <w:sz w:val="21"/>
          <w:szCs w:val="21"/>
          <w:highlight w:val="none"/>
        </w:rPr>
        <w:t>。</w:t>
      </w:r>
    </w:p>
    <w:p w14:paraId="4087E705">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（3）其他合同主体是指除采购人和供应商以外，</w:t>
      </w:r>
      <w:r>
        <w:rPr>
          <w:rFonts w:hint="eastAsia" w:ascii="宋体" w:hAnsi="宋体" w:eastAsia="宋体" w:cs="宋体"/>
          <w:bCs/>
          <w:color w:val="auto"/>
          <w:kern w:val="2"/>
          <w:sz w:val="21"/>
          <w:szCs w:val="21"/>
          <w:highlight w:val="none"/>
        </w:rPr>
        <w:t>依法参与合同缔结或履行，享有权利、承担义务的合同当事人</w:t>
      </w:r>
      <w:r>
        <w:rPr>
          <w:rFonts w:hint="eastAsia" w:ascii="宋体" w:hAnsi="宋体" w:eastAsia="宋体" w:cs="宋体"/>
          <w:color w:val="auto"/>
          <w:kern w:val="2"/>
          <w:sz w:val="21"/>
          <w:szCs w:val="21"/>
          <w:highlight w:val="none"/>
        </w:rPr>
        <w:t>。</w:t>
      </w:r>
    </w:p>
    <w:p w14:paraId="0DBF17DC">
      <w:pPr>
        <w:tabs>
          <w:tab w:val="left" w:pos="570"/>
          <w:tab w:val="left" w:pos="9240"/>
          <w:tab w:val="left" w:pos="9555"/>
        </w:tabs>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1.2本合同下列术语应解释为：</w:t>
      </w:r>
    </w:p>
    <w:p w14:paraId="7A7C9AB5">
      <w:pPr>
        <w:autoSpaceDE/>
        <w:autoSpaceDN/>
        <w:adjustRightInd w:val="0"/>
        <w:snapToGrid w:val="0"/>
        <w:spacing w:before="0" w:beforeLines="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（1）“合同”系指</w:t>
      </w:r>
      <w:r>
        <w:rPr>
          <w:rFonts w:hint="eastAsia" w:ascii="宋体" w:hAnsi="宋体" w:eastAsia="宋体" w:cs="宋体"/>
          <w:bCs/>
          <w:color w:val="auto"/>
          <w:kern w:val="2"/>
          <w:sz w:val="21"/>
          <w:szCs w:val="21"/>
          <w:highlight w:val="none"/>
        </w:rPr>
        <w:t>合同当事人意思表示达成一致的任何协议，包括签署的</w:t>
      </w:r>
      <w:r>
        <w:rPr>
          <w:rFonts w:hint="eastAsia" w:ascii="宋体" w:hAnsi="宋体" w:eastAsia="宋体" w:cs="宋体"/>
          <w:color w:val="auto"/>
          <w:kern w:val="2"/>
          <w:sz w:val="21"/>
          <w:szCs w:val="21"/>
          <w:highlight w:val="none"/>
          <w:lang w:eastAsia="zh-CN"/>
        </w:rPr>
        <w:t>政府采购</w:t>
      </w:r>
      <w:r>
        <w:rPr>
          <w:rFonts w:hint="eastAsia" w:ascii="宋体" w:hAnsi="宋体" w:eastAsia="宋体" w:cs="宋体"/>
          <w:color w:val="auto"/>
          <w:kern w:val="2"/>
          <w:sz w:val="21"/>
          <w:szCs w:val="21"/>
          <w:highlight w:val="none"/>
        </w:rPr>
        <w:t>合同协议书及其变更、补充</w:t>
      </w:r>
      <w:r>
        <w:rPr>
          <w:rFonts w:hint="eastAsia" w:ascii="宋体" w:hAnsi="宋体" w:eastAsia="宋体" w:cs="宋体"/>
          <w:color w:val="auto"/>
          <w:kern w:val="2"/>
          <w:sz w:val="21"/>
          <w:szCs w:val="21"/>
          <w:highlight w:val="none"/>
          <w:lang w:eastAsia="zh-CN"/>
        </w:rPr>
        <w:t>协议，</w:t>
      </w:r>
      <w:r>
        <w:rPr>
          <w:rFonts w:hint="eastAsia" w:ascii="宋体" w:hAnsi="宋体" w:eastAsia="宋体" w:cs="宋体"/>
          <w:color w:val="auto"/>
          <w:kern w:val="2"/>
          <w:sz w:val="21"/>
          <w:szCs w:val="21"/>
          <w:highlight w:val="none"/>
        </w:rPr>
        <w:t>政府采购合同专用条款</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政府采购合同通用条款</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中标</w:t>
      </w:r>
      <w:r>
        <w:rPr>
          <w:rFonts w:hint="eastAsia" w:ascii="宋体" w:hAnsi="宋体" w:eastAsia="宋体" w:cs="宋体"/>
          <w:color w:val="auto"/>
          <w:kern w:val="2"/>
          <w:sz w:val="21"/>
          <w:szCs w:val="21"/>
          <w:highlight w:val="none"/>
          <w:lang w:eastAsia="zh-CN"/>
        </w:rPr>
        <w:t>（成交）</w:t>
      </w:r>
      <w:r>
        <w:rPr>
          <w:rFonts w:hint="eastAsia" w:ascii="宋体" w:hAnsi="宋体" w:eastAsia="宋体" w:cs="宋体"/>
          <w:color w:val="auto"/>
          <w:kern w:val="2"/>
          <w:sz w:val="21"/>
          <w:szCs w:val="21"/>
          <w:highlight w:val="none"/>
        </w:rPr>
        <w:t>通知书</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投标（响应）文件</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采购文件</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有关技术文件</w:t>
      </w:r>
      <w:r>
        <w:rPr>
          <w:rFonts w:hint="eastAsia" w:ascii="宋体" w:hAnsi="宋体" w:eastAsia="宋体" w:cs="宋体"/>
          <w:color w:val="auto"/>
          <w:kern w:val="2"/>
          <w:sz w:val="21"/>
          <w:szCs w:val="21"/>
          <w:highlight w:val="none"/>
          <w:lang w:eastAsia="zh-CN"/>
        </w:rPr>
        <w:t>和</w:t>
      </w:r>
      <w:r>
        <w:rPr>
          <w:rFonts w:hint="eastAsia" w:ascii="宋体" w:hAnsi="宋体" w:eastAsia="宋体" w:cs="宋体"/>
          <w:color w:val="auto"/>
          <w:kern w:val="2"/>
          <w:sz w:val="21"/>
          <w:szCs w:val="21"/>
          <w:highlight w:val="none"/>
        </w:rPr>
        <w:t>图纸</w:t>
      </w:r>
      <w:r>
        <w:rPr>
          <w:rFonts w:hint="eastAsia" w:ascii="宋体" w:hAnsi="宋体" w:eastAsia="宋体" w:cs="宋体"/>
          <w:color w:val="auto"/>
          <w:kern w:val="2"/>
          <w:sz w:val="21"/>
          <w:szCs w:val="21"/>
          <w:highlight w:val="none"/>
          <w:lang w:eastAsia="zh-CN"/>
        </w:rPr>
        <w:t>，以及国家法律、行政法规和规章制度规定或合同约定的作为合同组成部分的其他文件</w:t>
      </w:r>
      <w:r>
        <w:rPr>
          <w:rFonts w:hint="eastAsia" w:ascii="宋体" w:hAnsi="宋体" w:eastAsia="宋体" w:cs="宋体"/>
          <w:color w:val="auto"/>
          <w:kern w:val="2"/>
          <w:sz w:val="21"/>
          <w:szCs w:val="21"/>
          <w:highlight w:val="none"/>
        </w:rPr>
        <w:t>。</w:t>
      </w:r>
    </w:p>
    <w:p w14:paraId="6E703C0F">
      <w:pPr>
        <w:tabs>
          <w:tab w:val="left" w:pos="570"/>
          <w:tab w:val="left" w:pos="9240"/>
          <w:tab w:val="left" w:pos="9555"/>
        </w:tabs>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）“合同价</w:t>
      </w:r>
      <w:r>
        <w:rPr>
          <w:rFonts w:hint="eastAsia" w:ascii="宋体" w:hAnsi="宋体" w:eastAsia="宋体" w:cs="宋体"/>
          <w:color w:val="auto"/>
          <w:kern w:val="2"/>
          <w:sz w:val="21"/>
          <w:szCs w:val="21"/>
          <w:highlight w:val="none"/>
          <w:lang w:val="en-US" w:eastAsia="zh-CN"/>
        </w:rPr>
        <w:t>款</w:t>
      </w:r>
      <w:r>
        <w:rPr>
          <w:rFonts w:hint="eastAsia" w:ascii="宋体" w:hAnsi="宋体" w:eastAsia="宋体" w:cs="宋体"/>
          <w:color w:val="auto"/>
          <w:kern w:val="2"/>
          <w:sz w:val="21"/>
          <w:szCs w:val="21"/>
          <w:highlight w:val="none"/>
        </w:rPr>
        <w:t>”系指根据本合同规定乙方在全面履行合同义务后甲方应支付给乙方的价款。</w:t>
      </w:r>
    </w:p>
    <w:p w14:paraId="09C60E06">
      <w:pPr>
        <w:tabs>
          <w:tab w:val="left" w:pos="570"/>
          <w:tab w:val="left" w:pos="9240"/>
          <w:tab w:val="left" w:pos="9555"/>
        </w:tabs>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rPr>
        <w:t>）“货物”系指乙方根据本合同规定须向甲方提供的各种形态和种类的物品，包括原材料、设备、产品（包括软件）及相关的其备品备件、工具、手册及</w:t>
      </w:r>
      <w:r>
        <w:rPr>
          <w:rFonts w:hint="eastAsia" w:ascii="宋体" w:hAnsi="宋体" w:eastAsia="宋体" w:cs="宋体"/>
          <w:color w:val="auto"/>
          <w:kern w:val="2"/>
          <w:sz w:val="21"/>
          <w:szCs w:val="21"/>
          <w:highlight w:val="none"/>
          <w:lang w:val="en"/>
        </w:rPr>
        <w:t>其他</w:t>
      </w:r>
      <w:r>
        <w:rPr>
          <w:rFonts w:hint="eastAsia" w:ascii="宋体" w:hAnsi="宋体" w:eastAsia="宋体" w:cs="宋体"/>
          <w:color w:val="auto"/>
          <w:kern w:val="2"/>
          <w:sz w:val="21"/>
          <w:szCs w:val="21"/>
          <w:highlight w:val="none"/>
        </w:rPr>
        <w:t>技术资料和材料</w:t>
      </w:r>
      <w:r>
        <w:rPr>
          <w:rFonts w:hint="eastAsia" w:ascii="宋体" w:hAnsi="宋体" w:eastAsia="宋体" w:cs="宋体"/>
          <w:color w:val="auto"/>
          <w:kern w:val="2"/>
          <w:sz w:val="21"/>
          <w:szCs w:val="21"/>
          <w:highlight w:val="none"/>
          <w:lang w:eastAsia="zh-CN"/>
        </w:rPr>
        <w:t>等</w:t>
      </w:r>
      <w:r>
        <w:rPr>
          <w:rFonts w:hint="eastAsia" w:ascii="宋体" w:hAnsi="宋体" w:eastAsia="宋体" w:cs="宋体"/>
          <w:color w:val="auto"/>
          <w:kern w:val="2"/>
          <w:sz w:val="21"/>
          <w:szCs w:val="21"/>
          <w:highlight w:val="none"/>
        </w:rPr>
        <w:t>。</w:t>
      </w:r>
    </w:p>
    <w:p w14:paraId="18749100">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相关</w:t>
      </w:r>
      <w:r>
        <w:rPr>
          <w:rFonts w:hint="eastAsia" w:ascii="宋体" w:hAnsi="宋体" w:eastAsia="宋体" w:cs="宋体"/>
          <w:color w:val="auto"/>
          <w:kern w:val="2"/>
          <w:sz w:val="21"/>
          <w:szCs w:val="21"/>
          <w:highlight w:val="none"/>
        </w:rPr>
        <w:t>服务”系指根据合同规定，乙方应提供的</w:t>
      </w:r>
      <w:r>
        <w:rPr>
          <w:rFonts w:hint="eastAsia" w:ascii="宋体" w:hAnsi="宋体" w:eastAsia="宋体" w:cs="宋体"/>
          <w:color w:val="auto"/>
          <w:kern w:val="2"/>
          <w:sz w:val="21"/>
          <w:szCs w:val="21"/>
          <w:highlight w:val="none"/>
          <w:lang w:val="en-US" w:eastAsia="zh-CN"/>
        </w:rPr>
        <w:t>与货物有关的</w:t>
      </w:r>
      <w:r>
        <w:rPr>
          <w:rFonts w:hint="eastAsia" w:ascii="宋体" w:hAnsi="宋体" w:eastAsia="宋体" w:cs="宋体"/>
          <w:color w:val="auto"/>
          <w:kern w:val="2"/>
          <w:sz w:val="21"/>
          <w:szCs w:val="21"/>
          <w:highlight w:val="none"/>
        </w:rPr>
        <w:t>技术、管理和</w:t>
      </w:r>
      <w:r>
        <w:rPr>
          <w:rFonts w:hint="eastAsia" w:ascii="宋体" w:hAnsi="宋体" w:eastAsia="宋体" w:cs="宋体"/>
          <w:color w:val="auto"/>
          <w:kern w:val="2"/>
          <w:sz w:val="21"/>
          <w:szCs w:val="21"/>
          <w:highlight w:val="none"/>
          <w:lang w:val="en"/>
        </w:rPr>
        <w:t>其他</w:t>
      </w:r>
      <w:r>
        <w:rPr>
          <w:rFonts w:hint="eastAsia" w:ascii="宋体" w:hAnsi="宋体" w:eastAsia="宋体" w:cs="宋体"/>
          <w:color w:val="auto"/>
          <w:kern w:val="2"/>
          <w:sz w:val="21"/>
          <w:szCs w:val="21"/>
          <w:highlight w:val="none"/>
        </w:rPr>
        <w:t>服务，包括但不限于：管理和质量保证、运输、保险、检验、现场准备、安装、集成、调试、培训、维修、</w:t>
      </w:r>
      <w:r>
        <w:rPr>
          <w:rFonts w:hint="eastAsia" w:ascii="宋体" w:hAnsi="宋体" w:eastAsia="宋体" w:cs="宋体"/>
          <w:color w:val="auto"/>
          <w:kern w:val="2"/>
          <w:sz w:val="21"/>
          <w:szCs w:val="21"/>
          <w:highlight w:val="none"/>
          <w:lang w:eastAsia="zh-CN"/>
        </w:rPr>
        <w:t>废弃处置、</w:t>
      </w:r>
      <w:r>
        <w:rPr>
          <w:rFonts w:hint="eastAsia" w:ascii="宋体" w:hAnsi="宋体" w:eastAsia="宋体" w:cs="宋体"/>
          <w:color w:val="auto"/>
          <w:kern w:val="2"/>
          <w:sz w:val="21"/>
          <w:szCs w:val="21"/>
          <w:highlight w:val="none"/>
        </w:rPr>
        <w:t>技术支持等以及合同中规定乙方应承担的</w:t>
      </w:r>
      <w:r>
        <w:rPr>
          <w:rFonts w:hint="eastAsia" w:ascii="宋体" w:hAnsi="宋体" w:eastAsia="宋体" w:cs="宋体"/>
          <w:color w:val="auto"/>
          <w:kern w:val="2"/>
          <w:sz w:val="21"/>
          <w:szCs w:val="21"/>
          <w:highlight w:val="none"/>
          <w:lang w:val="en"/>
        </w:rPr>
        <w:t>其他</w:t>
      </w:r>
      <w:r>
        <w:rPr>
          <w:rFonts w:hint="eastAsia" w:ascii="宋体" w:hAnsi="宋体" w:eastAsia="宋体" w:cs="宋体"/>
          <w:color w:val="auto"/>
          <w:kern w:val="2"/>
          <w:sz w:val="21"/>
          <w:szCs w:val="21"/>
          <w:highlight w:val="none"/>
        </w:rPr>
        <w:t>义务。</w:t>
      </w:r>
    </w:p>
    <w:p w14:paraId="60403AB0">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）“分包”系指中标</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成交</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供应商按采购文件、投标（响应）文件的规定，根据分包意向协议</w:t>
      </w:r>
      <w:r>
        <w:rPr>
          <w:rFonts w:hint="eastAsia" w:ascii="宋体" w:hAnsi="宋体" w:eastAsia="宋体" w:cs="宋体"/>
          <w:color w:val="auto"/>
          <w:kern w:val="2"/>
          <w:sz w:val="21"/>
          <w:szCs w:val="21"/>
          <w:highlight w:val="none"/>
          <w:lang w:val="en-US" w:eastAsia="zh-CN"/>
        </w:rPr>
        <w:t>书</w:t>
      </w:r>
      <w:r>
        <w:rPr>
          <w:rFonts w:hint="eastAsia" w:ascii="宋体" w:hAnsi="宋体" w:eastAsia="宋体" w:cs="宋体"/>
          <w:color w:val="auto"/>
          <w:kern w:val="2"/>
          <w:sz w:val="21"/>
          <w:szCs w:val="21"/>
          <w:highlight w:val="none"/>
        </w:rPr>
        <w:t>，将中标</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成交</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项目中的部分履约内容，分给具有相应资质条件的供应商履行合同的行为。</w:t>
      </w:r>
    </w:p>
    <w:p w14:paraId="4287798A">
      <w:pPr>
        <w:tabs>
          <w:tab w:val="left" w:pos="570"/>
          <w:tab w:val="left" w:pos="9240"/>
          <w:tab w:val="left" w:pos="9555"/>
        </w:tabs>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）“联合体”系指</w:t>
      </w:r>
      <w:r>
        <w:rPr>
          <w:rFonts w:hint="eastAsia" w:ascii="宋体" w:hAnsi="宋体" w:eastAsia="宋体" w:cs="宋体"/>
          <w:color w:val="auto"/>
          <w:kern w:val="2"/>
          <w:sz w:val="21"/>
          <w:szCs w:val="21"/>
          <w:highlight w:val="none"/>
          <w:lang w:eastAsia="zh-CN"/>
        </w:rPr>
        <w:t>由</w:t>
      </w:r>
      <w:r>
        <w:rPr>
          <w:rFonts w:hint="eastAsia" w:ascii="宋体" w:hAnsi="宋体" w:eastAsia="宋体" w:cs="宋体"/>
          <w:color w:val="auto"/>
          <w:kern w:val="2"/>
          <w:sz w:val="21"/>
          <w:szCs w:val="21"/>
          <w:highlight w:val="none"/>
        </w:rPr>
        <w:t>两个以上的自然人、法人或者</w:t>
      </w:r>
      <w:r>
        <w:rPr>
          <w:rFonts w:hint="eastAsia" w:ascii="宋体" w:hAnsi="宋体" w:eastAsia="宋体" w:cs="宋体"/>
          <w:color w:val="auto"/>
          <w:kern w:val="2"/>
          <w:sz w:val="21"/>
          <w:szCs w:val="21"/>
          <w:highlight w:val="none"/>
          <w:lang w:val="en-US" w:eastAsia="zh-CN"/>
        </w:rPr>
        <w:t>非法人</w:t>
      </w:r>
      <w:r>
        <w:rPr>
          <w:rFonts w:hint="eastAsia" w:ascii="宋体" w:hAnsi="宋体" w:eastAsia="宋体" w:cs="宋体"/>
          <w:color w:val="auto"/>
          <w:kern w:val="2"/>
          <w:sz w:val="21"/>
          <w:szCs w:val="21"/>
          <w:highlight w:val="none"/>
        </w:rPr>
        <w:t>组织组成，</w:t>
      </w:r>
      <w:r>
        <w:rPr>
          <w:rFonts w:hint="eastAsia" w:ascii="宋体" w:hAnsi="宋体" w:eastAsia="宋体" w:cs="宋体"/>
          <w:color w:val="auto"/>
          <w:kern w:val="2"/>
          <w:sz w:val="21"/>
          <w:szCs w:val="21"/>
          <w:highlight w:val="none"/>
          <w:lang w:eastAsia="zh-CN"/>
        </w:rPr>
        <w:t>以一个供应商的身份共同参加政府采购的主体。</w:t>
      </w:r>
      <w:r>
        <w:rPr>
          <w:rFonts w:hint="eastAsia" w:ascii="宋体" w:hAnsi="宋体" w:eastAsia="宋体" w:cs="宋体"/>
          <w:color w:val="auto"/>
          <w:kern w:val="2"/>
          <w:sz w:val="21"/>
          <w:szCs w:val="21"/>
          <w:highlight w:val="none"/>
        </w:rPr>
        <w:t>联合体各方应在签订合同协议书前向甲方提交联合</w:t>
      </w:r>
      <w:r>
        <w:rPr>
          <w:rFonts w:hint="eastAsia" w:ascii="宋体" w:hAnsi="宋体" w:eastAsia="宋体" w:cs="宋体"/>
          <w:color w:val="auto"/>
          <w:kern w:val="2"/>
          <w:sz w:val="21"/>
          <w:szCs w:val="21"/>
          <w:highlight w:val="none"/>
          <w:lang w:val="en-US" w:eastAsia="zh-CN"/>
        </w:rPr>
        <w:t>体</w:t>
      </w:r>
      <w:r>
        <w:rPr>
          <w:rFonts w:hint="eastAsia" w:ascii="宋体" w:hAnsi="宋体" w:eastAsia="宋体" w:cs="宋体"/>
          <w:color w:val="auto"/>
          <w:kern w:val="2"/>
          <w:sz w:val="21"/>
          <w:szCs w:val="21"/>
          <w:highlight w:val="none"/>
        </w:rPr>
        <w:t>协议</w:t>
      </w:r>
      <w:r>
        <w:rPr>
          <w:rFonts w:hint="eastAsia" w:ascii="宋体" w:hAnsi="宋体" w:eastAsia="宋体" w:cs="宋体"/>
          <w:color w:val="auto"/>
          <w:kern w:val="2"/>
          <w:sz w:val="21"/>
          <w:szCs w:val="21"/>
          <w:highlight w:val="none"/>
          <w:lang w:val="en-US" w:eastAsia="zh-CN"/>
        </w:rPr>
        <w:t>书</w:t>
      </w:r>
      <w:r>
        <w:rPr>
          <w:rFonts w:hint="eastAsia" w:ascii="宋体" w:hAnsi="宋体" w:eastAsia="宋体" w:cs="宋体"/>
          <w:color w:val="auto"/>
          <w:kern w:val="2"/>
          <w:sz w:val="21"/>
          <w:szCs w:val="21"/>
          <w:highlight w:val="none"/>
        </w:rPr>
        <w:t>，且明确牵头人及各成员单位的工作分工、权利、义务、责任，联合体各方应共同与甲方签订合同，就合同约定的事项对</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承担连带责任。联合体具体要求见【</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w:t>
      </w:r>
    </w:p>
    <w:p w14:paraId="100463ED">
      <w:pPr>
        <w:tabs>
          <w:tab w:val="left" w:pos="570"/>
          <w:tab w:val="left" w:pos="9240"/>
          <w:tab w:val="left" w:pos="9555"/>
        </w:tabs>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7</w:t>
      </w:r>
      <w:r>
        <w:rPr>
          <w:rFonts w:hint="eastAsia" w:ascii="宋体" w:hAnsi="宋体" w:eastAsia="宋体" w:cs="宋体"/>
          <w:color w:val="auto"/>
          <w:kern w:val="2"/>
          <w:sz w:val="21"/>
          <w:szCs w:val="21"/>
          <w:highlight w:val="none"/>
        </w:rPr>
        <w:t>）其他术语解释，见【</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w:t>
      </w:r>
    </w:p>
    <w:p w14:paraId="2671A925">
      <w:pPr>
        <w:numPr>
          <w:ilvl w:val="0"/>
          <w:numId w:val="8"/>
        </w:num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color w:val="auto"/>
          <w:kern w:val="2"/>
          <w:sz w:val="21"/>
          <w:szCs w:val="21"/>
          <w:highlight w:val="none"/>
        </w:rPr>
        <w:t>合同标的及金额</w:t>
      </w:r>
    </w:p>
    <w:p w14:paraId="518EE407">
      <w:pPr>
        <w:autoSpaceDE w:val="0"/>
        <w:autoSpaceDN w:val="0"/>
        <w:adjustRightInd w:val="0"/>
        <w:snapToGrid w:val="0"/>
        <w:spacing w:before="0" w:line="400" w:lineRule="exact"/>
        <w:ind w:firstLine="420" w:firstLineChars="200"/>
        <w:jc w:val="left"/>
        <w:rPr>
          <w:rFonts w:hint="eastAsia" w:ascii="宋体" w:hAnsi="宋体" w:eastAsia="宋体" w:cs="宋体"/>
          <w:b/>
          <w:bCs/>
          <w:i/>
          <w:iCs/>
          <w:color w:val="auto"/>
          <w:kern w:val="2"/>
          <w:sz w:val="21"/>
          <w:szCs w:val="21"/>
          <w:highlight w:val="none"/>
        </w:rPr>
      </w:pPr>
      <w:r>
        <w:rPr>
          <w:rFonts w:hint="eastAsia" w:ascii="宋体" w:hAnsi="宋体" w:eastAsia="宋体" w:cs="宋体"/>
          <w:color w:val="auto"/>
          <w:kern w:val="2"/>
          <w:sz w:val="21"/>
          <w:szCs w:val="21"/>
          <w:highlight w:val="none"/>
          <w:lang w:eastAsia="zh-CN"/>
        </w:rPr>
        <w:t>2</w:t>
      </w:r>
      <w:r>
        <w:rPr>
          <w:rFonts w:hint="eastAsia" w:ascii="宋体" w:hAnsi="宋体" w:eastAsia="宋体" w:cs="宋体"/>
          <w:color w:val="auto"/>
          <w:kern w:val="2"/>
          <w:sz w:val="21"/>
          <w:szCs w:val="21"/>
          <w:highlight w:val="none"/>
        </w:rPr>
        <w:t>.1 合同标的及金额应与中标（成交）结果一致。乙方为履行本合同而发生的所有费用均应包含在合同</w:t>
      </w:r>
      <w:r>
        <w:rPr>
          <w:rFonts w:hint="eastAsia" w:ascii="宋体" w:hAnsi="宋体" w:eastAsia="宋体" w:cs="宋体"/>
          <w:color w:val="auto"/>
          <w:kern w:val="2"/>
          <w:sz w:val="21"/>
          <w:szCs w:val="21"/>
          <w:highlight w:val="none"/>
          <w:lang w:eastAsia="zh-CN"/>
        </w:rPr>
        <w:t>价款</w:t>
      </w:r>
      <w:r>
        <w:rPr>
          <w:rFonts w:hint="eastAsia" w:ascii="宋体" w:hAnsi="宋体" w:eastAsia="宋体" w:cs="宋体"/>
          <w:color w:val="auto"/>
          <w:kern w:val="2"/>
          <w:sz w:val="21"/>
          <w:szCs w:val="21"/>
          <w:highlight w:val="none"/>
        </w:rPr>
        <w:t>中，甲方不再另行支付</w:t>
      </w:r>
      <w:r>
        <w:rPr>
          <w:rFonts w:hint="eastAsia" w:ascii="宋体" w:hAnsi="宋体" w:eastAsia="宋体" w:cs="宋体"/>
          <w:color w:val="auto"/>
          <w:kern w:val="2"/>
          <w:sz w:val="21"/>
          <w:szCs w:val="21"/>
          <w:highlight w:val="none"/>
          <w:lang w:val="en"/>
        </w:rPr>
        <w:t>其他</w:t>
      </w:r>
      <w:r>
        <w:rPr>
          <w:rFonts w:hint="eastAsia" w:ascii="宋体" w:hAnsi="宋体" w:eastAsia="宋体" w:cs="宋体"/>
          <w:color w:val="auto"/>
          <w:kern w:val="2"/>
          <w:sz w:val="21"/>
          <w:szCs w:val="21"/>
          <w:highlight w:val="none"/>
        </w:rPr>
        <w:t>任何费用。</w:t>
      </w:r>
    </w:p>
    <w:p w14:paraId="49B81678">
      <w:pPr>
        <w:autoSpaceDE/>
        <w:autoSpaceDN/>
        <w:adjustRightInd w:val="0"/>
        <w:snapToGrid w:val="0"/>
        <w:spacing w:before="0" w:line="400" w:lineRule="exact"/>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lang w:eastAsia="zh-CN"/>
        </w:rPr>
        <w:t>3</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履行合同的时间、地点和方式</w:t>
      </w:r>
    </w:p>
    <w:p w14:paraId="41F3C043">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3</w:t>
      </w:r>
      <w:r>
        <w:rPr>
          <w:rFonts w:hint="eastAsia" w:ascii="宋体" w:hAnsi="宋体" w:eastAsia="宋体" w:cs="宋体"/>
          <w:color w:val="auto"/>
          <w:kern w:val="2"/>
          <w:sz w:val="21"/>
          <w:szCs w:val="21"/>
          <w:highlight w:val="none"/>
        </w:rPr>
        <w:t>.1 乙方应当在约定的时间、地点</w:t>
      </w:r>
      <w:r>
        <w:rPr>
          <w:rFonts w:hint="eastAsia" w:ascii="宋体" w:hAnsi="宋体" w:eastAsia="宋体" w:cs="宋体"/>
          <w:color w:val="auto"/>
          <w:kern w:val="2"/>
          <w:sz w:val="21"/>
          <w:szCs w:val="21"/>
          <w:highlight w:val="none"/>
          <w:lang w:eastAsia="zh-CN"/>
        </w:rPr>
        <w:t>，按照约定</w:t>
      </w:r>
      <w:r>
        <w:rPr>
          <w:rFonts w:hint="eastAsia" w:ascii="宋体" w:hAnsi="宋体" w:eastAsia="宋体" w:cs="宋体"/>
          <w:color w:val="auto"/>
          <w:kern w:val="2"/>
          <w:sz w:val="21"/>
          <w:szCs w:val="21"/>
          <w:highlight w:val="none"/>
        </w:rPr>
        <w:t>方式履行合同。</w:t>
      </w:r>
    </w:p>
    <w:p w14:paraId="2BA5AAC4">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eastAsia="zh-CN"/>
        </w:rPr>
        <w:t>4</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甲方的权利和义务</w:t>
      </w:r>
    </w:p>
    <w:p w14:paraId="5036A58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4</w:t>
      </w:r>
      <w:r>
        <w:rPr>
          <w:rFonts w:hint="eastAsia" w:ascii="宋体" w:hAnsi="宋体" w:eastAsia="宋体" w:cs="宋体"/>
          <w:color w:val="auto"/>
          <w:kern w:val="2"/>
          <w:sz w:val="21"/>
          <w:szCs w:val="21"/>
          <w:highlight w:val="none"/>
        </w:rPr>
        <w:t>.1 签署合同后，甲方</w:t>
      </w:r>
      <w:r>
        <w:rPr>
          <w:rFonts w:hint="eastAsia" w:ascii="宋体" w:hAnsi="宋体" w:eastAsia="宋体" w:cs="宋体"/>
          <w:color w:val="auto"/>
          <w:kern w:val="2"/>
          <w:sz w:val="21"/>
          <w:szCs w:val="21"/>
          <w:highlight w:val="none"/>
          <w:lang w:eastAsia="zh-CN"/>
        </w:rPr>
        <w:t>应</w:t>
      </w:r>
      <w:r>
        <w:rPr>
          <w:rFonts w:hint="eastAsia" w:ascii="宋体" w:hAnsi="宋体" w:eastAsia="宋体" w:cs="宋体"/>
          <w:color w:val="auto"/>
          <w:kern w:val="2"/>
          <w:sz w:val="21"/>
          <w:szCs w:val="21"/>
          <w:highlight w:val="none"/>
        </w:rPr>
        <w:t>确定</w:t>
      </w:r>
      <w:r>
        <w:rPr>
          <w:rFonts w:hint="eastAsia" w:ascii="宋体" w:hAnsi="宋体" w:eastAsia="宋体" w:cs="宋体"/>
          <w:color w:val="auto"/>
          <w:kern w:val="2"/>
          <w:sz w:val="21"/>
          <w:szCs w:val="21"/>
          <w:highlight w:val="none"/>
          <w:lang w:val="en-US" w:eastAsia="zh-CN"/>
        </w:rPr>
        <w:t>项目负责人（或项目联系人）</w:t>
      </w:r>
      <w:r>
        <w:rPr>
          <w:rFonts w:hint="eastAsia" w:ascii="宋体" w:hAnsi="宋体" w:eastAsia="宋体" w:cs="宋体"/>
          <w:color w:val="auto"/>
          <w:kern w:val="2"/>
          <w:sz w:val="21"/>
          <w:szCs w:val="21"/>
          <w:highlight w:val="none"/>
        </w:rPr>
        <w:t>，负责与本合同有关的事务。甲方有权对乙方的履约行为进行检查，并及时确认乙方提交的事项。甲方应当配合乙方完成相关项目实施工作。</w:t>
      </w:r>
    </w:p>
    <w:p w14:paraId="27256267">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4</w:t>
      </w:r>
      <w:r>
        <w:rPr>
          <w:rFonts w:hint="eastAsia" w:ascii="宋体" w:hAnsi="宋体" w:eastAsia="宋体" w:cs="宋体"/>
          <w:color w:val="auto"/>
          <w:kern w:val="2"/>
          <w:sz w:val="21"/>
          <w:szCs w:val="21"/>
          <w:highlight w:val="none"/>
        </w:rPr>
        <w:t>.2 甲方有权要求乙方按时提交各阶段有关安排计划，并有权定期核对乙方提供货物数量、规格、质量等内容。甲方有权督促乙方工作并要求乙方更换不符合要求的货物。</w:t>
      </w:r>
    </w:p>
    <w:p w14:paraId="0A7B80A7">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4</w:t>
      </w:r>
      <w:r>
        <w:rPr>
          <w:rFonts w:hint="eastAsia" w:ascii="宋体" w:hAnsi="宋体" w:eastAsia="宋体" w:cs="宋体"/>
          <w:color w:val="auto"/>
          <w:kern w:val="2"/>
          <w:sz w:val="21"/>
          <w:szCs w:val="21"/>
          <w:highlight w:val="none"/>
        </w:rPr>
        <w:t>.3 甲方有权要求乙方对缺陷部分予以修复，并按合同约定享有货物保修及其他合同约定的权利。</w:t>
      </w:r>
    </w:p>
    <w:p w14:paraId="1436C60C">
      <w:pPr>
        <w:autoSpaceDE/>
        <w:autoSpaceDN/>
        <w:adjustRightInd/>
        <w:snapToGrid w:val="0"/>
        <w:spacing w:line="400" w:lineRule="exact"/>
        <w:ind w:firstLine="420" w:firstLineChars="20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4.4 甲方应当按照合同约定及时对交付的货物进行验收，</w:t>
      </w:r>
      <w:r>
        <w:rPr>
          <w:rFonts w:hint="eastAsia" w:ascii="宋体" w:hAnsi="宋体" w:eastAsia="宋体" w:cs="宋体"/>
          <w:b w:val="0"/>
          <w:bCs w:val="0"/>
          <w:color w:val="auto"/>
          <w:kern w:val="2"/>
          <w:sz w:val="21"/>
          <w:szCs w:val="21"/>
          <w:highlight w:val="none"/>
          <w:lang w:eastAsia="zh-CN"/>
        </w:rPr>
        <w:t>未</w:t>
      </w:r>
      <w:r>
        <w:rPr>
          <w:rFonts w:hint="eastAsia" w:ascii="宋体" w:hAnsi="宋体" w:eastAsia="宋体" w:cs="宋体"/>
          <w:color w:val="auto"/>
          <w:kern w:val="2"/>
          <w:sz w:val="21"/>
          <w:szCs w:val="21"/>
          <w:highlight w:val="none"/>
          <w:lang w:val="en-US" w:eastAsia="zh-CN"/>
        </w:rPr>
        <w:t>在</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b w:val="0"/>
          <w:bCs w:val="0"/>
          <w:color w:val="auto"/>
          <w:kern w:val="2"/>
          <w:sz w:val="21"/>
          <w:szCs w:val="21"/>
          <w:highlight w:val="none"/>
          <w:lang w:eastAsia="zh-CN"/>
        </w:rPr>
        <w:t>约定的期限内对乙方履约提出任何异议或者向乙方作出任何说明的，</w:t>
      </w:r>
      <w:r>
        <w:rPr>
          <w:rFonts w:hint="eastAsia" w:ascii="宋体" w:hAnsi="宋体" w:eastAsia="宋体" w:cs="宋体"/>
          <w:color w:val="auto"/>
          <w:kern w:val="2"/>
          <w:sz w:val="21"/>
          <w:szCs w:val="21"/>
          <w:highlight w:val="none"/>
          <w:lang w:val="en-US" w:eastAsia="zh-CN"/>
        </w:rPr>
        <w:t>视为验收通过。</w:t>
      </w:r>
    </w:p>
    <w:p w14:paraId="5BD30BF8">
      <w:pPr>
        <w:autoSpaceDE w:val="0"/>
        <w:autoSpaceDN w:val="0"/>
        <w:adjustRightInd w:val="0"/>
        <w:snapToGrid w:val="0"/>
        <w:spacing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4</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 xml:space="preserve"> 甲方应当根据合同约定</w:t>
      </w:r>
      <w:r>
        <w:rPr>
          <w:rFonts w:hint="eastAsia" w:ascii="宋体" w:hAnsi="宋体" w:eastAsia="宋体" w:cs="宋体"/>
          <w:color w:val="auto"/>
          <w:kern w:val="2"/>
          <w:sz w:val="21"/>
          <w:szCs w:val="21"/>
          <w:highlight w:val="none"/>
          <w:lang w:eastAsia="zh-CN"/>
        </w:rPr>
        <w:t>及</w:t>
      </w:r>
      <w:r>
        <w:rPr>
          <w:rFonts w:hint="eastAsia" w:ascii="宋体" w:hAnsi="宋体" w:eastAsia="宋体" w:cs="宋体"/>
          <w:color w:val="auto"/>
          <w:kern w:val="2"/>
          <w:sz w:val="21"/>
          <w:szCs w:val="21"/>
          <w:highlight w:val="none"/>
        </w:rPr>
        <w:t>时向乙方支付</w:t>
      </w:r>
      <w:r>
        <w:rPr>
          <w:rFonts w:hint="eastAsia" w:ascii="宋体" w:hAnsi="宋体" w:eastAsia="宋体" w:cs="宋体"/>
          <w:color w:val="auto"/>
          <w:kern w:val="2"/>
          <w:sz w:val="21"/>
          <w:szCs w:val="21"/>
          <w:highlight w:val="none"/>
          <w:lang w:eastAsia="zh-CN"/>
        </w:rPr>
        <w:t>合同价款，不得以内部人员变更、履行内部付款流程等为由，拒绝或迟延支付。</w:t>
      </w:r>
    </w:p>
    <w:p w14:paraId="00EFC633">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4</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 xml:space="preserve"> 国家法律法规规定</w:t>
      </w:r>
      <w:r>
        <w:rPr>
          <w:rFonts w:hint="eastAsia" w:ascii="宋体" w:hAnsi="宋体" w:eastAsia="宋体" w:cs="宋体"/>
          <w:color w:val="auto"/>
          <w:kern w:val="2"/>
          <w:sz w:val="21"/>
          <w:szCs w:val="21"/>
          <w:highlight w:val="none"/>
          <w:lang w:eastAsia="zh-CN"/>
        </w:rPr>
        <w:t>及</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lang w:eastAsia="zh-CN"/>
        </w:rPr>
        <w:t>约定应</w:t>
      </w:r>
      <w:r>
        <w:rPr>
          <w:rFonts w:hint="eastAsia" w:ascii="宋体" w:hAnsi="宋体" w:eastAsia="宋体" w:cs="宋体"/>
          <w:color w:val="auto"/>
          <w:kern w:val="2"/>
          <w:sz w:val="21"/>
          <w:szCs w:val="21"/>
          <w:highlight w:val="none"/>
        </w:rPr>
        <w:t>由甲方承担的其他义务和责任。</w:t>
      </w:r>
    </w:p>
    <w:p w14:paraId="5FF83E7D">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eastAsia="zh-CN"/>
        </w:rPr>
        <w:t>5</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乙方的权利和义务</w:t>
      </w:r>
    </w:p>
    <w:p w14:paraId="40807E9C">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5</w:t>
      </w:r>
      <w:r>
        <w:rPr>
          <w:rFonts w:hint="eastAsia" w:ascii="宋体" w:hAnsi="宋体" w:eastAsia="宋体" w:cs="宋体"/>
          <w:color w:val="auto"/>
          <w:kern w:val="2"/>
          <w:sz w:val="21"/>
          <w:szCs w:val="21"/>
          <w:highlight w:val="none"/>
        </w:rPr>
        <w:t>.1 签署合同后，乙方</w:t>
      </w:r>
      <w:r>
        <w:rPr>
          <w:rFonts w:hint="eastAsia" w:ascii="宋体" w:hAnsi="宋体" w:eastAsia="宋体" w:cs="宋体"/>
          <w:color w:val="auto"/>
          <w:kern w:val="2"/>
          <w:sz w:val="21"/>
          <w:szCs w:val="21"/>
          <w:highlight w:val="none"/>
          <w:lang w:eastAsia="zh-CN"/>
        </w:rPr>
        <w:t>应</w:t>
      </w:r>
      <w:r>
        <w:rPr>
          <w:rFonts w:hint="eastAsia" w:ascii="宋体" w:hAnsi="宋体" w:eastAsia="宋体" w:cs="宋体"/>
          <w:color w:val="auto"/>
          <w:kern w:val="2"/>
          <w:sz w:val="21"/>
          <w:szCs w:val="21"/>
          <w:highlight w:val="none"/>
        </w:rPr>
        <w:t>确定</w:t>
      </w:r>
      <w:r>
        <w:rPr>
          <w:rFonts w:hint="eastAsia" w:ascii="宋体" w:hAnsi="宋体" w:eastAsia="宋体" w:cs="宋体"/>
          <w:color w:val="auto"/>
          <w:kern w:val="2"/>
          <w:sz w:val="21"/>
          <w:szCs w:val="21"/>
          <w:highlight w:val="none"/>
          <w:lang w:val="en-US" w:eastAsia="zh-CN"/>
        </w:rPr>
        <w:t>项目负责人（或项目联系人）</w:t>
      </w:r>
      <w:r>
        <w:rPr>
          <w:rFonts w:hint="eastAsia" w:ascii="宋体" w:hAnsi="宋体" w:eastAsia="宋体" w:cs="宋体"/>
          <w:color w:val="auto"/>
          <w:kern w:val="2"/>
          <w:sz w:val="21"/>
          <w:szCs w:val="21"/>
          <w:highlight w:val="none"/>
        </w:rPr>
        <w:t>，负责与本合同有关的事务。</w:t>
      </w:r>
    </w:p>
    <w:p w14:paraId="5994D8F8">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5</w:t>
      </w:r>
      <w:r>
        <w:rPr>
          <w:rFonts w:hint="eastAsia" w:ascii="宋体" w:hAnsi="宋体" w:eastAsia="宋体" w:cs="宋体"/>
          <w:color w:val="auto"/>
          <w:kern w:val="2"/>
          <w:sz w:val="21"/>
          <w:szCs w:val="21"/>
          <w:highlight w:val="none"/>
        </w:rPr>
        <w:t>.2 乙方应按照合同要求履约，充分合理安排，确保提供的货物</w:t>
      </w:r>
      <w:r>
        <w:rPr>
          <w:rFonts w:hint="eastAsia" w:ascii="宋体" w:hAnsi="宋体" w:eastAsia="宋体" w:cs="宋体"/>
          <w:color w:val="auto"/>
          <w:kern w:val="2"/>
          <w:sz w:val="21"/>
          <w:szCs w:val="21"/>
          <w:highlight w:val="none"/>
          <w:lang w:eastAsia="zh-CN"/>
        </w:rPr>
        <w:t>及相关</w:t>
      </w:r>
      <w:r>
        <w:rPr>
          <w:rFonts w:hint="eastAsia" w:ascii="宋体" w:hAnsi="宋体" w:eastAsia="宋体" w:cs="宋体"/>
          <w:color w:val="auto"/>
          <w:kern w:val="2"/>
          <w:sz w:val="21"/>
          <w:szCs w:val="21"/>
          <w:highlight w:val="none"/>
        </w:rPr>
        <w:t>服务符合合同</w:t>
      </w:r>
      <w:r>
        <w:rPr>
          <w:rFonts w:hint="eastAsia" w:ascii="宋体" w:hAnsi="宋体" w:eastAsia="宋体" w:cs="宋体"/>
          <w:color w:val="auto"/>
          <w:kern w:val="2"/>
          <w:sz w:val="21"/>
          <w:szCs w:val="21"/>
          <w:highlight w:val="none"/>
          <w:lang w:eastAsia="zh-CN"/>
        </w:rPr>
        <w:t>有关</w:t>
      </w:r>
      <w:r>
        <w:rPr>
          <w:rFonts w:hint="eastAsia" w:ascii="宋体" w:hAnsi="宋体" w:eastAsia="宋体" w:cs="宋体"/>
          <w:color w:val="auto"/>
          <w:kern w:val="2"/>
          <w:sz w:val="21"/>
          <w:szCs w:val="21"/>
          <w:highlight w:val="none"/>
        </w:rPr>
        <w:t>要求。接受项目行业管理部门及政府有关部门的指导，配合甲方的履约检查</w:t>
      </w:r>
      <w:r>
        <w:rPr>
          <w:rFonts w:hint="eastAsia" w:ascii="宋体" w:hAnsi="宋体" w:eastAsia="宋体" w:cs="宋体"/>
          <w:color w:val="auto"/>
          <w:kern w:val="2"/>
          <w:sz w:val="21"/>
          <w:szCs w:val="21"/>
          <w:highlight w:val="none"/>
          <w:lang w:eastAsia="zh-CN"/>
        </w:rPr>
        <w:t>及验收</w:t>
      </w:r>
      <w:r>
        <w:rPr>
          <w:rFonts w:hint="eastAsia" w:ascii="宋体" w:hAnsi="宋体" w:eastAsia="宋体" w:cs="宋体"/>
          <w:color w:val="auto"/>
          <w:kern w:val="2"/>
          <w:sz w:val="21"/>
          <w:szCs w:val="21"/>
          <w:highlight w:val="none"/>
        </w:rPr>
        <w:t>，并负责项目实施过程中的所有协调工作。</w:t>
      </w:r>
    </w:p>
    <w:p w14:paraId="5DEB8004">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5.3乙方有权根据合同约定向甲方收取合同价款。</w:t>
      </w:r>
    </w:p>
    <w:p w14:paraId="508BC066">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5.4国家法律法规规定及</w:t>
      </w:r>
      <w:r>
        <w:rPr>
          <w:rFonts w:hint="eastAsia" w:ascii="宋体" w:hAnsi="宋体" w:eastAsia="宋体" w:cs="宋体"/>
          <w:b/>
          <w:bCs/>
          <w:color w:val="auto"/>
          <w:kern w:val="2"/>
          <w:sz w:val="21"/>
          <w:szCs w:val="21"/>
          <w:highlight w:val="none"/>
          <w:lang w:eastAsia="zh-CN"/>
        </w:rPr>
        <w:t>【政府采购合同专用条款】</w:t>
      </w:r>
      <w:r>
        <w:rPr>
          <w:rFonts w:hint="eastAsia" w:ascii="宋体" w:hAnsi="宋体" w:eastAsia="宋体" w:cs="宋体"/>
          <w:color w:val="auto"/>
          <w:kern w:val="2"/>
          <w:sz w:val="21"/>
          <w:szCs w:val="21"/>
          <w:highlight w:val="none"/>
          <w:lang w:eastAsia="zh-CN"/>
        </w:rPr>
        <w:t>约定应由乙方承担的其他义务和责任。</w:t>
      </w:r>
    </w:p>
    <w:p w14:paraId="2D4D98A1">
      <w:pPr>
        <w:numPr>
          <w:ilvl w:val="0"/>
          <w:numId w:val="9"/>
        </w:num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合同履</w:t>
      </w:r>
      <w:r>
        <w:rPr>
          <w:rFonts w:hint="eastAsia" w:ascii="宋体" w:hAnsi="宋体" w:eastAsia="宋体" w:cs="宋体"/>
          <w:b/>
          <w:bCs/>
          <w:color w:val="auto"/>
          <w:kern w:val="2"/>
          <w:sz w:val="21"/>
          <w:szCs w:val="21"/>
          <w:highlight w:val="none"/>
          <w:lang w:val="en-US" w:eastAsia="zh-CN"/>
        </w:rPr>
        <w:t>行</w:t>
      </w:r>
    </w:p>
    <w:p w14:paraId="23888F12">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6</w:t>
      </w:r>
      <w:r>
        <w:rPr>
          <w:rFonts w:hint="eastAsia" w:ascii="宋体" w:hAnsi="宋体" w:eastAsia="宋体" w:cs="宋体"/>
          <w:color w:val="auto"/>
          <w:kern w:val="2"/>
          <w:sz w:val="21"/>
          <w:szCs w:val="21"/>
          <w:highlight w:val="none"/>
        </w:rPr>
        <w:t>.1 甲乙双方应当按照</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约定顺序履行合同义务；如果没有先后顺序的，应当同时履行。</w:t>
      </w:r>
    </w:p>
    <w:p w14:paraId="3443A7A6">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6</w:t>
      </w:r>
      <w:r>
        <w:rPr>
          <w:rFonts w:hint="eastAsia" w:ascii="宋体" w:hAnsi="宋体" w:eastAsia="宋体" w:cs="宋体"/>
          <w:color w:val="auto"/>
          <w:kern w:val="2"/>
          <w:sz w:val="21"/>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6FDCDA6B">
      <w:pPr>
        <w:autoSpaceDE/>
        <w:autoSpaceDN/>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eastAsia="zh-CN"/>
        </w:rPr>
        <w:t>7</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货物包装、运输</w:t>
      </w:r>
      <w:r>
        <w:rPr>
          <w:rFonts w:hint="eastAsia" w:ascii="宋体" w:hAnsi="宋体" w:eastAsia="宋体" w:cs="宋体"/>
          <w:b/>
          <w:bCs/>
          <w:color w:val="auto"/>
          <w:kern w:val="2"/>
          <w:sz w:val="21"/>
          <w:szCs w:val="21"/>
          <w:highlight w:val="none"/>
          <w:lang w:eastAsia="zh-CN"/>
        </w:rPr>
        <w:t>、</w:t>
      </w:r>
      <w:r>
        <w:rPr>
          <w:rFonts w:hint="eastAsia" w:ascii="宋体" w:hAnsi="宋体" w:eastAsia="宋体" w:cs="宋体"/>
          <w:b/>
          <w:bCs/>
          <w:color w:val="auto"/>
          <w:kern w:val="2"/>
          <w:sz w:val="21"/>
          <w:szCs w:val="21"/>
          <w:highlight w:val="none"/>
        </w:rPr>
        <w:t>保险</w:t>
      </w:r>
      <w:r>
        <w:rPr>
          <w:rFonts w:hint="eastAsia" w:ascii="宋体" w:hAnsi="宋体" w:eastAsia="宋体" w:cs="宋体"/>
          <w:b/>
          <w:bCs/>
          <w:color w:val="auto"/>
          <w:kern w:val="2"/>
          <w:sz w:val="21"/>
          <w:szCs w:val="21"/>
          <w:highlight w:val="none"/>
          <w:lang w:eastAsia="zh-CN"/>
        </w:rPr>
        <w:t>和交付</w:t>
      </w:r>
      <w:r>
        <w:rPr>
          <w:rFonts w:hint="eastAsia" w:ascii="宋体" w:hAnsi="宋体" w:eastAsia="宋体" w:cs="宋体"/>
          <w:b/>
          <w:bCs/>
          <w:color w:val="auto"/>
          <w:kern w:val="2"/>
          <w:sz w:val="21"/>
          <w:szCs w:val="21"/>
          <w:highlight w:val="none"/>
        </w:rPr>
        <w:t>要求</w:t>
      </w:r>
    </w:p>
    <w:p w14:paraId="64BDD4AC">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7</w:t>
      </w:r>
      <w:r>
        <w:rPr>
          <w:rFonts w:hint="eastAsia" w:ascii="宋体" w:hAnsi="宋体" w:eastAsia="宋体" w:cs="宋体"/>
          <w:color w:val="auto"/>
          <w:kern w:val="2"/>
          <w:sz w:val="21"/>
          <w:szCs w:val="21"/>
          <w:highlight w:val="none"/>
        </w:rPr>
        <w:t>.1 本合同</w:t>
      </w:r>
      <w:r>
        <w:rPr>
          <w:rFonts w:hint="eastAsia" w:ascii="宋体" w:hAnsi="宋体" w:eastAsia="宋体" w:cs="宋体"/>
          <w:bCs/>
          <w:color w:val="auto"/>
          <w:kern w:val="2"/>
          <w:sz w:val="21"/>
          <w:szCs w:val="21"/>
          <w:highlight w:val="none"/>
        </w:rPr>
        <w:t>涉及商品包装</w:t>
      </w:r>
      <w:r>
        <w:rPr>
          <w:rFonts w:hint="eastAsia" w:ascii="宋体" w:hAnsi="宋体" w:eastAsia="宋体" w:cs="宋体"/>
          <w:bCs/>
          <w:color w:val="auto"/>
          <w:kern w:val="2"/>
          <w:sz w:val="21"/>
          <w:szCs w:val="21"/>
          <w:highlight w:val="none"/>
          <w:lang w:eastAsia="zh-CN"/>
        </w:rPr>
        <w:t>、</w:t>
      </w:r>
      <w:r>
        <w:rPr>
          <w:rFonts w:hint="eastAsia" w:ascii="宋体" w:hAnsi="宋体" w:eastAsia="宋体" w:cs="宋体"/>
          <w:bCs/>
          <w:color w:val="auto"/>
          <w:kern w:val="2"/>
          <w:sz w:val="21"/>
          <w:szCs w:val="21"/>
          <w:highlight w:val="none"/>
        </w:rPr>
        <w:t>快递包装的，</w:t>
      </w:r>
      <w:r>
        <w:rPr>
          <w:rFonts w:hint="eastAsia" w:ascii="宋体" w:hAnsi="宋体" w:eastAsia="宋体" w:cs="宋体"/>
          <w:color w:val="auto"/>
          <w:kern w:val="2"/>
          <w:sz w:val="21"/>
          <w:szCs w:val="21"/>
          <w:highlight w:val="none"/>
        </w:rPr>
        <w:t>除</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bCs/>
          <w:color w:val="auto"/>
          <w:kern w:val="2"/>
          <w:sz w:val="21"/>
          <w:szCs w:val="21"/>
          <w:highlight w:val="none"/>
        </w:rPr>
        <w:t>另有</w:t>
      </w:r>
      <w:r>
        <w:rPr>
          <w:rFonts w:hint="eastAsia" w:ascii="宋体" w:hAnsi="宋体" w:eastAsia="宋体" w:cs="宋体"/>
          <w:bCs/>
          <w:color w:val="auto"/>
          <w:kern w:val="2"/>
          <w:sz w:val="21"/>
          <w:szCs w:val="21"/>
          <w:highlight w:val="none"/>
          <w:lang w:eastAsia="zh-CN"/>
        </w:rPr>
        <w:t>约</w:t>
      </w:r>
      <w:r>
        <w:rPr>
          <w:rFonts w:hint="eastAsia" w:ascii="宋体" w:hAnsi="宋体" w:eastAsia="宋体" w:cs="宋体"/>
          <w:bCs/>
          <w:color w:val="auto"/>
          <w:kern w:val="2"/>
          <w:sz w:val="21"/>
          <w:szCs w:val="21"/>
          <w:highlight w:val="none"/>
        </w:rPr>
        <w:t>定</w:t>
      </w:r>
      <w:r>
        <w:rPr>
          <w:rFonts w:hint="eastAsia" w:ascii="宋体" w:hAnsi="宋体" w:eastAsia="宋体" w:cs="宋体"/>
          <w:bCs/>
          <w:color w:val="auto"/>
          <w:kern w:val="2"/>
          <w:sz w:val="21"/>
          <w:szCs w:val="21"/>
          <w:highlight w:val="none"/>
          <w:lang w:eastAsia="zh-CN"/>
        </w:rPr>
        <w:t>外</w:t>
      </w:r>
      <w:r>
        <w:rPr>
          <w:rFonts w:hint="eastAsia" w:ascii="宋体" w:hAnsi="宋体" w:eastAsia="宋体" w:cs="宋体"/>
          <w:bCs/>
          <w:color w:val="auto"/>
          <w:kern w:val="2"/>
          <w:sz w:val="21"/>
          <w:szCs w:val="21"/>
          <w:highlight w:val="none"/>
        </w:rPr>
        <w:t>，</w:t>
      </w:r>
      <w:r>
        <w:rPr>
          <w:rFonts w:hint="eastAsia" w:ascii="宋体" w:hAnsi="宋体" w:eastAsia="宋体" w:cs="宋体"/>
          <w:color w:val="auto"/>
          <w:kern w:val="2"/>
          <w:sz w:val="21"/>
          <w:szCs w:val="21"/>
          <w:highlight w:val="none"/>
        </w:rPr>
        <w:t>包装应适应远距离运输、防潮、防震、防锈和防野蛮装卸等要求，确保货物安全无损地运抵</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b w:val="0"/>
          <w:bCs/>
          <w:color w:val="auto"/>
          <w:kern w:val="2"/>
          <w:sz w:val="21"/>
          <w:szCs w:val="21"/>
          <w:highlight w:val="none"/>
          <w:lang w:eastAsia="zh-CN"/>
        </w:rPr>
        <w:t>约定的</w:t>
      </w:r>
      <w:r>
        <w:rPr>
          <w:rFonts w:hint="eastAsia" w:ascii="宋体" w:hAnsi="宋体" w:eastAsia="宋体" w:cs="宋体"/>
          <w:color w:val="auto"/>
          <w:kern w:val="2"/>
          <w:sz w:val="21"/>
          <w:szCs w:val="21"/>
          <w:highlight w:val="none"/>
        </w:rPr>
        <w:t>指定现场。</w:t>
      </w:r>
    </w:p>
    <w:p w14:paraId="00DED015">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7</w:t>
      </w:r>
      <w:r>
        <w:rPr>
          <w:rFonts w:hint="eastAsia" w:ascii="宋体" w:hAnsi="宋体" w:eastAsia="宋体" w:cs="宋体"/>
          <w:color w:val="auto"/>
          <w:kern w:val="2"/>
          <w:sz w:val="21"/>
          <w:szCs w:val="21"/>
          <w:highlight w:val="none"/>
        </w:rPr>
        <w:t>.2 除</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bCs/>
          <w:color w:val="auto"/>
          <w:kern w:val="2"/>
          <w:sz w:val="21"/>
          <w:szCs w:val="21"/>
          <w:highlight w:val="none"/>
        </w:rPr>
        <w:t>另有</w:t>
      </w:r>
      <w:r>
        <w:rPr>
          <w:rFonts w:hint="eastAsia" w:ascii="宋体" w:hAnsi="宋体" w:eastAsia="宋体" w:cs="宋体"/>
          <w:bCs/>
          <w:color w:val="auto"/>
          <w:kern w:val="2"/>
          <w:sz w:val="21"/>
          <w:szCs w:val="21"/>
          <w:highlight w:val="none"/>
          <w:lang w:eastAsia="zh-CN"/>
        </w:rPr>
        <w:t>约</w:t>
      </w:r>
      <w:r>
        <w:rPr>
          <w:rFonts w:hint="eastAsia" w:ascii="宋体" w:hAnsi="宋体" w:eastAsia="宋体" w:cs="宋体"/>
          <w:bCs/>
          <w:color w:val="auto"/>
          <w:kern w:val="2"/>
          <w:sz w:val="21"/>
          <w:szCs w:val="21"/>
          <w:highlight w:val="none"/>
        </w:rPr>
        <w:t>定</w:t>
      </w:r>
      <w:r>
        <w:rPr>
          <w:rFonts w:hint="eastAsia" w:ascii="宋体" w:hAnsi="宋体" w:eastAsia="宋体" w:cs="宋体"/>
          <w:bCs/>
          <w:color w:val="auto"/>
          <w:kern w:val="2"/>
          <w:sz w:val="21"/>
          <w:szCs w:val="21"/>
          <w:highlight w:val="none"/>
          <w:lang w:eastAsia="zh-CN"/>
        </w:rPr>
        <w:t>外</w:t>
      </w:r>
      <w:r>
        <w:rPr>
          <w:rFonts w:hint="eastAsia" w:ascii="宋体" w:hAnsi="宋体" w:eastAsia="宋体" w:cs="宋体"/>
          <w:bCs/>
          <w:color w:val="auto"/>
          <w:kern w:val="2"/>
          <w:sz w:val="21"/>
          <w:szCs w:val="21"/>
          <w:highlight w:val="none"/>
        </w:rPr>
        <w:t>，</w:t>
      </w:r>
      <w:r>
        <w:rPr>
          <w:rFonts w:hint="eastAsia" w:ascii="宋体" w:hAnsi="宋体" w:eastAsia="宋体" w:cs="宋体"/>
          <w:color w:val="auto"/>
          <w:kern w:val="2"/>
          <w:sz w:val="21"/>
          <w:szCs w:val="21"/>
          <w:highlight w:val="none"/>
        </w:rPr>
        <w:t>乙方负责办理将货物运抵本合同规定的交货地点</w:t>
      </w:r>
      <w:r>
        <w:rPr>
          <w:rFonts w:hint="eastAsia" w:ascii="宋体" w:hAnsi="宋体" w:eastAsia="宋体" w:cs="宋体"/>
          <w:color w:val="auto"/>
          <w:kern w:val="2"/>
          <w:sz w:val="21"/>
          <w:szCs w:val="21"/>
          <w:highlight w:val="none"/>
          <w:lang w:eastAsia="zh-CN"/>
        </w:rPr>
        <w:t>，并装卸、交付至甲方</w:t>
      </w:r>
      <w:r>
        <w:rPr>
          <w:rFonts w:hint="eastAsia" w:ascii="宋体" w:hAnsi="宋体" w:eastAsia="宋体" w:cs="宋体"/>
          <w:color w:val="auto"/>
          <w:kern w:val="2"/>
          <w:sz w:val="21"/>
          <w:szCs w:val="21"/>
          <w:highlight w:val="none"/>
        </w:rPr>
        <w:t>的一切运输事项，相关费用应</w:t>
      </w:r>
      <w:r>
        <w:rPr>
          <w:rFonts w:hint="eastAsia" w:ascii="宋体" w:hAnsi="宋体" w:eastAsia="宋体" w:cs="宋体"/>
          <w:color w:val="auto"/>
          <w:kern w:val="2"/>
          <w:sz w:val="21"/>
          <w:szCs w:val="21"/>
          <w:highlight w:val="none"/>
          <w:lang w:eastAsia="zh-CN"/>
        </w:rPr>
        <w:t>包含</w:t>
      </w:r>
      <w:r>
        <w:rPr>
          <w:rFonts w:hint="eastAsia" w:ascii="宋体" w:hAnsi="宋体" w:eastAsia="宋体" w:cs="宋体"/>
          <w:color w:val="auto"/>
          <w:kern w:val="2"/>
          <w:sz w:val="21"/>
          <w:szCs w:val="21"/>
          <w:highlight w:val="none"/>
        </w:rPr>
        <w:t>在合同</w:t>
      </w:r>
      <w:r>
        <w:rPr>
          <w:rFonts w:hint="eastAsia" w:ascii="宋体" w:hAnsi="宋体" w:eastAsia="宋体" w:cs="宋体"/>
          <w:color w:val="auto"/>
          <w:kern w:val="2"/>
          <w:sz w:val="21"/>
          <w:szCs w:val="21"/>
          <w:highlight w:val="none"/>
          <w:lang w:eastAsia="zh-CN"/>
        </w:rPr>
        <w:t>价款</w:t>
      </w:r>
      <w:r>
        <w:rPr>
          <w:rFonts w:hint="eastAsia" w:ascii="宋体" w:hAnsi="宋体" w:eastAsia="宋体" w:cs="宋体"/>
          <w:color w:val="auto"/>
          <w:kern w:val="2"/>
          <w:sz w:val="21"/>
          <w:szCs w:val="21"/>
          <w:highlight w:val="none"/>
        </w:rPr>
        <w:t>中。</w:t>
      </w:r>
    </w:p>
    <w:p w14:paraId="6EA7B5BC">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7</w:t>
      </w:r>
      <w:r>
        <w:rPr>
          <w:rFonts w:hint="eastAsia" w:ascii="宋体" w:hAnsi="宋体" w:eastAsia="宋体" w:cs="宋体"/>
          <w:color w:val="auto"/>
          <w:kern w:val="2"/>
          <w:sz w:val="21"/>
          <w:szCs w:val="21"/>
          <w:highlight w:val="none"/>
        </w:rPr>
        <w:t>.3 货物保险要求按</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bCs/>
          <w:color w:val="auto"/>
          <w:kern w:val="2"/>
          <w:sz w:val="21"/>
          <w:szCs w:val="21"/>
          <w:highlight w:val="none"/>
        </w:rPr>
        <w:t>规定执行</w:t>
      </w:r>
      <w:r>
        <w:rPr>
          <w:rFonts w:hint="eastAsia" w:ascii="宋体" w:hAnsi="宋体" w:eastAsia="宋体" w:cs="宋体"/>
          <w:color w:val="auto"/>
          <w:kern w:val="2"/>
          <w:sz w:val="21"/>
          <w:szCs w:val="21"/>
          <w:highlight w:val="none"/>
        </w:rPr>
        <w:t>。</w:t>
      </w:r>
    </w:p>
    <w:p w14:paraId="648BE1CE">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7</w:t>
      </w:r>
      <w:r>
        <w:rPr>
          <w:rFonts w:hint="eastAsia" w:ascii="宋体" w:hAnsi="宋体" w:eastAsia="宋体" w:cs="宋体"/>
          <w:color w:val="auto"/>
          <w:kern w:val="2"/>
          <w:sz w:val="21"/>
          <w:szCs w:val="21"/>
          <w:highlight w:val="none"/>
        </w:rPr>
        <w:t xml:space="preserve">.4 </w:t>
      </w:r>
      <w:r>
        <w:rPr>
          <w:rFonts w:hint="eastAsia" w:ascii="宋体" w:hAnsi="宋体" w:eastAsia="宋体" w:cs="宋体"/>
          <w:color w:val="auto"/>
          <w:kern w:val="2"/>
          <w:sz w:val="21"/>
          <w:szCs w:val="21"/>
          <w:highlight w:val="none"/>
          <w:lang w:val="en-US" w:eastAsia="zh-CN"/>
        </w:rPr>
        <w:t>除采购活动</w:t>
      </w:r>
      <w:r>
        <w:rPr>
          <w:rFonts w:hint="eastAsia" w:ascii="宋体" w:hAnsi="宋体" w:eastAsia="宋体" w:cs="宋体"/>
          <w:color w:val="auto"/>
          <w:kern w:val="2"/>
          <w:sz w:val="21"/>
          <w:szCs w:val="21"/>
          <w:highlight w:val="none"/>
        </w:rPr>
        <w:t>对商品包装</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快递包装</w:t>
      </w:r>
      <w:r>
        <w:rPr>
          <w:rFonts w:hint="eastAsia" w:ascii="宋体" w:hAnsi="宋体" w:eastAsia="宋体" w:cs="宋体"/>
          <w:color w:val="auto"/>
          <w:kern w:val="2"/>
          <w:sz w:val="21"/>
          <w:szCs w:val="21"/>
          <w:highlight w:val="none"/>
          <w:lang w:val="en-US" w:eastAsia="zh-CN"/>
        </w:rPr>
        <w:t>达成具体约定外</w:t>
      </w:r>
      <w:r>
        <w:rPr>
          <w:rFonts w:hint="eastAsia" w:ascii="宋体" w:hAnsi="宋体" w:eastAsia="宋体" w:cs="宋体"/>
          <w:color w:val="auto"/>
          <w:kern w:val="2"/>
          <w:sz w:val="21"/>
          <w:szCs w:val="21"/>
          <w:highlight w:val="none"/>
        </w:rPr>
        <w:t>，乙方提供产品及相关快递服务</w:t>
      </w:r>
      <w:r>
        <w:rPr>
          <w:rFonts w:hint="eastAsia" w:ascii="宋体" w:hAnsi="宋体" w:eastAsia="宋体" w:cs="宋体"/>
          <w:color w:val="auto"/>
          <w:kern w:val="2"/>
          <w:sz w:val="21"/>
          <w:szCs w:val="21"/>
          <w:highlight w:val="none"/>
          <w:lang w:val="en-US" w:eastAsia="zh-CN"/>
        </w:rPr>
        <w:t>涉及到</w:t>
      </w:r>
      <w:r>
        <w:rPr>
          <w:rFonts w:hint="eastAsia" w:ascii="宋体" w:hAnsi="宋体" w:eastAsia="宋体" w:cs="宋体"/>
          <w:color w:val="auto"/>
          <w:kern w:val="2"/>
          <w:sz w:val="21"/>
          <w:szCs w:val="21"/>
          <w:highlight w:val="none"/>
        </w:rPr>
        <w:t>具体包装要求</w:t>
      </w:r>
      <w:r>
        <w:rPr>
          <w:rFonts w:hint="eastAsia" w:ascii="宋体" w:hAnsi="宋体" w:eastAsia="宋体" w:cs="宋体"/>
          <w:color w:val="auto"/>
          <w:kern w:val="2"/>
          <w:sz w:val="21"/>
          <w:szCs w:val="21"/>
          <w:highlight w:val="none"/>
          <w:lang w:val="en-US" w:eastAsia="zh-CN"/>
        </w:rPr>
        <w:t>的，</w:t>
      </w:r>
      <w:r>
        <w:rPr>
          <w:rFonts w:hint="eastAsia" w:ascii="宋体" w:hAnsi="宋体" w:eastAsia="宋体" w:cs="宋体"/>
          <w:color w:val="auto"/>
          <w:kern w:val="2"/>
          <w:sz w:val="21"/>
          <w:szCs w:val="21"/>
          <w:highlight w:val="none"/>
        </w:rPr>
        <w:t>应</w:t>
      </w:r>
      <w:r>
        <w:rPr>
          <w:rFonts w:hint="eastAsia" w:ascii="宋体" w:hAnsi="宋体" w:eastAsia="宋体" w:cs="宋体"/>
          <w:color w:val="auto"/>
          <w:kern w:val="2"/>
          <w:sz w:val="21"/>
          <w:szCs w:val="21"/>
          <w:highlight w:val="none"/>
          <w:lang w:val="en-US" w:eastAsia="zh-CN"/>
        </w:rPr>
        <w:t>不低于</w:t>
      </w:r>
      <w:r>
        <w:rPr>
          <w:rFonts w:hint="eastAsia" w:ascii="宋体" w:hAnsi="宋体" w:eastAsia="宋体" w:cs="宋体"/>
          <w:color w:val="auto"/>
          <w:kern w:val="2"/>
          <w:sz w:val="21"/>
          <w:szCs w:val="21"/>
          <w:highlight w:val="none"/>
        </w:rPr>
        <w:t>《商品包装政府采购需求标准（试行）</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快递包装政府采购需求标准（试行）》</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，并作为履约验收的内容，必要时甲方可以要求乙方在履约验收环节出具检测报告。</w:t>
      </w:r>
    </w:p>
    <w:p w14:paraId="45153740">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7.5 </w:t>
      </w:r>
      <w:r>
        <w:rPr>
          <w:rFonts w:hint="eastAsia" w:ascii="宋体" w:hAnsi="宋体" w:eastAsia="宋体" w:cs="宋体"/>
          <w:color w:val="auto"/>
          <w:kern w:val="2"/>
          <w:sz w:val="21"/>
          <w:szCs w:val="21"/>
          <w:highlight w:val="none"/>
        </w:rPr>
        <w:t>乙方在运输到达之前</w:t>
      </w:r>
      <w:r>
        <w:rPr>
          <w:rFonts w:hint="eastAsia" w:ascii="宋体" w:hAnsi="宋体" w:eastAsia="宋体" w:cs="宋体"/>
          <w:color w:val="auto"/>
          <w:kern w:val="2"/>
          <w:sz w:val="21"/>
          <w:szCs w:val="21"/>
          <w:highlight w:val="none"/>
          <w:lang w:eastAsia="zh-CN"/>
        </w:rPr>
        <w:t>应</w:t>
      </w:r>
      <w:r>
        <w:rPr>
          <w:rFonts w:hint="eastAsia" w:ascii="宋体" w:hAnsi="宋体" w:eastAsia="宋体" w:cs="宋体"/>
          <w:color w:val="auto"/>
          <w:kern w:val="2"/>
          <w:sz w:val="21"/>
          <w:szCs w:val="21"/>
          <w:highlight w:val="none"/>
        </w:rPr>
        <w:t>提前通知</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，并提示货物运输装卸的注意事项</w:t>
      </w:r>
      <w:r>
        <w:rPr>
          <w:rFonts w:hint="eastAsia" w:ascii="宋体" w:hAnsi="宋体" w:eastAsia="宋体" w:cs="宋体"/>
          <w:color w:val="auto"/>
          <w:kern w:val="2"/>
          <w:sz w:val="21"/>
          <w:szCs w:val="21"/>
          <w:highlight w:val="none"/>
          <w:lang w:eastAsia="zh-CN"/>
        </w:rPr>
        <w:t>，甲方配合乙方做好货物的接收工作。</w:t>
      </w:r>
    </w:p>
    <w:p w14:paraId="0444A18D">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7.6 如因包装、运输问题导致货物损毁、丢失或者品质下降，甲方有权要求降价、换货、拒收部分或整批货物，由此产生的费用和损失，均由乙方承担。</w:t>
      </w:r>
    </w:p>
    <w:p w14:paraId="34E309DD">
      <w:pPr>
        <w:autoSpaceDE/>
        <w:autoSpaceDN/>
        <w:adjustRightInd w:val="0"/>
        <w:snapToGrid w:val="0"/>
        <w:spacing w:before="0" w:line="400" w:lineRule="exact"/>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lang w:eastAsia="zh-CN"/>
        </w:rPr>
        <w:t>8</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质量标准和保证</w:t>
      </w:r>
    </w:p>
    <w:p w14:paraId="7B1679E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8.1 质量标准</w:t>
      </w:r>
    </w:p>
    <w:p w14:paraId="67385228">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（1）本合同下</w:t>
      </w:r>
      <w:r>
        <w:rPr>
          <w:rFonts w:hint="eastAsia" w:ascii="宋体" w:hAnsi="宋体" w:eastAsia="宋体" w:cs="宋体"/>
          <w:color w:val="auto"/>
          <w:kern w:val="2"/>
          <w:sz w:val="21"/>
          <w:szCs w:val="21"/>
          <w:highlight w:val="none"/>
          <w:lang w:eastAsia="zh-CN"/>
        </w:rPr>
        <w:t>提供</w:t>
      </w:r>
      <w:r>
        <w:rPr>
          <w:rFonts w:hint="eastAsia" w:ascii="宋体" w:hAnsi="宋体" w:eastAsia="宋体" w:cs="宋体"/>
          <w:color w:val="auto"/>
          <w:kern w:val="2"/>
          <w:sz w:val="21"/>
          <w:szCs w:val="21"/>
          <w:highlight w:val="none"/>
        </w:rPr>
        <w:t>的货物应符合</w:t>
      </w:r>
      <w:r>
        <w:rPr>
          <w:rFonts w:hint="eastAsia" w:ascii="宋体" w:hAnsi="宋体" w:eastAsia="宋体" w:cs="宋体"/>
          <w:color w:val="auto"/>
          <w:kern w:val="2"/>
          <w:sz w:val="21"/>
          <w:szCs w:val="21"/>
          <w:highlight w:val="none"/>
          <w:lang w:eastAsia="zh-CN"/>
        </w:rPr>
        <w:t>合同约</w:t>
      </w:r>
      <w:r>
        <w:rPr>
          <w:rFonts w:hint="eastAsia" w:ascii="宋体" w:hAnsi="宋体" w:eastAsia="宋体" w:cs="宋体"/>
          <w:color w:val="auto"/>
          <w:kern w:val="2"/>
          <w:sz w:val="21"/>
          <w:szCs w:val="21"/>
          <w:highlight w:val="none"/>
        </w:rPr>
        <w:t>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宋体"/>
          <w:color w:val="auto"/>
          <w:kern w:val="2"/>
          <w:sz w:val="21"/>
          <w:szCs w:val="21"/>
          <w:highlight w:val="none"/>
          <w:lang w:eastAsia="zh-CN"/>
        </w:rPr>
        <w:t>。</w:t>
      </w:r>
    </w:p>
    <w:p w14:paraId="08D66C60">
      <w:pPr>
        <w:widowControl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（2）采用中华人民共和国法定计量单位。</w:t>
      </w:r>
    </w:p>
    <w:p w14:paraId="2960FA6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（3）乙方所</w:t>
      </w:r>
      <w:r>
        <w:rPr>
          <w:rFonts w:hint="eastAsia" w:ascii="宋体" w:hAnsi="宋体" w:eastAsia="宋体" w:cs="宋体"/>
          <w:color w:val="auto"/>
          <w:kern w:val="2"/>
          <w:sz w:val="21"/>
          <w:szCs w:val="21"/>
          <w:highlight w:val="none"/>
          <w:lang w:eastAsia="zh-CN"/>
        </w:rPr>
        <w:t>提供</w:t>
      </w:r>
      <w:r>
        <w:rPr>
          <w:rFonts w:hint="eastAsia" w:ascii="宋体" w:hAnsi="宋体" w:eastAsia="宋体" w:cs="宋体"/>
          <w:color w:val="auto"/>
          <w:kern w:val="2"/>
          <w:sz w:val="21"/>
          <w:szCs w:val="21"/>
          <w:highlight w:val="none"/>
        </w:rPr>
        <w:t>的货物应符合国家有关安全、环保、卫生</w:t>
      </w:r>
      <w:r>
        <w:rPr>
          <w:rFonts w:hint="eastAsia" w:ascii="宋体" w:hAnsi="宋体" w:eastAsia="宋体" w:cs="宋体"/>
          <w:color w:val="auto"/>
          <w:kern w:val="2"/>
          <w:sz w:val="21"/>
          <w:szCs w:val="21"/>
          <w:highlight w:val="none"/>
          <w:lang w:eastAsia="zh-CN"/>
        </w:rPr>
        <w:t>的</w:t>
      </w:r>
      <w:r>
        <w:rPr>
          <w:rFonts w:hint="eastAsia" w:ascii="宋体" w:hAnsi="宋体" w:eastAsia="宋体" w:cs="宋体"/>
          <w:color w:val="auto"/>
          <w:kern w:val="2"/>
          <w:sz w:val="21"/>
          <w:szCs w:val="21"/>
          <w:highlight w:val="none"/>
        </w:rPr>
        <w:t>规定。</w:t>
      </w:r>
    </w:p>
    <w:p w14:paraId="7D7DFC4C">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（4）乙方应向甲方提交所</w:t>
      </w:r>
      <w:r>
        <w:rPr>
          <w:rFonts w:hint="eastAsia" w:ascii="宋体" w:hAnsi="宋体" w:eastAsia="宋体" w:cs="宋体"/>
          <w:color w:val="auto"/>
          <w:kern w:val="2"/>
          <w:sz w:val="21"/>
          <w:szCs w:val="21"/>
          <w:highlight w:val="none"/>
          <w:lang w:eastAsia="zh-CN"/>
        </w:rPr>
        <w:t>提供</w:t>
      </w:r>
      <w:r>
        <w:rPr>
          <w:rFonts w:hint="eastAsia" w:ascii="宋体" w:hAnsi="宋体" w:eastAsia="宋体" w:cs="宋体"/>
          <w:color w:val="auto"/>
          <w:kern w:val="2"/>
          <w:sz w:val="21"/>
          <w:szCs w:val="21"/>
          <w:highlight w:val="none"/>
        </w:rPr>
        <w:t>货物的技术文件，包括相应的中文技术文件，如：产品目录、图纸、操作手册、使用说明、维护手册或服务指南</w:t>
      </w:r>
      <w:r>
        <w:rPr>
          <w:rFonts w:hint="eastAsia" w:ascii="宋体" w:hAnsi="宋体" w:eastAsia="宋体" w:cs="宋体"/>
          <w:color w:val="auto"/>
          <w:kern w:val="2"/>
          <w:sz w:val="21"/>
          <w:szCs w:val="21"/>
          <w:highlight w:val="none"/>
          <w:lang w:eastAsia="zh-CN"/>
        </w:rPr>
        <w:t>等</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eastAsia="zh-CN"/>
        </w:rPr>
        <w:t>上述</w:t>
      </w:r>
      <w:r>
        <w:rPr>
          <w:rFonts w:hint="eastAsia" w:ascii="宋体" w:hAnsi="宋体" w:eastAsia="宋体" w:cs="宋体"/>
          <w:color w:val="auto"/>
          <w:kern w:val="2"/>
          <w:sz w:val="21"/>
          <w:szCs w:val="21"/>
          <w:highlight w:val="none"/>
        </w:rPr>
        <w:t>文件应包装好随货物一同发运。</w:t>
      </w:r>
    </w:p>
    <w:p w14:paraId="7CE2FA54">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8</w:t>
      </w:r>
      <w:r>
        <w:rPr>
          <w:rFonts w:hint="eastAsia" w:ascii="宋体" w:hAnsi="宋体" w:eastAsia="宋体" w:cs="宋体"/>
          <w:color w:val="auto"/>
          <w:kern w:val="2"/>
          <w:sz w:val="21"/>
          <w:szCs w:val="21"/>
          <w:highlight w:val="none"/>
        </w:rPr>
        <w:t>.2 保证</w:t>
      </w:r>
    </w:p>
    <w:p w14:paraId="38428A1F">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（1）乙方应保证</w:t>
      </w:r>
      <w:r>
        <w:rPr>
          <w:rFonts w:hint="eastAsia" w:ascii="宋体" w:hAnsi="宋体" w:eastAsia="宋体" w:cs="宋体"/>
          <w:color w:val="auto"/>
          <w:kern w:val="2"/>
          <w:sz w:val="21"/>
          <w:szCs w:val="21"/>
          <w:highlight w:val="none"/>
          <w:lang w:eastAsia="zh-CN"/>
        </w:rPr>
        <w:t>提供的货物</w:t>
      </w:r>
      <w:r>
        <w:rPr>
          <w:rFonts w:hint="eastAsia" w:ascii="宋体" w:hAnsi="宋体" w:eastAsia="宋体" w:cs="宋体"/>
          <w:color w:val="auto"/>
          <w:kern w:val="2"/>
          <w:sz w:val="21"/>
          <w:szCs w:val="21"/>
          <w:highlight w:val="none"/>
        </w:rPr>
        <w:t>完全符合合同规定的质量、规格和性能要求。乙方应保证货物在正确安装、正常使用和保养条件下，在其使用寿命期内具</w:t>
      </w:r>
      <w:r>
        <w:rPr>
          <w:rFonts w:hint="eastAsia" w:ascii="宋体" w:hAnsi="宋体" w:eastAsia="宋体" w:cs="宋体"/>
          <w:color w:val="auto"/>
          <w:kern w:val="2"/>
          <w:sz w:val="21"/>
          <w:szCs w:val="21"/>
          <w:highlight w:val="none"/>
          <w:lang w:eastAsia="zh-CN"/>
        </w:rPr>
        <w:t>备合同约定</w:t>
      </w:r>
      <w:r>
        <w:rPr>
          <w:rFonts w:hint="eastAsia" w:ascii="宋体" w:hAnsi="宋体" w:eastAsia="宋体" w:cs="宋体"/>
          <w:color w:val="auto"/>
          <w:kern w:val="2"/>
          <w:sz w:val="21"/>
          <w:szCs w:val="21"/>
          <w:highlight w:val="none"/>
        </w:rPr>
        <w:t>的性能。</w:t>
      </w:r>
      <w:r>
        <w:rPr>
          <w:rFonts w:hint="eastAsia" w:ascii="宋体" w:hAnsi="宋体" w:eastAsia="宋体" w:cs="宋体"/>
          <w:color w:val="auto"/>
          <w:kern w:val="2"/>
          <w:sz w:val="21"/>
          <w:szCs w:val="21"/>
          <w:highlight w:val="none"/>
          <w:lang w:eastAsia="zh-CN"/>
        </w:rPr>
        <w:t>存在</w:t>
      </w:r>
      <w:r>
        <w:rPr>
          <w:rFonts w:hint="eastAsia" w:ascii="宋体" w:hAnsi="宋体" w:eastAsia="宋体" w:cs="宋体"/>
          <w:color w:val="auto"/>
          <w:kern w:val="2"/>
          <w:sz w:val="21"/>
          <w:szCs w:val="21"/>
          <w:highlight w:val="none"/>
        </w:rPr>
        <w:t>质量保证期的，货物最终交付验收</w:t>
      </w:r>
      <w:r>
        <w:rPr>
          <w:rFonts w:hint="eastAsia" w:ascii="宋体" w:hAnsi="宋体" w:eastAsia="宋体" w:cs="宋体"/>
          <w:color w:val="auto"/>
          <w:kern w:val="2"/>
          <w:sz w:val="21"/>
          <w:szCs w:val="21"/>
          <w:highlight w:val="none"/>
          <w:lang w:eastAsia="zh-CN"/>
        </w:rPr>
        <w:t>合格</w:t>
      </w:r>
      <w:r>
        <w:rPr>
          <w:rFonts w:hint="eastAsia" w:ascii="宋体" w:hAnsi="宋体" w:eastAsia="宋体" w:cs="宋体"/>
          <w:color w:val="auto"/>
          <w:kern w:val="2"/>
          <w:sz w:val="21"/>
          <w:szCs w:val="21"/>
          <w:highlight w:val="none"/>
        </w:rPr>
        <w:t>后</w:t>
      </w:r>
      <w:r>
        <w:rPr>
          <w:rFonts w:hint="eastAsia" w:ascii="宋体" w:hAnsi="宋体" w:eastAsia="宋体" w:cs="宋体"/>
          <w:color w:val="auto"/>
          <w:kern w:val="2"/>
          <w:sz w:val="21"/>
          <w:szCs w:val="21"/>
          <w:highlight w:val="none"/>
          <w:lang w:eastAsia="zh-CN"/>
        </w:rPr>
        <w:t>在</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规定或乙方</w:t>
      </w:r>
      <w:r>
        <w:rPr>
          <w:rFonts w:hint="eastAsia" w:ascii="宋体" w:hAnsi="宋体" w:eastAsia="宋体" w:cs="宋体"/>
          <w:color w:val="auto"/>
          <w:kern w:val="2"/>
          <w:sz w:val="21"/>
          <w:szCs w:val="21"/>
          <w:highlight w:val="none"/>
          <w:lang w:eastAsia="zh-CN"/>
        </w:rPr>
        <w:t>书面</w:t>
      </w:r>
      <w:r>
        <w:rPr>
          <w:rFonts w:hint="eastAsia" w:ascii="宋体" w:hAnsi="宋体" w:eastAsia="宋体" w:cs="宋体"/>
          <w:color w:val="auto"/>
          <w:kern w:val="2"/>
          <w:sz w:val="21"/>
          <w:szCs w:val="21"/>
          <w:highlight w:val="none"/>
        </w:rPr>
        <w:t>承诺（两者以较长的为准）的质量保证期内，本保证保持有效。</w:t>
      </w:r>
    </w:p>
    <w:p w14:paraId="1C3269A8">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（2）在质量保证期内所发现的缺陷，甲方应尽快以书面形式通知乙方。</w:t>
      </w:r>
    </w:p>
    <w:p w14:paraId="7003483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（3）乙方收到通知后</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应在</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规定的响应时间内以合理的速度免费维修或更换有缺陷的货物或部件。</w:t>
      </w:r>
    </w:p>
    <w:p w14:paraId="7092578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.1条规定以书面形式</w:t>
      </w:r>
      <w:r>
        <w:rPr>
          <w:rFonts w:hint="eastAsia" w:ascii="宋体" w:hAnsi="宋体" w:eastAsia="宋体" w:cs="宋体"/>
          <w:color w:val="auto"/>
          <w:kern w:val="2"/>
          <w:sz w:val="21"/>
          <w:szCs w:val="21"/>
          <w:highlight w:val="none"/>
          <w:lang w:eastAsia="zh-CN"/>
        </w:rPr>
        <w:t>追究</w:t>
      </w:r>
      <w:r>
        <w:rPr>
          <w:rFonts w:hint="eastAsia" w:ascii="宋体" w:hAnsi="宋体" w:eastAsia="宋体" w:cs="宋体"/>
          <w:color w:val="auto"/>
          <w:kern w:val="2"/>
          <w:sz w:val="21"/>
          <w:szCs w:val="21"/>
          <w:highlight w:val="none"/>
        </w:rPr>
        <w:t>乙方</w:t>
      </w:r>
      <w:r>
        <w:rPr>
          <w:rFonts w:hint="eastAsia" w:ascii="宋体" w:hAnsi="宋体" w:eastAsia="宋体" w:cs="宋体"/>
          <w:color w:val="auto"/>
          <w:kern w:val="2"/>
          <w:sz w:val="21"/>
          <w:szCs w:val="21"/>
          <w:highlight w:val="none"/>
          <w:lang w:eastAsia="zh-CN"/>
        </w:rPr>
        <w:t>的违约责任</w:t>
      </w:r>
      <w:r>
        <w:rPr>
          <w:rFonts w:hint="eastAsia" w:ascii="宋体" w:hAnsi="宋体" w:eastAsia="宋体" w:cs="宋体"/>
          <w:color w:val="auto"/>
          <w:kern w:val="2"/>
          <w:sz w:val="21"/>
          <w:szCs w:val="21"/>
          <w:highlight w:val="none"/>
        </w:rPr>
        <w:t>。</w:t>
      </w:r>
    </w:p>
    <w:p w14:paraId="47BD646C">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（5）乙方在约定的时间内未能弥补缺陷，甲方可采取必要的补救措施，但其风险和费用将由乙方承担，甲方根据合同</w:t>
      </w:r>
      <w:r>
        <w:rPr>
          <w:rFonts w:hint="eastAsia" w:ascii="宋体" w:hAnsi="宋体" w:eastAsia="宋体" w:cs="宋体"/>
          <w:color w:val="auto"/>
          <w:kern w:val="2"/>
          <w:sz w:val="21"/>
          <w:szCs w:val="21"/>
          <w:highlight w:val="none"/>
          <w:lang w:eastAsia="zh-CN"/>
        </w:rPr>
        <w:t>约定</w:t>
      </w:r>
      <w:r>
        <w:rPr>
          <w:rFonts w:hint="eastAsia" w:ascii="宋体" w:hAnsi="宋体" w:eastAsia="宋体" w:cs="宋体"/>
          <w:color w:val="auto"/>
          <w:kern w:val="2"/>
          <w:sz w:val="21"/>
          <w:szCs w:val="21"/>
          <w:highlight w:val="none"/>
        </w:rPr>
        <w:t>对乙方行使的其他权利不受影响。</w:t>
      </w:r>
    </w:p>
    <w:p w14:paraId="3ABE3F30">
      <w:pPr>
        <w:autoSpaceDE/>
        <w:autoSpaceDN/>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eastAsia="zh-CN"/>
        </w:rPr>
        <w:t>9</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权利瑕疵担保</w:t>
      </w:r>
    </w:p>
    <w:p w14:paraId="3AF250E0">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9</w:t>
      </w:r>
      <w:r>
        <w:rPr>
          <w:rFonts w:hint="eastAsia" w:ascii="宋体" w:hAnsi="宋体" w:eastAsia="宋体" w:cs="宋体"/>
          <w:color w:val="auto"/>
          <w:kern w:val="2"/>
          <w:sz w:val="21"/>
          <w:szCs w:val="21"/>
          <w:highlight w:val="none"/>
        </w:rPr>
        <w:t>.1 乙方保证对其出售的货物享有合法的权利。</w:t>
      </w:r>
    </w:p>
    <w:p w14:paraId="3EF70828">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9</w:t>
      </w:r>
      <w:r>
        <w:rPr>
          <w:rFonts w:hint="eastAsia" w:ascii="宋体" w:hAnsi="宋体" w:eastAsia="宋体" w:cs="宋体"/>
          <w:color w:val="auto"/>
          <w:kern w:val="2"/>
          <w:sz w:val="21"/>
          <w:szCs w:val="21"/>
          <w:highlight w:val="none"/>
        </w:rPr>
        <w:t>.2 乙方保证在交付的货物上不存在抵押权等担保物权。</w:t>
      </w:r>
    </w:p>
    <w:p w14:paraId="523ED870">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9</w:t>
      </w:r>
      <w:r>
        <w:rPr>
          <w:rFonts w:hint="eastAsia" w:ascii="宋体" w:hAnsi="宋体" w:eastAsia="宋体" w:cs="宋体"/>
          <w:color w:val="auto"/>
          <w:kern w:val="2"/>
          <w:sz w:val="21"/>
          <w:szCs w:val="21"/>
          <w:highlight w:val="none"/>
        </w:rPr>
        <w:t>.3 如甲方使用</w:t>
      </w:r>
      <w:r>
        <w:rPr>
          <w:rFonts w:hint="eastAsia" w:ascii="宋体" w:hAnsi="宋体" w:eastAsia="宋体" w:cs="宋体"/>
          <w:color w:val="auto"/>
          <w:kern w:val="2"/>
          <w:sz w:val="21"/>
          <w:szCs w:val="21"/>
          <w:highlight w:val="none"/>
          <w:lang w:val="en-US" w:eastAsia="zh-CN"/>
        </w:rPr>
        <w:t>上述</w:t>
      </w:r>
      <w:r>
        <w:rPr>
          <w:rFonts w:hint="eastAsia" w:ascii="宋体" w:hAnsi="宋体" w:eastAsia="宋体" w:cs="宋体"/>
          <w:color w:val="auto"/>
          <w:kern w:val="2"/>
          <w:sz w:val="21"/>
          <w:szCs w:val="21"/>
          <w:highlight w:val="none"/>
        </w:rPr>
        <w:t>货物构成</w:t>
      </w:r>
      <w:r>
        <w:rPr>
          <w:rFonts w:hint="eastAsia" w:ascii="宋体" w:hAnsi="宋体" w:eastAsia="宋体" w:cs="宋体"/>
          <w:color w:val="auto"/>
          <w:kern w:val="2"/>
          <w:sz w:val="21"/>
          <w:szCs w:val="21"/>
          <w:highlight w:val="none"/>
          <w:lang w:val="en-US" w:eastAsia="zh-CN"/>
        </w:rPr>
        <w:t>对第三人</w:t>
      </w:r>
      <w:r>
        <w:rPr>
          <w:rFonts w:hint="eastAsia" w:ascii="宋体" w:hAnsi="宋体" w:eastAsia="宋体" w:cs="宋体"/>
          <w:color w:val="auto"/>
          <w:kern w:val="2"/>
          <w:sz w:val="21"/>
          <w:szCs w:val="21"/>
          <w:highlight w:val="none"/>
        </w:rPr>
        <w:t>侵权的，则由乙方承担全部责任。</w:t>
      </w:r>
    </w:p>
    <w:p w14:paraId="0B2C947F">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1</w:t>
      </w:r>
      <w:r>
        <w:rPr>
          <w:rFonts w:hint="eastAsia" w:ascii="宋体" w:hAnsi="宋体" w:eastAsia="宋体" w:cs="宋体"/>
          <w:b/>
          <w:bCs/>
          <w:color w:val="auto"/>
          <w:kern w:val="2"/>
          <w:sz w:val="21"/>
          <w:szCs w:val="21"/>
          <w:highlight w:val="none"/>
          <w:lang w:eastAsia="zh-CN"/>
        </w:rPr>
        <w:t>0</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知识产权保护</w:t>
      </w:r>
    </w:p>
    <w:p w14:paraId="6BEBA90A">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0</w:t>
      </w:r>
      <w:r>
        <w:rPr>
          <w:rFonts w:hint="eastAsia" w:ascii="宋体" w:hAnsi="宋体" w:eastAsia="宋体" w:cs="宋体"/>
          <w:color w:val="auto"/>
          <w:kern w:val="2"/>
          <w:sz w:val="21"/>
          <w:szCs w:val="21"/>
          <w:highlight w:val="none"/>
        </w:rPr>
        <w:t>.1 乙方对其所销售的货物应当享有知识产权或经权利人合法授权，保证没有侵犯任何第三人的知识产权等权利。</w:t>
      </w:r>
      <w:bookmarkStart w:id="121" w:name="_Hlk163047038"/>
      <w:r>
        <w:rPr>
          <w:rFonts w:hint="eastAsia" w:ascii="宋体" w:hAnsi="宋体" w:eastAsia="宋体" w:cs="宋体"/>
          <w:color w:val="auto"/>
          <w:kern w:val="2"/>
          <w:sz w:val="21"/>
          <w:szCs w:val="21"/>
          <w:highlight w:val="none"/>
        </w:rPr>
        <w:t>因违反前述约定对第三人构成侵权的，应当由乙方向第三人承担法律责任；甲方依法向第三人赔偿后，有权向乙方追偿。甲方有其他损失的，乙方应当赔偿</w:t>
      </w:r>
      <w:bookmarkEnd w:id="121"/>
      <w:r>
        <w:rPr>
          <w:rFonts w:hint="eastAsia" w:ascii="宋体" w:hAnsi="宋体" w:eastAsia="宋体" w:cs="宋体"/>
          <w:color w:val="auto"/>
          <w:kern w:val="2"/>
          <w:sz w:val="21"/>
          <w:szCs w:val="21"/>
          <w:highlight w:val="none"/>
        </w:rPr>
        <w:t>。</w:t>
      </w:r>
    </w:p>
    <w:p w14:paraId="285A4656">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1</w:t>
      </w:r>
      <w:r>
        <w:rPr>
          <w:rFonts w:hint="eastAsia" w:ascii="宋体" w:hAnsi="宋体" w:eastAsia="宋体" w:cs="宋体"/>
          <w:b/>
          <w:bCs/>
          <w:color w:val="auto"/>
          <w:kern w:val="2"/>
          <w:sz w:val="21"/>
          <w:szCs w:val="21"/>
          <w:highlight w:val="none"/>
          <w:lang w:eastAsia="zh-CN"/>
        </w:rPr>
        <w:t>1</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保密义务</w:t>
      </w:r>
    </w:p>
    <w:p w14:paraId="14983EC6">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11.1 </w:t>
      </w:r>
      <w:r>
        <w:rPr>
          <w:rFonts w:hint="eastAsia" w:ascii="宋体" w:hAnsi="宋体" w:eastAsia="宋体" w:cs="宋体"/>
          <w:color w:val="auto"/>
          <w:kern w:val="2"/>
          <w:sz w:val="21"/>
          <w:szCs w:val="21"/>
          <w:highlight w:val="none"/>
        </w:rPr>
        <w:t>甲、乙双方</w:t>
      </w:r>
      <w:r>
        <w:rPr>
          <w:rFonts w:hint="eastAsia" w:ascii="宋体" w:hAnsi="宋体" w:eastAsia="宋体" w:cs="宋体"/>
          <w:color w:val="auto"/>
          <w:kern w:val="2"/>
          <w:sz w:val="21"/>
          <w:szCs w:val="21"/>
          <w:highlight w:val="none"/>
          <w:lang w:eastAsia="zh-CN"/>
        </w:rPr>
        <w:t>对</w:t>
      </w:r>
      <w:r>
        <w:rPr>
          <w:rFonts w:hint="eastAsia" w:ascii="宋体" w:hAnsi="宋体" w:eastAsia="宋体" w:cs="宋体"/>
          <w:color w:val="auto"/>
          <w:kern w:val="2"/>
          <w:sz w:val="21"/>
          <w:szCs w:val="21"/>
          <w:highlight w:val="none"/>
        </w:rPr>
        <w:t>采购和合同履行过程中所获悉的</w:t>
      </w:r>
      <w:r>
        <w:rPr>
          <w:rFonts w:hint="eastAsia" w:ascii="宋体" w:hAnsi="宋体" w:eastAsia="宋体" w:cs="宋体"/>
          <w:color w:val="auto"/>
          <w:kern w:val="2"/>
          <w:sz w:val="21"/>
          <w:szCs w:val="21"/>
          <w:highlight w:val="none"/>
          <w:lang w:eastAsia="zh-CN"/>
        </w:rPr>
        <w:t>国家秘密、工作秘密、</w:t>
      </w:r>
      <w:r>
        <w:rPr>
          <w:rFonts w:hint="eastAsia" w:ascii="宋体" w:hAnsi="宋体" w:eastAsia="宋体" w:cs="宋体"/>
          <w:color w:val="auto"/>
          <w:kern w:val="2"/>
          <w:sz w:val="21"/>
          <w:szCs w:val="21"/>
          <w:highlight w:val="none"/>
        </w:rPr>
        <w:t>商业秘密或者其他应当保密的信息，均有保密义务</w:t>
      </w:r>
      <w:r>
        <w:rPr>
          <w:rFonts w:hint="eastAsia" w:ascii="宋体" w:hAnsi="宋体" w:eastAsia="宋体" w:cs="宋体"/>
          <w:color w:val="auto"/>
          <w:kern w:val="2"/>
          <w:sz w:val="21"/>
          <w:szCs w:val="21"/>
          <w:highlight w:val="none"/>
          <w:lang w:eastAsia="zh-CN"/>
        </w:rPr>
        <w:t>且不受合同有效期所限，直至该信息成为公开信息</w:t>
      </w:r>
      <w:r>
        <w:rPr>
          <w:rFonts w:hint="eastAsia" w:ascii="宋体" w:hAnsi="宋体" w:eastAsia="宋体" w:cs="宋体"/>
          <w:color w:val="auto"/>
          <w:kern w:val="2"/>
          <w:sz w:val="21"/>
          <w:szCs w:val="21"/>
          <w:highlight w:val="none"/>
        </w:rPr>
        <w:t>。泄露、不正当地使用</w:t>
      </w:r>
      <w:r>
        <w:rPr>
          <w:rFonts w:hint="eastAsia" w:ascii="宋体" w:hAnsi="宋体" w:eastAsia="宋体" w:cs="宋体"/>
          <w:color w:val="auto"/>
          <w:kern w:val="2"/>
          <w:sz w:val="21"/>
          <w:szCs w:val="21"/>
          <w:highlight w:val="none"/>
          <w:lang w:eastAsia="zh-CN"/>
        </w:rPr>
        <w:t>国家秘密、工作秘密、</w:t>
      </w:r>
      <w:r>
        <w:rPr>
          <w:rFonts w:hint="eastAsia" w:ascii="宋体" w:hAnsi="宋体" w:eastAsia="宋体" w:cs="宋体"/>
          <w:color w:val="auto"/>
          <w:kern w:val="2"/>
          <w:sz w:val="21"/>
          <w:szCs w:val="21"/>
          <w:highlight w:val="none"/>
        </w:rPr>
        <w:t>商业秘密或者</w:t>
      </w:r>
      <w:r>
        <w:rPr>
          <w:rFonts w:hint="eastAsia" w:ascii="宋体" w:hAnsi="宋体" w:eastAsia="宋体" w:cs="宋体"/>
          <w:color w:val="auto"/>
          <w:kern w:val="2"/>
          <w:sz w:val="21"/>
          <w:szCs w:val="21"/>
          <w:highlight w:val="none"/>
          <w:lang w:eastAsia="zh-CN"/>
        </w:rPr>
        <w:t>其他应当保密的</w:t>
      </w:r>
      <w:r>
        <w:rPr>
          <w:rFonts w:hint="eastAsia" w:ascii="宋体" w:hAnsi="宋体" w:eastAsia="宋体" w:cs="宋体"/>
          <w:color w:val="auto"/>
          <w:kern w:val="2"/>
          <w:sz w:val="21"/>
          <w:szCs w:val="21"/>
          <w:highlight w:val="none"/>
        </w:rPr>
        <w:t>信息，应当承担</w:t>
      </w:r>
      <w:r>
        <w:rPr>
          <w:rFonts w:hint="eastAsia" w:ascii="宋体" w:hAnsi="宋体" w:eastAsia="宋体" w:cs="宋体"/>
          <w:color w:val="auto"/>
          <w:kern w:val="2"/>
          <w:sz w:val="21"/>
          <w:szCs w:val="21"/>
          <w:highlight w:val="none"/>
          <w:lang w:eastAsia="zh-CN"/>
        </w:rPr>
        <w:t>相应</w:t>
      </w:r>
      <w:r>
        <w:rPr>
          <w:rFonts w:hint="eastAsia" w:ascii="宋体" w:hAnsi="宋体" w:eastAsia="宋体" w:cs="宋体"/>
          <w:color w:val="auto"/>
          <w:kern w:val="2"/>
          <w:sz w:val="21"/>
          <w:szCs w:val="21"/>
          <w:highlight w:val="none"/>
        </w:rPr>
        <w:t>责任。其他应当保密的信息由双方在</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中约定。</w:t>
      </w:r>
    </w:p>
    <w:p w14:paraId="4357F417">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1</w:t>
      </w:r>
      <w:r>
        <w:rPr>
          <w:rFonts w:hint="eastAsia" w:ascii="宋体" w:hAnsi="宋体" w:eastAsia="宋体" w:cs="宋体"/>
          <w:b/>
          <w:bCs/>
          <w:color w:val="auto"/>
          <w:kern w:val="2"/>
          <w:sz w:val="21"/>
          <w:szCs w:val="21"/>
          <w:highlight w:val="none"/>
          <w:lang w:eastAsia="zh-CN"/>
        </w:rPr>
        <w:t>2</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合同价款支付</w:t>
      </w:r>
    </w:p>
    <w:p w14:paraId="5F0D06E6">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2</w:t>
      </w:r>
      <w:r>
        <w:rPr>
          <w:rFonts w:hint="eastAsia" w:ascii="宋体" w:hAnsi="宋体" w:eastAsia="宋体" w:cs="宋体"/>
          <w:color w:val="auto"/>
          <w:kern w:val="2"/>
          <w:sz w:val="21"/>
          <w:szCs w:val="21"/>
          <w:highlight w:val="none"/>
        </w:rPr>
        <w:t xml:space="preserve">.1 </w:t>
      </w:r>
      <w:r>
        <w:rPr>
          <w:rFonts w:hint="eastAsia" w:ascii="宋体" w:hAnsi="宋体" w:eastAsia="宋体" w:cs="宋体"/>
          <w:color w:val="auto"/>
          <w:kern w:val="2"/>
          <w:sz w:val="21"/>
          <w:szCs w:val="21"/>
          <w:highlight w:val="none"/>
          <w:lang w:eastAsia="zh-CN"/>
        </w:rPr>
        <w:t>合同价款支付</w:t>
      </w:r>
      <w:r>
        <w:rPr>
          <w:rFonts w:hint="eastAsia" w:ascii="宋体" w:hAnsi="宋体" w:eastAsia="宋体" w:cs="宋体"/>
          <w:color w:val="auto"/>
          <w:kern w:val="2"/>
          <w:sz w:val="21"/>
          <w:szCs w:val="21"/>
          <w:highlight w:val="none"/>
        </w:rPr>
        <w:t>按照国库集中支付</w:t>
      </w:r>
      <w:r>
        <w:rPr>
          <w:rFonts w:hint="eastAsia" w:ascii="宋体" w:hAnsi="宋体" w:eastAsia="宋体" w:cs="宋体"/>
          <w:color w:val="auto"/>
          <w:kern w:val="2"/>
          <w:sz w:val="21"/>
          <w:szCs w:val="21"/>
          <w:highlight w:val="none"/>
          <w:lang w:eastAsia="zh-CN"/>
        </w:rPr>
        <w:t>制度及财政管理相关</w:t>
      </w:r>
      <w:r>
        <w:rPr>
          <w:rFonts w:hint="eastAsia" w:ascii="宋体" w:hAnsi="宋体" w:eastAsia="宋体" w:cs="宋体"/>
          <w:color w:val="auto"/>
          <w:kern w:val="2"/>
          <w:sz w:val="21"/>
          <w:szCs w:val="21"/>
          <w:highlight w:val="none"/>
        </w:rPr>
        <w:t>规定执行。</w:t>
      </w:r>
    </w:p>
    <w:p w14:paraId="10A930D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val="en-US" w:eastAsia="zh-CN"/>
        </w:rPr>
        <w:t>12.2 对于满足合同约定支付条件的，甲方原则上应当自收到发票后10个工作日内将资</w:t>
      </w:r>
      <w:r>
        <w:rPr>
          <w:rFonts w:hint="eastAsia" w:ascii="宋体" w:hAnsi="宋体" w:eastAsia="宋体" w:cs="宋体"/>
          <w:color w:val="auto"/>
          <w:kern w:val="2"/>
          <w:sz w:val="21"/>
          <w:szCs w:val="21"/>
          <w:highlight w:val="none"/>
        </w:rPr>
        <w:t>金支付到合同约定的</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账户，不得以机构变动、人员更替、政策调整等为由迟延付款，不得将采购文件和合同中未规定的义务作为向</w:t>
      </w:r>
      <w:r>
        <w:rPr>
          <w:rFonts w:hint="eastAsia" w:ascii="宋体" w:hAnsi="宋体" w:eastAsia="宋体" w:cs="宋体"/>
          <w:color w:val="auto"/>
          <w:kern w:val="2"/>
          <w:sz w:val="21"/>
          <w:szCs w:val="21"/>
          <w:highlight w:val="none"/>
          <w:lang w:val="en-US" w:eastAsia="zh-CN"/>
        </w:rPr>
        <w:t>乙方</w:t>
      </w:r>
      <w:r>
        <w:rPr>
          <w:rFonts w:hint="eastAsia" w:ascii="宋体" w:hAnsi="宋体" w:eastAsia="宋体" w:cs="宋体"/>
          <w:color w:val="auto"/>
          <w:kern w:val="2"/>
          <w:sz w:val="21"/>
          <w:szCs w:val="21"/>
          <w:highlight w:val="none"/>
        </w:rPr>
        <w:t>付款的条件。具体合同价款支付时间在</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中</w:t>
      </w:r>
      <w:r>
        <w:rPr>
          <w:rFonts w:hint="eastAsia" w:ascii="宋体" w:hAnsi="宋体" w:eastAsia="宋体" w:cs="宋体"/>
          <w:color w:val="auto"/>
          <w:kern w:val="2"/>
          <w:sz w:val="21"/>
          <w:szCs w:val="21"/>
          <w:highlight w:val="none"/>
          <w:lang w:eastAsia="zh-CN"/>
        </w:rPr>
        <w:t>约</w:t>
      </w:r>
      <w:r>
        <w:rPr>
          <w:rFonts w:hint="eastAsia" w:ascii="宋体" w:hAnsi="宋体" w:eastAsia="宋体" w:cs="宋体"/>
          <w:color w:val="auto"/>
          <w:kern w:val="2"/>
          <w:sz w:val="21"/>
          <w:szCs w:val="21"/>
          <w:highlight w:val="none"/>
        </w:rPr>
        <w:t>定。</w:t>
      </w:r>
    </w:p>
    <w:p w14:paraId="75F87D91">
      <w:pPr>
        <w:widowControl w:val="0"/>
        <w:spacing w:after="0" w:line="400" w:lineRule="exact"/>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13. 履约保证金</w:t>
      </w:r>
    </w:p>
    <w:p w14:paraId="7A856DB3">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3</w:t>
      </w:r>
      <w:r>
        <w:rPr>
          <w:rFonts w:hint="eastAsia" w:ascii="宋体" w:hAnsi="宋体" w:eastAsia="宋体" w:cs="宋体"/>
          <w:color w:val="auto"/>
          <w:kern w:val="2"/>
          <w:sz w:val="21"/>
          <w:szCs w:val="21"/>
          <w:highlight w:val="none"/>
        </w:rPr>
        <w:t>.1 乙方应当以支票、汇票、本票或者金融机构、担保机构出具的保函等非现金形式提交。</w:t>
      </w:r>
    </w:p>
    <w:p w14:paraId="0AC21C23">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3</w:t>
      </w:r>
      <w:r>
        <w:rPr>
          <w:rFonts w:hint="eastAsia" w:ascii="宋体" w:hAnsi="宋体" w:eastAsia="宋体" w:cs="宋体"/>
          <w:color w:val="auto"/>
          <w:kern w:val="2"/>
          <w:sz w:val="21"/>
          <w:szCs w:val="21"/>
          <w:highlight w:val="none"/>
        </w:rPr>
        <w:t>.2 如果乙方</w:t>
      </w:r>
      <w:r>
        <w:rPr>
          <w:rFonts w:hint="eastAsia" w:ascii="宋体" w:hAnsi="宋体" w:eastAsia="宋体" w:cs="宋体"/>
          <w:color w:val="auto"/>
          <w:kern w:val="2"/>
          <w:sz w:val="21"/>
          <w:szCs w:val="21"/>
          <w:highlight w:val="none"/>
          <w:lang w:eastAsia="zh-CN"/>
        </w:rPr>
        <w:t>出现</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b w:val="0"/>
          <w:bCs w:val="0"/>
          <w:color w:val="auto"/>
          <w:kern w:val="2"/>
          <w:sz w:val="21"/>
          <w:szCs w:val="21"/>
          <w:highlight w:val="none"/>
          <w:lang w:eastAsia="zh-CN"/>
        </w:rPr>
        <w:t>约定情形的</w:t>
      </w:r>
      <w:r>
        <w:rPr>
          <w:rFonts w:hint="eastAsia" w:ascii="宋体" w:hAnsi="宋体" w:eastAsia="宋体" w:cs="宋体"/>
          <w:color w:val="auto"/>
          <w:kern w:val="2"/>
          <w:sz w:val="21"/>
          <w:szCs w:val="21"/>
          <w:highlight w:val="none"/>
        </w:rPr>
        <w:t>，履约保证金不予退还；如果乙方未能按合同约定全面履行义务，甲方有权从履约保证金中取得补偿或赔偿，</w:t>
      </w:r>
      <w:r>
        <w:rPr>
          <w:rFonts w:hint="eastAsia" w:ascii="宋体" w:hAnsi="宋体" w:eastAsia="宋体" w:cs="宋体"/>
          <w:color w:val="auto"/>
          <w:kern w:val="2"/>
          <w:sz w:val="21"/>
          <w:szCs w:val="21"/>
          <w:highlight w:val="none"/>
          <w:lang w:eastAsia="zh-CN"/>
        </w:rPr>
        <w:t>且</w:t>
      </w:r>
      <w:r>
        <w:rPr>
          <w:rFonts w:hint="eastAsia" w:ascii="宋体" w:hAnsi="宋体" w:eastAsia="宋体" w:cs="宋体"/>
          <w:color w:val="auto"/>
          <w:kern w:val="2"/>
          <w:sz w:val="21"/>
          <w:szCs w:val="21"/>
          <w:highlight w:val="none"/>
        </w:rPr>
        <w:t>不影响甲方要求乙方承担合同约定的超过履约保证金的违约责任的权利。</w:t>
      </w:r>
    </w:p>
    <w:p w14:paraId="3E3A5073">
      <w:pPr>
        <w:autoSpaceDE/>
        <w:autoSpaceDN/>
        <w:adjustRightInd/>
        <w:spacing w:line="400" w:lineRule="exact"/>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3</w:t>
      </w:r>
      <w:r>
        <w:rPr>
          <w:rFonts w:hint="eastAsia" w:ascii="宋体" w:hAnsi="宋体" w:eastAsia="宋体" w:cs="宋体"/>
          <w:color w:val="auto"/>
          <w:kern w:val="2"/>
          <w:sz w:val="21"/>
          <w:szCs w:val="21"/>
          <w:highlight w:val="none"/>
        </w:rPr>
        <w:t>.3 甲方在项目通过验收后按照</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规定的时间内将履约保证金退还乙方；逾期退还的，乙方可要求甲方支付违约金，违约金按照</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规定支付。</w:t>
      </w:r>
    </w:p>
    <w:p w14:paraId="5C52840D">
      <w:pPr>
        <w:autoSpaceDE w:val="0"/>
        <w:autoSpaceDN w:val="0"/>
        <w:adjustRightInd w:val="0"/>
        <w:snapToGrid w:val="0"/>
        <w:spacing w:before="0" w:line="400" w:lineRule="exact"/>
        <w:jc w:val="left"/>
        <w:rPr>
          <w:rFonts w:hint="eastAsia" w:ascii="宋体" w:hAnsi="宋体" w:eastAsia="宋体" w:cs="宋体"/>
          <w:b/>
          <w:color w:val="auto"/>
          <w:kern w:val="2"/>
          <w:sz w:val="21"/>
          <w:szCs w:val="21"/>
          <w:highlight w:val="none"/>
        </w:rPr>
      </w:pPr>
      <w:r>
        <w:rPr>
          <w:rFonts w:hint="eastAsia" w:ascii="宋体" w:hAnsi="宋体" w:eastAsia="宋体" w:cs="宋体"/>
          <w:b/>
          <w:bCs/>
          <w:color w:val="auto"/>
          <w:kern w:val="2"/>
          <w:sz w:val="21"/>
          <w:szCs w:val="21"/>
          <w:highlight w:val="none"/>
        </w:rPr>
        <w:t>1</w:t>
      </w:r>
      <w:r>
        <w:rPr>
          <w:rFonts w:hint="eastAsia" w:ascii="宋体" w:hAnsi="宋体" w:eastAsia="宋体" w:cs="宋体"/>
          <w:b/>
          <w:bCs/>
          <w:color w:val="auto"/>
          <w:kern w:val="2"/>
          <w:sz w:val="21"/>
          <w:szCs w:val="21"/>
          <w:highlight w:val="none"/>
          <w:lang w:eastAsia="zh-CN"/>
        </w:rPr>
        <w:t>4</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售后服务</w:t>
      </w:r>
    </w:p>
    <w:p w14:paraId="0DBFA9B3">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4</w:t>
      </w:r>
      <w:r>
        <w:rPr>
          <w:rFonts w:hint="eastAsia" w:ascii="宋体" w:hAnsi="宋体" w:eastAsia="宋体" w:cs="宋体"/>
          <w:color w:val="auto"/>
          <w:kern w:val="2"/>
          <w:sz w:val="21"/>
          <w:szCs w:val="21"/>
          <w:highlight w:val="none"/>
        </w:rPr>
        <w:t>.1 除项目不涉及或采购活动中明确约定无须承担外，乙方还应提供下列服务：</w:t>
      </w:r>
    </w:p>
    <w:p w14:paraId="32A34A35">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（1）货物的现场移动、安装、调试、启动监督及技术支持；</w:t>
      </w:r>
    </w:p>
    <w:p w14:paraId="4D1AC4AE">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（2）提供货物组装和维修所需的专用工具和辅助材料；</w:t>
      </w:r>
    </w:p>
    <w:p w14:paraId="7F66AE27">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（3）在</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lang w:eastAsia="zh-CN"/>
        </w:rPr>
        <w:t>约定</w:t>
      </w:r>
      <w:r>
        <w:rPr>
          <w:rFonts w:hint="eastAsia" w:ascii="宋体" w:hAnsi="宋体" w:eastAsia="宋体" w:cs="宋体"/>
          <w:color w:val="auto"/>
          <w:kern w:val="2"/>
          <w:sz w:val="21"/>
          <w:szCs w:val="21"/>
          <w:highlight w:val="none"/>
        </w:rPr>
        <w:t>的期限内对所有的货物实施运行监督、维修，但前提条件是该服务并不能免除乙方在质量保证期内所承担的义务；</w:t>
      </w:r>
    </w:p>
    <w:p w14:paraId="3C583C4C">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（4）在制造商</w:t>
      </w:r>
      <w:r>
        <w:rPr>
          <w:rFonts w:hint="eastAsia" w:ascii="宋体" w:hAnsi="宋体" w:eastAsia="宋体" w:cs="宋体"/>
          <w:color w:val="auto"/>
          <w:kern w:val="2"/>
          <w:sz w:val="21"/>
          <w:szCs w:val="21"/>
          <w:highlight w:val="none"/>
          <w:lang w:eastAsia="zh-CN"/>
        </w:rPr>
        <w:t>所在地</w:t>
      </w:r>
      <w:r>
        <w:rPr>
          <w:rFonts w:hint="eastAsia" w:ascii="宋体" w:hAnsi="宋体" w:eastAsia="宋体" w:cs="宋体"/>
          <w:color w:val="auto"/>
          <w:kern w:val="2"/>
          <w:sz w:val="21"/>
          <w:szCs w:val="21"/>
          <w:highlight w:val="none"/>
        </w:rPr>
        <w:t>或</w:t>
      </w:r>
      <w:r>
        <w:rPr>
          <w:rFonts w:hint="eastAsia" w:ascii="宋体" w:hAnsi="宋体" w:eastAsia="宋体" w:cs="宋体"/>
          <w:color w:val="auto"/>
          <w:kern w:val="2"/>
          <w:sz w:val="21"/>
          <w:szCs w:val="21"/>
          <w:highlight w:val="none"/>
          <w:lang w:eastAsia="zh-CN"/>
        </w:rPr>
        <w:t>指定</w:t>
      </w:r>
      <w:r>
        <w:rPr>
          <w:rFonts w:hint="eastAsia" w:ascii="宋体" w:hAnsi="宋体" w:eastAsia="宋体" w:cs="宋体"/>
          <w:color w:val="auto"/>
          <w:kern w:val="2"/>
          <w:sz w:val="21"/>
          <w:szCs w:val="21"/>
          <w:highlight w:val="none"/>
        </w:rPr>
        <w:t>现场就货物的安装、启动、运营、维护</w:t>
      </w:r>
      <w:r>
        <w:rPr>
          <w:rFonts w:hint="eastAsia" w:ascii="宋体" w:hAnsi="宋体" w:eastAsia="宋体" w:cs="宋体"/>
          <w:color w:val="auto"/>
          <w:kern w:val="2"/>
          <w:sz w:val="21"/>
          <w:szCs w:val="21"/>
          <w:highlight w:val="none"/>
          <w:lang w:eastAsia="zh-CN"/>
        </w:rPr>
        <w:t>、废弃处置等</w:t>
      </w:r>
      <w:r>
        <w:rPr>
          <w:rFonts w:hint="eastAsia" w:ascii="宋体" w:hAnsi="宋体" w:eastAsia="宋体" w:cs="宋体"/>
          <w:color w:val="auto"/>
          <w:kern w:val="2"/>
          <w:sz w:val="21"/>
          <w:szCs w:val="21"/>
          <w:highlight w:val="none"/>
        </w:rPr>
        <w:t>对甲方操作人员进行培训</w:t>
      </w:r>
      <w:r>
        <w:rPr>
          <w:rFonts w:hint="eastAsia" w:ascii="宋体" w:hAnsi="宋体" w:eastAsia="宋体" w:cs="宋体"/>
          <w:color w:val="auto"/>
          <w:kern w:val="2"/>
          <w:sz w:val="21"/>
          <w:szCs w:val="21"/>
          <w:highlight w:val="none"/>
          <w:lang w:eastAsia="zh-CN"/>
        </w:rPr>
        <w:t>；</w:t>
      </w:r>
    </w:p>
    <w:p w14:paraId="3C45C3CF">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（5）依照法律、行政法规的规定或者按照</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约定，货物在有效使用年限届满后应予回收的，乙方负有自行或者委托第三人对货物予以回收的义务；</w:t>
      </w:r>
    </w:p>
    <w:p w14:paraId="2B45129B">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规定由乙方提供的其他服务。</w:t>
      </w:r>
    </w:p>
    <w:p w14:paraId="5E62DA26">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.2 乙方提供的</w:t>
      </w:r>
      <w:r>
        <w:rPr>
          <w:rFonts w:hint="eastAsia" w:ascii="宋体" w:hAnsi="宋体" w:eastAsia="宋体" w:cs="宋体"/>
          <w:color w:val="auto"/>
          <w:kern w:val="2"/>
          <w:sz w:val="21"/>
          <w:szCs w:val="21"/>
          <w:highlight w:val="none"/>
          <w:lang w:eastAsia="zh-CN"/>
        </w:rPr>
        <w:t>售后</w:t>
      </w:r>
      <w:r>
        <w:rPr>
          <w:rFonts w:hint="eastAsia" w:ascii="宋体" w:hAnsi="宋体" w:eastAsia="宋体" w:cs="宋体"/>
          <w:color w:val="auto"/>
          <w:kern w:val="2"/>
          <w:sz w:val="21"/>
          <w:szCs w:val="21"/>
          <w:highlight w:val="none"/>
        </w:rPr>
        <w:t>服务的费用</w:t>
      </w:r>
      <w:r>
        <w:rPr>
          <w:rFonts w:hint="eastAsia" w:ascii="宋体" w:hAnsi="宋体" w:eastAsia="宋体" w:cs="宋体"/>
          <w:color w:val="auto"/>
          <w:kern w:val="2"/>
          <w:sz w:val="21"/>
          <w:szCs w:val="21"/>
          <w:highlight w:val="none"/>
          <w:lang w:val="en-US" w:eastAsia="zh-CN"/>
        </w:rPr>
        <w:t>已</w:t>
      </w:r>
      <w:r>
        <w:rPr>
          <w:rFonts w:hint="eastAsia" w:ascii="宋体" w:hAnsi="宋体" w:eastAsia="宋体" w:cs="宋体"/>
          <w:color w:val="auto"/>
          <w:kern w:val="2"/>
          <w:sz w:val="21"/>
          <w:szCs w:val="21"/>
          <w:highlight w:val="none"/>
        </w:rPr>
        <w:t>包含在合同价款中，甲方不再另行支付。</w:t>
      </w:r>
    </w:p>
    <w:p w14:paraId="49E78840">
      <w:pPr>
        <w:autoSpaceDE/>
        <w:autoSpaceDN/>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1</w:t>
      </w:r>
      <w:r>
        <w:rPr>
          <w:rFonts w:hint="eastAsia" w:ascii="宋体" w:hAnsi="宋体" w:eastAsia="宋体" w:cs="宋体"/>
          <w:b/>
          <w:bCs/>
          <w:color w:val="auto"/>
          <w:kern w:val="2"/>
          <w:sz w:val="21"/>
          <w:szCs w:val="21"/>
          <w:highlight w:val="none"/>
          <w:lang w:eastAsia="zh-CN"/>
        </w:rPr>
        <w:t>5</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违约责任</w:t>
      </w:r>
    </w:p>
    <w:p w14:paraId="1BB91689">
      <w:pPr>
        <w:autoSpaceDE/>
        <w:autoSpaceDN/>
        <w:adjustRightInd w:val="0"/>
        <w:snapToGrid w:val="0"/>
        <w:spacing w:before="0" w:line="400" w:lineRule="exact"/>
        <w:ind w:firstLine="420" w:firstLineChars="200"/>
        <w:jc w:val="left"/>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1</w:t>
      </w:r>
      <w:r>
        <w:rPr>
          <w:rFonts w:hint="eastAsia" w:ascii="宋体" w:hAnsi="宋体" w:eastAsia="宋体" w:cs="宋体"/>
          <w:bCs/>
          <w:color w:val="auto"/>
          <w:kern w:val="2"/>
          <w:sz w:val="21"/>
          <w:szCs w:val="21"/>
          <w:highlight w:val="none"/>
          <w:lang w:eastAsia="zh-CN"/>
        </w:rPr>
        <w:t>5</w:t>
      </w:r>
      <w:r>
        <w:rPr>
          <w:rFonts w:hint="eastAsia" w:ascii="宋体" w:hAnsi="宋体" w:eastAsia="宋体" w:cs="宋体"/>
          <w:bCs/>
          <w:color w:val="auto"/>
          <w:kern w:val="2"/>
          <w:sz w:val="21"/>
          <w:szCs w:val="21"/>
          <w:highlight w:val="none"/>
        </w:rPr>
        <w:t>.1质量瑕疵的</w:t>
      </w:r>
      <w:r>
        <w:rPr>
          <w:rFonts w:hint="eastAsia" w:ascii="宋体" w:hAnsi="宋体" w:eastAsia="宋体" w:cs="宋体"/>
          <w:bCs/>
          <w:color w:val="auto"/>
          <w:kern w:val="2"/>
          <w:sz w:val="21"/>
          <w:szCs w:val="21"/>
          <w:highlight w:val="none"/>
          <w:lang w:eastAsia="zh-CN"/>
        </w:rPr>
        <w:t>违约责任</w:t>
      </w:r>
    </w:p>
    <w:p w14:paraId="45E147DB">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乙方</w:t>
      </w:r>
      <w:r>
        <w:rPr>
          <w:rFonts w:hint="eastAsia" w:ascii="宋体" w:hAnsi="宋体" w:eastAsia="宋体" w:cs="宋体"/>
          <w:color w:val="auto"/>
          <w:kern w:val="2"/>
          <w:sz w:val="21"/>
          <w:szCs w:val="21"/>
          <w:highlight w:val="none"/>
          <w:lang w:eastAsia="zh-CN"/>
        </w:rPr>
        <w:t>提供</w:t>
      </w:r>
      <w:r>
        <w:rPr>
          <w:rFonts w:hint="eastAsia" w:ascii="宋体" w:hAnsi="宋体" w:eastAsia="宋体" w:cs="宋体"/>
          <w:color w:val="auto"/>
          <w:kern w:val="2"/>
          <w:sz w:val="21"/>
          <w:szCs w:val="21"/>
          <w:highlight w:val="none"/>
        </w:rPr>
        <w:t>的产品不符合</w:t>
      </w:r>
      <w:r>
        <w:rPr>
          <w:rFonts w:hint="eastAsia" w:ascii="宋体" w:hAnsi="宋体" w:eastAsia="宋体" w:cs="宋体"/>
          <w:color w:val="auto"/>
          <w:kern w:val="2"/>
          <w:sz w:val="21"/>
          <w:szCs w:val="21"/>
          <w:highlight w:val="none"/>
          <w:lang w:eastAsia="zh-CN"/>
        </w:rPr>
        <w:t>合同约定的</w:t>
      </w:r>
      <w:r>
        <w:rPr>
          <w:rFonts w:hint="eastAsia" w:ascii="宋体" w:hAnsi="宋体" w:eastAsia="宋体" w:cs="宋体"/>
          <w:color w:val="auto"/>
          <w:kern w:val="2"/>
          <w:sz w:val="21"/>
          <w:szCs w:val="21"/>
          <w:highlight w:val="none"/>
        </w:rPr>
        <w:t>质量标准或存在产品质量缺陷，</w:t>
      </w:r>
      <w:r>
        <w:rPr>
          <w:rFonts w:hint="eastAsia" w:ascii="宋体" w:hAnsi="宋体" w:eastAsia="宋体" w:cs="宋体"/>
          <w:color w:val="auto"/>
          <w:kern w:val="2"/>
          <w:sz w:val="21"/>
          <w:szCs w:val="21"/>
          <w:highlight w:val="none"/>
          <w:lang w:eastAsia="zh-CN"/>
        </w:rPr>
        <w:t>甲方有权要求乙方根据</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b w:val="0"/>
          <w:bCs/>
          <w:color w:val="auto"/>
          <w:kern w:val="2"/>
          <w:sz w:val="21"/>
          <w:szCs w:val="21"/>
          <w:highlight w:val="none"/>
          <w:lang w:eastAsia="zh-CN"/>
        </w:rPr>
        <w:t>要求</w:t>
      </w:r>
      <w:r>
        <w:rPr>
          <w:rFonts w:hint="eastAsia" w:ascii="宋体" w:hAnsi="宋体" w:eastAsia="宋体" w:cs="宋体"/>
          <w:color w:val="auto"/>
          <w:kern w:val="2"/>
          <w:sz w:val="21"/>
          <w:szCs w:val="21"/>
          <w:highlight w:val="none"/>
          <w:lang w:eastAsia="zh-CN"/>
        </w:rPr>
        <w:t>及时修理、重作、更换，并承担由此给甲</w:t>
      </w:r>
      <w:r>
        <w:rPr>
          <w:rFonts w:hint="eastAsia" w:ascii="宋体" w:hAnsi="宋体" w:eastAsia="宋体" w:cs="宋体"/>
          <w:color w:val="auto"/>
          <w:kern w:val="2"/>
          <w:sz w:val="21"/>
          <w:szCs w:val="21"/>
          <w:highlight w:val="none"/>
        </w:rPr>
        <w:t>方</w:t>
      </w:r>
      <w:r>
        <w:rPr>
          <w:rFonts w:hint="eastAsia" w:ascii="宋体" w:hAnsi="宋体" w:eastAsia="宋体" w:cs="宋体"/>
          <w:color w:val="auto"/>
          <w:kern w:val="2"/>
          <w:sz w:val="21"/>
          <w:szCs w:val="21"/>
          <w:highlight w:val="none"/>
          <w:lang w:eastAsia="zh-CN"/>
        </w:rPr>
        <w:t>造成的损失</w:t>
      </w:r>
      <w:r>
        <w:rPr>
          <w:rFonts w:hint="eastAsia" w:ascii="宋体" w:hAnsi="宋体" w:eastAsia="宋体" w:cs="宋体"/>
          <w:color w:val="auto"/>
          <w:kern w:val="2"/>
          <w:sz w:val="21"/>
          <w:szCs w:val="21"/>
          <w:highlight w:val="none"/>
        </w:rPr>
        <w:t>。</w:t>
      </w:r>
    </w:p>
    <w:p w14:paraId="3B3A2F81">
      <w:pPr>
        <w:autoSpaceDE w:val="0"/>
        <w:autoSpaceDN w:val="0"/>
        <w:adjustRightInd w:val="0"/>
        <w:snapToGrid w:val="0"/>
        <w:spacing w:before="0" w:line="400" w:lineRule="exact"/>
        <w:ind w:firstLine="420" w:firstLineChars="200"/>
        <w:jc w:val="left"/>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1</w:t>
      </w:r>
      <w:r>
        <w:rPr>
          <w:rFonts w:hint="eastAsia" w:ascii="宋体" w:hAnsi="宋体" w:eastAsia="宋体" w:cs="宋体"/>
          <w:bCs/>
          <w:color w:val="auto"/>
          <w:kern w:val="2"/>
          <w:sz w:val="21"/>
          <w:szCs w:val="21"/>
          <w:highlight w:val="none"/>
          <w:lang w:eastAsia="zh-CN"/>
        </w:rPr>
        <w:t>5</w:t>
      </w:r>
      <w:r>
        <w:rPr>
          <w:rFonts w:hint="eastAsia" w:ascii="宋体" w:hAnsi="宋体" w:eastAsia="宋体" w:cs="宋体"/>
          <w:bCs/>
          <w:color w:val="auto"/>
          <w:kern w:val="2"/>
          <w:sz w:val="21"/>
          <w:szCs w:val="21"/>
          <w:highlight w:val="none"/>
        </w:rPr>
        <w:t>.2 迟延交货的违约责任</w:t>
      </w:r>
    </w:p>
    <w:p w14:paraId="4D6C3035">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（1）乙方应按照本合同规定的时间、地点交货和提供</w:t>
      </w:r>
      <w:r>
        <w:rPr>
          <w:rFonts w:hint="eastAsia" w:ascii="宋体" w:hAnsi="宋体" w:eastAsia="宋体" w:cs="宋体"/>
          <w:color w:val="auto"/>
          <w:kern w:val="2"/>
          <w:sz w:val="21"/>
          <w:szCs w:val="21"/>
          <w:highlight w:val="none"/>
          <w:lang w:eastAsia="zh-CN"/>
        </w:rPr>
        <w:t>相关</w:t>
      </w:r>
      <w:r>
        <w:rPr>
          <w:rFonts w:hint="eastAsia" w:ascii="宋体" w:hAnsi="宋体" w:eastAsia="宋体" w:cs="宋体"/>
          <w:color w:val="auto"/>
          <w:kern w:val="2"/>
          <w:sz w:val="21"/>
          <w:szCs w:val="21"/>
          <w:highlight w:val="none"/>
        </w:rPr>
        <w:t>服务。在履行合同过程中，如果乙方遇到可能</w:t>
      </w:r>
      <w:r>
        <w:rPr>
          <w:rFonts w:hint="eastAsia" w:ascii="宋体" w:hAnsi="宋体" w:eastAsia="宋体" w:cs="宋体"/>
          <w:color w:val="auto"/>
          <w:kern w:val="2"/>
          <w:sz w:val="21"/>
          <w:szCs w:val="21"/>
          <w:highlight w:val="none"/>
          <w:lang w:eastAsia="zh-CN"/>
        </w:rPr>
        <w:t>影响</w:t>
      </w:r>
      <w:r>
        <w:rPr>
          <w:rFonts w:hint="eastAsia" w:ascii="宋体" w:hAnsi="宋体" w:eastAsia="宋体" w:cs="宋体"/>
          <w:color w:val="auto"/>
          <w:kern w:val="2"/>
          <w:sz w:val="21"/>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宋体"/>
          <w:color w:val="auto"/>
          <w:kern w:val="2"/>
          <w:sz w:val="21"/>
          <w:szCs w:val="21"/>
          <w:highlight w:val="none"/>
          <w:lang w:eastAsia="zh-CN"/>
        </w:rPr>
        <w:t>长</w:t>
      </w:r>
      <w:r>
        <w:rPr>
          <w:rFonts w:hint="eastAsia" w:ascii="宋体" w:hAnsi="宋体" w:eastAsia="宋体" w:cs="宋体"/>
          <w:color w:val="auto"/>
          <w:kern w:val="2"/>
          <w:sz w:val="21"/>
          <w:szCs w:val="21"/>
          <w:highlight w:val="none"/>
        </w:rPr>
        <w:t>交货时间或延期提供服务。</w:t>
      </w:r>
    </w:p>
    <w:p w14:paraId="590DD4EF">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（2）如果乙方没有按照合同规定的时间交货和提供</w:t>
      </w:r>
      <w:r>
        <w:rPr>
          <w:rFonts w:hint="eastAsia" w:ascii="宋体" w:hAnsi="宋体" w:eastAsia="宋体" w:cs="宋体"/>
          <w:color w:val="auto"/>
          <w:kern w:val="2"/>
          <w:sz w:val="21"/>
          <w:szCs w:val="21"/>
          <w:highlight w:val="none"/>
          <w:lang w:eastAsia="zh-CN"/>
        </w:rPr>
        <w:t>相关</w:t>
      </w:r>
      <w:r>
        <w:rPr>
          <w:rFonts w:hint="eastAsia" w:ascii="宋体" w:hAnsi="宋体" w:eastAsia="宋体" w:cs="宋体"/>
          <w:color w:val="auto"/>
          <w:kern w:val="2"/>
          <w:sz w:val="21"/>
          <w:szCs w:val="21"/>
          <w:highlight w:val="none"/>
        </w:rPr>
        <w:t>服务，甲方有权从货款中扣除误期赔偿费而不影响合同项下的其他补救方法，赔偿费按</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规定执行。如果涉及公共利益，且赔偿金额无法弥补公共利益损失，</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可要求继续履行或者</w:t>
      </w:r>
      <w:r>
        <w:rPr>
          <w:rFonts w:hint="eastAsia" w:ascii="宋体" w:hAnsi="宋体" w:eastAsia="宋体" w:cs="宋体"/>
          <w:color w:val="auto"/>
          <w:kern w:val="2"/>
          <w:sz w:val="21"/>
          <w:szCs w:val="21"/>
          <w:highlight w:val="none"/>
          <w:lang w:eastAsia="zh-CN"/>
        </w:rPr>
        <w:t>采取其他补救措施</w:t>
      </w:r>
      <w:r>
        <w:rPr>
          <w:rFonts w:hint="eastAsia" w:ascii="宋体" w:hAnsi="宋体" w:eastAsia="宋体" w:cs="宋体"/>
          <w:color w:val="auto"/>
          <w:kern w:val="2"/>
          <w:sz w:val="21"/>
          <w:szCs w:val="21"/>
          <w:highlight w:val="none"/>
        </w:rPr>
        <w:t>。</w:t>
      </w:r>
    </w:p>
    <w:p w14:paraId="3E573CC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5</w:t>
      </w:r>
      <w:r>
        <w:rPr>
          <w:rFonts w:hint="eastAsia" w:ascii="宋体" w:hAnsi="宋体" w:eastAsia="宋体" w:cs="宋体"/>
          <w:color w:val="auto"/>
          <w:kern w:val="2"/>
          <w:sz w:val="21"/>
          <w:szCs w:val="21"/>
          <w:highlight w:val="none"/>
        </w:rPr>
        <w:t>.3 迟延支付的违约责任</w:t>
      </w:r>
    </w:p>
    <w:p w14:paraId="3ED807CB">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甲方存在迟延支付乙方合同款项的，应当承担</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规定的逾期付款利息。</w:t>
      </w:r>
    </w:p>
    <w:p w14:paraId="7371855D">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bCs/>
          <w:color w:val="auto"/>
          <w:kern w:val="2"/>
          <w:sz w:val="21"/>
          <w:szCs w:val="21"/>
          <w:highlight w:val="none"/>
        </w:rPr>
        <w:t>1</w:t>
      </w:r>
      <w:r>
        <w:rPr>
          <w:rFonts w:hint="eastAsia" w:ascii="宋体" w:hAnsi="宋体" w:eastAsia="宋体" w:cs="宋体"/>
          <w:bCs/>
          <w:color w:val="auto"/>
          <w:kern w:val="2"/>
          <w:sz w:val="21"/>
          <w:szCs w:val="21"/>
          <w:highlight w:val="none"/>
          <w:lang w:eastAsia="zh-CN"/>
        </w:rPr>
        <w:t>5</w:t>
      </w:r>
      <w:r>
        <w:rPr>
          <w:rFonts w:hint="eastAsia" w:ascii="宋体" w:hAnsi="宋体" w:eastAsia="宋体" w:cs="宋体"/>
          <w:bCs/>
          <w:color w:val="auto"/>
          <w:kern w:val="2"/>
          <w:sz w:val="21"/>
          <w:szCs w:val="21"/>
          <w:highlight w:val="none"/>
        </w:rPr>
        <w:t>.4其他违约责任根据项目实际需要按</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color w:val="auto"/>
          <w:kern w:val="2"/>
          <w:sz w:val="21"/>
          <w:szCs w:val="21"/>
          <w:highlight w:val="none"/>
        </w:rPr>
        <w:t>规定执行。</w:t>
      </w:r>
    </w:p>
    <w:p w14:paraId="152936FF">
      <w:pPr>
        <w:numPr>
          <w:ilvl w:val="0"/>
          <w:numId w:val="10"/>
        </w:numPr>
        <w:autoSpaceDE w:val="0"/>
        <w:autoSpaceDN w:val="0"/>
        <w:adjustRightInd w:val="0"/>
        <w:snapToGrid w:val="0"/>
        <w:spacing w:before="0" w:line="400" w:lineRule="exact"/>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合同变更</w:t>
      </w:r>
      <w:r>
        <w:rPr>
          <w:rFonts w:hint="eastAsia" w:ascii="宋体" w:hAnsi="宋体" w:eastAsia="宋体" w:cs="宋体"/>
          <w:b/>
          <w:color w:val="auto"/>
          <w:kern w:val="2"/>
          <w:sz w:val="21"/>
          <w:szCs w:val="21"/>
          <w:highlight w:val="none"/>
          <w:lang w:eastAsia="zh-CN"/>
        </w:rPr>
        <w:t>、中止与终止</w:t>
      </w:r>
    </w:p>
    <w:p w14:paraId="28C474DB">
      <w:pPr>
        <w:autoSpaceDE/>
        <w:autoSpaceDN/>
        <w:adjustRightInd w:val="0"/>
        <w:snapToGrid w:val="0"/>
        <w:spacing w:before="0" w:line="400" w:lineRule="exact"/>
        <w:ind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.1合同的</w:t>
      </w:r>
      <w:r>
        <w:rPr>
          <w:rFonts w:hint="eastAsia" w:ascii="宋体" w:hAnsi="宋体" w:eastAsia="宋体" w:cs="宋体"/>
          <w:color w:val="auto"/>
          <w:kern w:val="2"/>
          <w:sz w:val="21"/>
          <w:szCs w:val="21"/>
          <w:highlight w:val="none"/>
          <w:lang w:eastAsia="zh-CN"/>
        </w:rPr>
        <w:t>变更</w:t>
      </w:r>
    </w:p>
    <w:p w14:paraId="019E6119">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政府采购合同履行中，</w:t>
      </w:r>
      <w:r>
        <w:rPr>
          <w:rFonts w:hint="eastAsia" w:ascii="宋体" w:hAnsi="宋体" w:eastAsia="宋体" w:cs="宋体"/>
          <w:color w:val="auto"/>
          <w:kern w:val="2"/>
          <w:sz w:val="21"/>
          <w:szCs w:val="21"/>
          <w:highlight w:val="none"/>
        </w:rPr>
        <w:t>在不改变合同其他条款的前提下，甲方可以在合同价款10%的范围内追加与合同标的相同的货物，并就此与乙方协商</w:t>
      </w:r>
      <w:r>
        <w:rPr>
          <w:rFonts w:hint="eastAsia" w:ascii="宋体" w:hAnsi="宋体" w:eastAsia="宋体" w:cs="宋体"/>
          <w:color w:val="auto"/>
          <w:kern w:val="2"/>
          <w:sz w:val="21"/>
          <w:szCs w:val="21"/>
          <w:highlight w:val="none"/>
          <w:lang w:eastAsia="zh-CN"/>
        </w:rPr>
        <w:t>一致后</w:t>
      </w:r>
      <w:r>
        <w:rPr>
          <w:rFonts w:hint="eastAsia" w:ascii="宋体" w:hAnsi="宋体" w:eastAsia="宋体" w:cs="宋体"/>
          <w:color w:val="auto"/>
          <w:kern w:val="2"/>
          <w:sz w:val="21"/>
          <w:szCs w:val="21"/>
          <w:highlight w:val="none"/>
        </w:rPr>
        <w:t>签订补充协议。</w:t>
      </w:r>
    </w:p>
    <w:p w14:paraId="23532E82">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合同的中止</w:t>
      </w:r>
    </w:p>
    <w:p w14:paraId="6730C3F0">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（1）合同履行过程中因供应商就采购文件、采购过程或结果提起投诉的，甲方认为有必要的，</w:t>
      </w:r>
      <w:r>
        <w:rPr>
          <w:rFonts w:hint="eastAsia" w:ascii="宋体" w:hAnsi="宋体" w:eastAsia="宋体" w:cs="宋体"/>
          <w:color w:val="auto"/>
          <w:kern w:val="2"/>
          <w:sz w:val="21"/>
          <w:szCs w:val="21"/>
          <w:highlight w:val="none"/>
          <w:lang w:eastAsia="zh-CN"/>
        </w:rPr>
        <w:t>可以</w:t>
      </w:r>
      <w:r>
        <w:rPr>
          <w:rFonts w:hint="eastAsia" w:ascii="宋体" w:hAnsi="宋体" w:eastAsia="宋体" w:cs="宋体"/>
          <w:color w:val="auto"/>
          <w:kern w:val="2"/>
          <w:sz w:val="21"/>
          <w:szCs w:val="21"/>
          <w:highlight w:val="none"/>
        </w:rPr>
        <w:t>中止合同的履行。</w:t>
      </w:r>
    </w:p>
    <w:p w14:paraId="706E465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r>
        <w:rPr>
          <w:rFonts w:hint="eastAsia" w:ascii="宋体" w:hAnsi="宋体" w:eastAsia="宋体" w:cs="宋体"/>
          <w:color w:val="auto"/>
          <w:kern w:val="2"/>
          <w:sz w:val="21"/>
          <w:szCs w:val="21"/>
          <w:highlight w:val="none"/>
          <w:lang w:val="en-US" w:eastAsia="zh-CN"/>
        </w:rPr>
        <w:t>合同履行过程中，</w:t>
      </w:r>
      <w:r>
        <w:rPr>
          <w:rFonts w:hint="eastAsia" w:ascii="宋体" w:hAnsi="宋体" w:eastAsia="宋体" w:cs="宋体"/>
          <w:color w:val="auto"/>
          <w:kern w:val="2"/>
          <w:sz w:val="21"/>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eastAsia="宋体" w:cs="宋体"/>
          <w:color w:val="auto"/>
          <w:kern w:val="2"/>
          <w:sz w:val="21"/>
          <w:szCs w:val="21"/>
          <w:highlight w:val="none"/>
          <w:lang w:eastAsia="zh-CN"/>
        </w:rPr>
        <w:t>，乙方有义务及时告知甲方</w:t>
      </w:r>
      <w:r>
        <w:rPr>
          <w:rFonts w:hint="eastAsia" w:ascii="宋体" w:hAnsi="宋体" w:eastAsia="宋体" w:cs="宋体"/>
          <w:color w:val="auto"/>
          <w:kern w:val="2"/>
          <w:sz w:val="21"/>
          <w:szCs w:val="21"/>
          <w:highlight w:val="none"/>
        </w:rPr>
        <w:t>。甲方</w:t>
      </w:r>
      <w:r>
        <w:rPr>
          <w:rFonts w:hint="eastAsia" w:ascii="宋体" w:hAnsi="宋体" w:eastAsia="宋体" w:cs="宋体"/>
          <w:color w:val="auto"/>
          <w:kern w:val="2"/>
          <w:sz w:val="21"/>
          <w:szCs w:val="21"/>
          <w:highlight w:val="none"/>
          <w:lang w:eastAsia="zh-CN"/>
        </w:rPr>
        <w:t>有权</w:t>
      </w:r>
      <w:r>
        <w:rPr>
          <w:rFonts w:hint="eastAsia" w:ascii="宋体" w:hAnsi="宋体" w:eastAsia="宋体" w:cs="宋体"/>
          <w:color w:val="auto"/>
          <w:kern w:val="2"/>
          <w:sz w:val="21"/>
          <w:szCs w:val="21"/>
          <w:highlight w:val="none"/>
        </w:rPr>
        <w:t>以书面形式通知乙方中止合同</w:t>
      </w:r>
      <w:r>
        <w:rPr>
          <w:rFonts w:hint="eastAsia" w:ascii="宋体" w:hAnsi="宋体" w:eastAsia="宋体" w:cs="宋体"/>
          <w:color w:val="auto"/>
          <w:kern w:val="2"/>
          <w:sz w:val="21"/>
          <w:szCs w:val="21"/>
          <w:highlight w:val="none"/>
          <w:lang w:eastAsia="zh-CN"/>
        </w:rPr>
        <w:t>并要求乙方在合理期限内消除相关情形或者提供适当担保。</w:t>
      </w:r>
      <w:r>
        <w:rPr>
          <w:rFonts w:hint="eastAsia" w:ascii="宋体" w:hAnsi="宋体" w:eastAsia="宋体" w:cs="宋体"/>
          <w:color w:val="auto"/>
          <w:kern w:val="2"/>
          <w:sz w:val="21"/>
          <w:szCs w:val="21"/>
          <w:highlight w:val="none"/>
        </w:rPr>
        <w:t>乙方提供适当担保的，</w:t>
      </w:r>
      <w:r>
        <w:rPr>
          <w:rFonts w:hint="eastAsia" w:ascii="宋体" w:hAnsi="宋体" w:eastAsia="宋体" w:cs="宋体"/>
          <w:color w:val="auto"/>
          <w:kern w:val="2"/>
          <w:sz w:val="21"/>
          <w:szCs w:val="21"/>
          <w:highlight w:val="none"/>
          <w:lang w:eastAsia="zh-CN"/>
        </w:rPr>
        <w:t>合同继续</w:t>
      </w:r>
      <w:r>
        <w:rPr>
          <w:rFonts w:hint="eastAsia" w:ascii="宋体" w:hAnsi="宋体" w:eastAsia="宋体" w:cs="宋体"/>
          <w:color w:val="auto"/>
          <w:kern w:val="2"/>
          <w:sz w:val="21"/>
          <w:szCs w:val="21"/>
          <w:highlight w:val="none"/>
        </w:rPr>
        <w:t>履行</w:t>
      </w:r>
      <w:r>
        <w:rPr>
          <w:rFonts w:hint="eastAsia" w:ascii="宋体" w:hAnsi="宋体" w:eastAsia="宋体" w:cs="宋体"/>
          <w:color w:val="auto"/>
          <w:kern w:val="2"/>
          <w:sz w:val="21"/>
          <w:szCs w:val="21"/>
          <w:highlight w:val="none"/>
          <w:lang w:eastAsia="zh-CN"/>
        </w:rPr>
        <w:t>；乙</w:t>
      </w:r>
      <w:r>
        <w:rPr>
          <w:rFonts w:hint="eastAsia" w:ascii="宋体" w:hAnsi="宋体" w:eastAsia="宋体" w:cs="宋体"/>
          <w:color w:val="auto"/>
          <w:kern w:val="2"/>
          <w:sz w:val="21"/>
          <w:szCs w:val="21"/>
          <w:highlight w:val="none"/>
        </w:rPr>
        <w:t>方在合理期限内未恢复履约能力且未提供适当担保的，视为拒绝</w:t>
      </w:r>
      <w:r>
        <w:rPr>
          <w:rFonts w:hint="eastAsia" w:ascii="宋体" w:hAnsi="宋体" w:eastAsia="宋体" w:cs="宋体"/>
          <w:color w:val="auto"/>
          <w:kern w:val="2"/>
          <w:sz w:val="21"/>
          <w:szCs w:val="21"/>
          <w:highlight w:val="none"/>
          <w:lang w:eastAsia="zh-CN"/>
        </w:rPr>
        <w:t>继续</w:t>
      </w:r>
      <w:r>
        <w:rPr>
          <w:rFonts w:hint="eastAsia" w:ascii="宋体" w:hAnsi="宋体" w:eastAsia="宋体" w:cs="宋体"/>
          <w:color w:val="auto"/>
          <w:kern w:val="2"/>
          <w:sz w:val="21"/>
          <w:szCs w:val="21"/>
          <w:highlight w:val="none"/>
        </w:rPr>
        <w:t>履约，甲方</w:t>
      </w:r>
      <w:r>
        <w:rPr>
          <w:rFonts w:hint="eastAsia" w:ascii="宋体" w:hAnsi="宋体" w:eastAsia="宋体" w:cs="宋体"/>
          <w:color w:val="auto"/>
          <w:kern w:val="2"/>
          <w:sz w:val="21"/>
          <w:szCs w:val="21"/>
          <w:highlight w:val="none"/>
          <w:lang w:eastAsia="zh-CN"/>
        </w:rPr>
        <w:t>有权</w:t>
      </w:r>
      <w:r>
        <w:rPr>
          <w:rFonts w:hint="eastAsia" w:ascii="宋体" w:hAnsi="宋体" w:eastAsia="宋体" w:cs="宋体"/>
          <w:color w:val="auto"/>
          <w:kern w:val="2"/>
          <w:sz w:val="21"/>
          <w:szCs w:val="21"/>
          <w:highlight w:val="none"/>
        </w:rPr>
        <w:t>解除合同并要求乙方承担</w:t>
      </w:r>
      <w:r>
        <w:rPr>
          <w:rFonts w:hint="eastAsia" w:ascii="宋体" w:hAnsi="宋体" w:eastAsia="宋体" w:cs="宋体"/>
          <w:color w:val="auto"/>
          <w:kern w:val="2"/>
          <w:sz w:val="21"/>
          <w:szCs w:val="21"/>
          <w:highlight w:val="none"/>
          <w:lang w:eastAsia="zh-CN"/>
        </w:rPr>
        <w:t>由此给甲方造成的损失</w:t>
      </w:r>
      <w:r>
        <w:rPr>
          <w:rFonts w:hint="eastAsia" w:ascii="宋体" w:hAnsi="宋体" w:eastAsia="宋体" w:cs="宋体"/>
          <w:color w:val="auto"/>
          <w:kern w:val="2"/>
          <w:sz w:val="21"/>
          <w:szCs w:val="21"/>
          <w:highlight w:val="none"/>
        </w:rPr>
        <w:t>。</w:t>
      </w:r>
    </w:p>
    <w:p w14:paraId="5CD80FD9">
      <w:pPr>
        <w:autoSpaceDE w:val="0"/>
        <w:autoSpaceDN w:val="0"/>
        <w:adjustRightInd w:val="0"/>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3BCAED40">
      <w:pPr>
        <w:autoSpaceDE/>
        <w:autoSpaceDN/>
        <w:adjustRightInd/>
        <w:snapToGrid w:val="0"/>
        <w:spacing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）甲方不得以行政区划调整、政府换届、机构或者职能调整以及相关责任人更替为由中止合同。</w:t>
      </w:r>
    </w:p>
    <w:p w14:paraId="56F1AC42">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rPr>
        <w:t>合同的终止</w:t>
      </w:r>
    </w:p>
    <w:p w14:paraId="3848BADB">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（1）合同因有效期限届满而终止；</w:t>
      </w:r>
    </w:p>
    <w:p w14:paraId="2AF06312">
      <w:pPr>
        <w:autoSpaceDE/>
        <w:autoSpaceDN/>
        <w:adjustRightInd/>
        <w:snapToGrid w:val="0"/>
        <w:spacing w:line="400" w:lineRule="exact"/>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（2）乙方未</w:t>
      </w:r>
      <w:r>
        <w:rPr>
          <w:rFonts w:hint="eastAsia" w:ascii="宋体" w:hAnsi="宋体" w:eastAsia="宋体" w:cs="宋体"/>
          <w:color w:val="auto"/>
          <w:kern w:val="2"/>
          <w:sz w:val="21"/>
          <w:szCs w:val="21"/>
          <w:highlight w:val="none"/>
          <w:lang w:eastAsia="zh-CN"/>
        </w:rPr>
        <w:t>按</w:t>
      </w:r>
      <w:r>
        <w:rPr>
          <w:rFonts w:hint="eastAsia" w:ascii="宋体" w:hAnsi="宋体" w:eastAsia="宋体" w:cs="宋体"/>
          <w:color w:val="auto"/>
          <w:kern w:val="2"/>
          <w:sz w:val="21"/>
          <w:szCs w:val="21"/>
          <w:highlight w:val="none"/>
        </w:rPr>
        <w:t>合同约定履行，构成根本性违约的，甲方有权终止合同</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并追究乙方的违约责</w:t>
      </w:r>
      <w:r>
        <w:rPr>
          <w:rFonts w:hint="eastAsia" w:ascii="宋体" w:hAnsi="宋体" w:eastAsia="宋体" w:cs="宋体"/>
          <w:color w:val="auto"/>
          <w:kern w:val="2"/>
          <w:sz w:val="21"/>
          <w:szCs w:val="21"/>
          <w:highlight w:val="none"/>
          <w:lang w:val="en-US" w:eastAsia="zh-CN"/>
        </w:rPr>
        <w:t>任</w:t>
      </w:r>
      <w:r>
        <w:rPr>
          <w:rFonts w:hint="eastAsia" w:ascii="宋体" w:hAnsi="宋体" w:eastAsia="宋体" w:cs="宋体"/>
          <w:color w:val="auto"/>
          <w:kern w:val="2"/>
          <w:sz w:val="21"/>
          <w:szCs w:val="21"/>
          <w:highlight w:val="none"/>
        </w:rPr>
        <w:t>。</w:t>
      </w:r>
    </w:p>
    <w:p w14:paraId="3F0ADFC8">
      <w:pPr>
        <w:autoSpaceDE w:val="0"/>
        <w:autoSpaceDN w:val="0"/>
        <w:adjustRightInd w:val="0"/>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16.4 涉及国家利益、社会公共利益的情形</w:t>
      </w:r>
    </w:p>
    <w:p w14:paraId="15580053">
      <w:pPr>
        <w:autoSpaceDE w:val="0"/>
        <w:autoSpaceDN w:val="0"/>
        <w:adjustRightInd w:val="0"/>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政府采购合同继续履行将损害国家利益和社会公共利益的，双方当事人应当变更、中止或者终止合同。有过错的一方应当承担赔偿责任，双方都有过错的，各自承担相应的责任。</w:t>
      </w:r>
    </w:p>
    <w:p w14:paraId="5C2AA675">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1</w:t>
      </w:r>
      <w:r>
        <w:rPr>
          <w:rFonts w:hint="eastAsia" w:ascii="宋体" w:hAnsi="宋体" w:eastAsia="宋体" w:cs="宋体"/>
          <w:b/>
          <w:bCs/>
          <w:color w:val="auto"/>
          <w:kern w:val="2"/>
          <w:sz w:val="21"/>
          <w:szCs w:val="21"/>
          <w:highlight w:val="none"/>
          <w:lang w:val="en-US" w:eastAsia="zh-CN"/>
        </w:rPr>
        <w:t>7</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合同分包</w:t>
      </w:r>
    </w:p>
    <w:p w14:paraId="4EF84233">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7</w:t>
      </w:r>
      <w:r>
        <w:rPr>
          <w:rFonts w:hint="eastAsia" w:ascii="宋体" w:hAnsi="宋体" w:eastAsia="宋体" w:cs="宋体"/>
          <w:color w:val="auto"/>
          <w:kern w:val="2"/>
          <w:sz w:val="21"/>
          <w:szCs w:val="21"/>
          <w:highlight w:val="none"/>
        </w:rPr>
        <w:t>.1 乙方不得</w:t>
      </w:r>
      <w:r>
        <w:rPr>
          <w:rFonts w:hint="eastAsia" w:ascii="宋体" w:hAnsi="宋体" w:eastAsia="宋体" w:cs="宋体"/>
          <w:color w:val="auto"/>
          <w:kern w:val="2"/>
          <w:sz w:val="21"/>
          <w:szCs w:val="21"/>
          <w:highlight w:val="none"/>
          <w:lang w:eastAsia="zh-CN"/>
        </w:rPr>
        <w:t>将合同转包给其他供应商。涉及合同分包的，乙方</w:t>
      </w:r>
      <w:r>
        <w:rPr>
          <w:rFonts w:hint="eastAsia" w:ascii="宋体" w:hAnsi="宋体" w:eastAsia="宋体" w:cs="宋体"/>
          <w:color w:val="auto"/>
          <w:kern w:val="2"/>
          <w:sz w:val="21"/>
          <w:szCs w:val="21"/>
          <w:highlight w:val="none"/>
          <w:lang w:val="en-US" w:eastAsia="zh-CN"/>
        </w:rPr>
        <w:t>应</w:t>
      </w:r>
      <w:r>
        <w:rPr>
          <w:rFonts w:hint="eastAsia" w:ascii="宋体" w:hAnsi="宋体" w:eastAsia="宋体" w:cs="宋体"/>
          <w:color w:val="auto"/>
          <w:kern w:val="2"/>
          <w:sz w:val="21"/>
          <w:szCs w:val="21"/>
          <w:highlight w:val="none"/>
          <w:lang w:eastAsia="zh-CN"/>
        </w:rPr>
        <w:t>根据采购文件和投标（响应）文件规定进行</w:t>
      </w:r>
      <w:r>
        <w:rPr>
          <w:rFonts w:hint="eastAsia" w:ascii="宋体" w:hAnsi="宋体" w:eastAsia="宋体" w:cs="宋体"/>
          <w:color w:val="auto"/>
          <w:kern w:val="2"/>
          <w:sz w:val="21"/>
          <w:szCs w:val="21"/>
          <w:highlight w:val="none"/>
        </w:rPr>
        <w:t>合同分包。</w:t>
      </w:r>
    </w:p>
    <w:p w14:paraId="19F98564">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7</w:t>
      </w:r>
      <w:r>
        <w:rPr>
          <w:rFonts w:hint="eastAsia" w:ascii="宋体" w:hAnsi="宋体" w:eastAsia="宋体" w:cs="宋体"/>
          <w:color w:val="auto"/>
          <w:kern w:val="2"/>
          <w:sz w:val="21"/>
          <w:szCs w:val="21"/>
          <w:highlight w:val="none"/>
        </w:rPr>
        <w:t>.2 乙方执行政府采购政策向中小企业依法分包的</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乙方应当按采购文件</w:t>
      </w:r>
      <w:r>
        <w:rPr>
          <w:rFonts w:hint="eastAsia" w:ascii="宋体" w:hAnsi="宋体" w:eastAsia="宋体" w:cs="宋体"/>
          <w:color w:val="auto"/>
          <w:kern w:val="2"/>
          <w:sz w:val="21"/>
          <w:szCs w:val="21"/>
          <w:highlight w:val="none"/>
          <w:lang w:eastAsia="zh-CN"/>
        </w:rPr>
        <w:t>和</w:t>
      </w:r>
      <w:r>
        <w:rPr>
          <w:rFonts w:hint="eastAsia" w:ascii="宋体" w:hAnsi="宋体" w:eastAsia="宋体" w:cs="宋体"/>
          <w:color w:val="auto"/>
          <w:kern w:val="2"/>
          <w:sz w:val="21"/>
          <w:szCs w:val="21"/>
          <w:highlight w:val="none"/>
        </w:rPr>
        <w:t>投标（响应）文件签订分包</w:t>
      </w:r>
      <w:r>
        <w:rPr>
          <w:rFonts w:hint="eastAsia" w:ascii="宋体" w:hAnsi="宋体" w:eastAsia="宋体" w:cs="宋体"/>
          <w:color w:val="auto"/>
          <w:kern w:val="2"/>
          <w:sz w:val="21"/>
          <w:szCs w:val="21"/>
          <w:highlight w:val="none"/>
          <w:lang w:eastAsia="zh-CN"/>
        </w:rPr>
        <w:t>意向</w:t>
      </w:r>
      <w:r>
        <w:rPr>
          <w:rFonts w:hint="eastAsia" w:ascii="宋体" w:hAnsi="宋体" w:eastAsia="宋体" w:cs="宋体"/>
          <w:color w:val="auto"/>
          <w:kern w:val="2"/>
          <w:sz w:val="21"/>
          <w:szCs w:val="21"/>
          <w:highlight w:val="none"/>
        </w:rPr>
        <w:t>协议</w:t>
      </w:r>
      <w:r>
        <w:rPr>
          <w:rFonts w:hint="eastAsia" w:ascii="宋体" w:hAnsi="宋体" w:eastAsia="宋体" w:cs="宋体"/>
          <w:color w:val="auto"/>
          <w:kern w:val="2"/>
          <w:sz w:val="21"/>
          <w:szCs w:val="21"/>
          <w:highlight w:val="none"/>
          <w:lang w:val="en-US" w:eastAsia="zh-CN"/>
        </w:rPr>
        <w:t>书</w:t>
      </w:r>
      <w:r>
        <w:rPr>
          <w:rFonts w:hint="eastAsia" w:ascii="宋体" w:hAnsi="宋体" w:eastAsia="宋体" w:cs="宋体"/>
          <w:color w:val="auto"/>
          <w:kern w:val="2"/>
          <w:sz w:val="21"/>
          <w:szCs w:val="21"/>
          <w:highlight w:val="none"/>
        </w:rPr>
        <w:t>，分包</w:t>
      </w:r>
      <w:r>
        <w:rPr>
          <w:rFonts w:hint="eastAsia" w:ascii="宋体" w:hAnsi="宋体" w:eastAsia="宋体" w:cs="宋体"/>
          <w:color w:val="auto"/>
          <w:kern w:val="2"/>
          <w:sz w:val="21"/>
          <w:szCs w:val="21"/>
          <w:highlight w:val="none"/>
          <w:lang w:eastAsia="zh-CN"/>
        </w:rPr>
        <w:t>意向</w:t>
      </w:r>
      <w:r>
        <w:rPr>
          <w:rFonts w:hint="eastAsia" w:ascii="宋体" w:hAnsi="宋体" w:eastAsia="宋体" w:cs="宋体"/>
          <w:color w:val="auto"/>
          <w:kern w:val="2"/>
          <w:sz w:val="21"/>
          <w:szCs w:val="21"/>
          <w:highlight w:val="none"/>
        </w:rPr>
        <w:t>协议</w:t>
      </w:r>
      <w:r>
        <w:rPr>
          <w:rFonts w:hint="eastAsia" w:ascii="宋体" w:hAnsi="宋体" w:eastAsia="宋体" w:cs="宋体"/>
          <w:color w:val="auto"/>
          <w:kern w:val="2"/>
          <w:sz w:val="21"/>
          <w:szCs w:val="21"/>
          <w:highlight w:val="none"/>
          <w:lang w:val="en-US" w:eastAsia="zh-CN"/>
        </w:rPr>
        <w:t>书</w:t>
      </w:r>
      <w:r>
        <w:rPr>
          <w:rFonts w:hint="eastAsia" w:ascii="宋体" w:hAnsi="宋体" w:eastAsia="宋体" w:cs="宋体"/>
          <w:color w:val="auto"/>
          <w:kern w:val="2"/>
          <w:sz w:val="21"/>
          <w:szCs w:val="21"/>
          <w:highlight w:val="none"/>
        </w:rPr>
        <w:t>属于本合同组成部分。</w:t>
      </w:r>
    </w:p>
    <w:p w14:paraId="6E9E40FB">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eastAsia="zh-CN"/>
        </w:rPr>
        <w:t>1</w:t>
      </w:r>
      <w:r>
        <w:rPr>
          <w:rFonts w:hint="eastAsia" w:ascii="宋体" w:hAnsi="宋体" w:eastAsia="宋体" w:cs="宋体"/>
          <w:b/>
          <w:bCs/>
          <w:color w:val="auto"/>
          <w:kern w:val="2"/>
          <w:sz w:val="21"/>
          <w:szCs w:val="21"/>
          <w:highlight w:val="none"/>
          <w:lang w:val="en-US" w:eastAsia="zh-CN"/>
        </w:rPr>
        <w:t>8</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不可抗力</w:t>
      </w:r>
    </w:p>
    <w:p w14:paraId="3A0D10E3">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1</w:t>
      </w: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rPr>
        <w:t>.1 不可抗力是指合同双方不能预见、不能避免且不能克服的客观情况。</w:t>
      </w:r>
    </w:p>
    <w:p w14:paraId="7334AEE7">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1</w:t>
      </w: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rPr>
        <w:t>.2 任何一方对由于不可抗力造成的部分或全部不能履行合同不承担违约责任。但迟延履行后发生不可抗力的，不能免除责任。</w:t>
      </w:r>
    </w:p>
    <w:p w14:paraId="5B43D4C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1</w:t>
      </w: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rPr>
        <w:t>.3 遇有不可抗力的一方，应及时将事件情况以书面形式</w:t>
      </w:r>
      <w:r>
        <w:rPr>
          <w:rFonts w:hint="eastAsia" w:ascii="宋体" w:hAnsi="宋体" w:eastAsia="宋体" w:cs="宋体"/>
          <w:color w:val="auto"/>
          <w:kern w:val="2"/>
          <w:sz w:val="21"/>
          <w:szCs w:val="21"/>
          <w:highlight w:val="none"/>
          <w:lang w:eastAsia="zh-CN"/>
        </w:rPr>
        <w:t>告</w:t>
      </w:r>
      <w:r>
        <w:rPr>
          <w:rFonts w:hint="eastAsia" w:ascii="宋体" w:hAnsi="宋体" w:eastAsia="宋体" w:cs="宋体"/>
          <w:color w:val="auto"/>
          <w:kern w:val="2"/>
          <w:sz w:val="21"/>
          <w:szCs w:val="21"/>
          <w:highlight w:val="none"/>
        </w:rPr>
        <w:t>知另一方，并在事件发生后及时向另一方提交合同不能履行或部分不能履行或需要延期履行</w:t>
      </w:r>
      <w:r>
        <w:rPr>
          <w:rFonts w:hint="eastAsia" w:ascii="宋体" w:hAnsi="宋体" w:eastAsia="宋体" w:cs="宋体"/>
          <w:color w:val="auto"/>
          <w:kern w:val="2"/>
          <w:sz w:val="21"/>
          <w:szCs w:val="21"/>
          <w:highlight w:val="none"/>
          <w:lang w:eastAsia="zh-CN"/>
        </w:rPr>
        <w:t>的详细</w:t>
      </w:r>
      <w:r>
        <w:rPr>
          <w:rFonts w:hint="eastAsia" w:ascii="宋体" w:hAnsi="宋体" w:eastAsia="宋体" w:cs="宋体"/>
          <w:color w:val="auto"/>
          <w:kern w:val="2"/>
          <w:sz w:val="21"/>
          <w:szCs w:val="21"/>
          <w:highlight w:val="none"/>
        </w:rPr>
        <w:t>报告</w:t>
      </w:r>
      <w:r>
        <w:rPr>
          <w:rFonts w:hint="eastAsia" w:ascii="宋体" w:hAnsi="宋体" w:eastAsia="宋体" w:cs="宋体"/>
          <w:color w:val="auto"/>
          <w:kern w:val="2"/>
          <w:sz w:val="21"/>
          <w:szCs w:val="21"/>
          <w:highlight w:val="none"/>
          <w:lang w:eastAsia="zh-CN"/>
        </w:rPr>
        <w:t>，以</w:t>
      </w:r>
      <w:r>
        <w:rPr>
          <w:rFonts w:hint="eastAsia" w:ascii="宋体" w:hAnsi="宋体" w:eastAsia="宋体" w:cs="宋体"/>
          <w:color w:val="auto"/>
          <w:kern w:val="2"/>
          <w:sz w:val="21"/>
          <w:szCs w:val="21"/>
          <w:highlight w:val="none"/>
          <w:lang w:val="en-US" w:eastAsia="zh-CN"/>
        </w:rPr>
        <w:t>及证明不可抗力发生及其持续时间的证据</w:t>
      </w:r>
      <w:r>
        <w:rPr>
          <w:rFonts w:hint="eastAsia" w:ascii="宋体" w:hAnsi="宋体" w:eastAsia="宋体" w:cs="宋体"/>
          <w:color w:val="auto"/>
          <w:kern w:val="2"/>
          <w:sz w:val="21"/>
          <w:szCs w:val="21"/>
          <w:highlight w:val="none"/>
        </w:rPr>
        <w:t>。</w:t>
      </w:r>
    </w:p>
    <w:p w14:paraId="1ACB0169">
      <w:pPr>
        <w:autoSpaceDE w:val="0"/>
        <w:autoSpaceDN w:val="0"/>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19</w:t>
      </w:r>
      <w:r>
        <w:rPr>
          <w:rFonts w:hint="eastAsia" w:ascii="宋体" w:hAnsi="宋体" w:eastAsia="宋体" w:cs="宋体"/>
          <w:b/>
          <w:bCs/>
          <w:color w:val="auto"/>
          <w:kern w:val="2"/>
          <w:sz w:val="21"/>
          <w:szCs w:val="21"/>
          <w:highlight w:val="none"/>
        </w:rPr>
        <w:t>.</w:t>
      </w:r>
      <w:r>
        <w:rPr>
          <w:rFonts w:hint="eastAsia" w:ascii="宋体" w:hAnsi="宋体" w:eastAsia="宋体" w:cs="宋体"/>
          <w:b/>
          <w:bCs/>
          <w:color w:val="auto"/>
          <w:kern w:val="2"/>
          <w:sz w:val="21"/>
          <w:szCs w:val="21"/>
          <w:highlight w:val="none"/>
          <w:lang w:val="en-US" w:eastAsia="zh-CN"/>
        </w:rPr>
        <w:t xml:space="preserve"> </w:t>
      </w:r>
      <w:r>
        <w:rPr>
          <w:rFonts w:hint="eastAsia" w:ascii="宋体" w:hAnsi="宋体" w:eastAsia="宋体" w:cs="宋体"/>
          <w:b/>
          <w:bCs/>
          <w:color w:val="auto"/>
          <w:kern w:val="2"/>
          <w:sz w:val="21"/>
          <w:szCs w:val="21"/>
          <w:highlight w:val="none"/>
        </w:rPr>
        <w:t>解决争议的方法</w:t>
      </w:r>
    </w:p>
    <w:p w14:paraId="4268DE97">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val="en-US" w:eastAsia="zh-CN"/>
        </w:rPr>
        <w:t>19</w:t>
      </w:r>
      <w:r>
        <w:rPr>
          <w:rFonts w:hint="eastAsia" w:ascii="宋体" w:hAnsi="宋体" w:eastAsia="宋体" w:cs="宋体"/>
          <w:color w:val="auto"/>
          <w:kern w:val="2"/>
          <w:sz w:val="21"/>
          <w:szCs w:val="21"/>
          <w:highlight w:val="none"/>
          <w:lang w:eastAsia="zh-CN"/>
        </w:rPr>
        <w:t>.1 因本合同及合同有关事项发生的争议，由甲乙双方友好协商解决。协商不成时，可以向有关组织申请调解。合同一方或双方不愿调解或调解不成的，可以通过仲裁或诉讼的方式解决争议。</w:t>
      </w:r>
    </w:p>
    <w:p w14:paraId="414115B8">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19.2 选择仲裁的，应在</w:t>
      </w:r>
      <w:r>
        <w:rPr>
          <w:rFonts w:hint="eastAsia" w:ascii="宋体" w:hAnsi="宋体" w:eastAsia="宋体" w:cs="宋体"/>
          <w:b/>
          <w:bCs/>
          <w:color w:val="auto"/>
          <w:kern w:val="2"/>
          <w:sz w:val="21"/>
          <w:szCs w:val="21"/>
          <w:highlight w:val="none"/>
          <w:lang w:val="en-US" w:eastAsia="zh-CN"/>
        </w:rPr>
        <w:t>【政府采购合同专用条款】</w:t>
      </w:r>
      <w:r>
        <w:rPr>
          <w:rFonts w:hint="eastAsia" w:ascii="宋体" w:hAnsi="宋体" w:eastAsia="宋体" w:cs="宋体"/>
          <w:color w:val="auto"/>
          <w:kern w:val="2"/>
          <w:sz w:val="21"/>
          <w:szCs w:val="21"/>
          <w:highlight w:val="none"/>
          <w:lang w:val="en-US" w:eastAsia="zh-CN"/>
        </w:rPr>
        <w:t>中明确仲裁机构及仲裁地；通过诉讼方式解决的，可以在</w:t>
      </w:r>
      <w:r>
        <w:rPr>
          <w:rFonts w:hint="eastAsia" w:ascii="宋体" w:hAnsi="宋体" w:eastAsia="宋体" w:cs="宋体"/>
          <w:b/>
          <w:bCs/>
          <w:color w:val="auto"/>
          <w:kern w:val="2"/>
          <w:sz w:val="21"/>
          <w:szCs w:val="21"/>
          <w:highlight w:val="none"/>
          <w:lang w:val="en-US" w:eastAsia="zh-CN"/>
        </w:rPr>
        <w:t>【政府采购合同专用条款】</w:t>
      </w:r>
      <w:r>
        <w:rPr>
          <w:rFonts w:hint="eastAsia" w:ascii="宋体" w:hAnsi="宋体" w:eastAsia="宋体" w:cs="宋体"/>
          <w:color w:val="auto"/>
          <w:kern w:val="2"/>
          <w:sz w:val="21"/>
          <w:szCs w:val="21"/>
          <w:highlight w:val="none"/>
          <w:lang w:val="en-US" w:eastAsia="zh-CN"/>
        </w:rPr>
        <w:t>中进一步约定选择与争议有实际联系的地点的人民法院管辖，但管辖法院的约定不得违反级别管辖和专属管辖的规定。</w:t>
      </w:r>
    </w:p>
    <w:p w14:paraId="404A2EBD">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19.3 如甲乙双方有争议的事项不影响合同其他部分的履行，在争议解决期间，合同其他部分应当继续履行。</w:t>
      </w:r>
    </w:p>
    <w:p w14:paraId="1EE4C3A5">
      <w:pPr>
        <w:autoSpaceDE w:val="0"/>
        <w:autoSpaceDN w:val="0"/>
        <w:adjustRightInd w:val="0"/>
        <w:snapToGrid w:val="0"/>
        <w:spacing w:before="0" w:line="400" w:lineRule="exact"/>
        <w:jc w:val="left"/>
        <w:rPr>
          <w:rFonts w:hint="eastAsia" w:ascii="宋体" w:hAnsi="宋体" w:eastAsia="宋体" w:cs="宋体"/>
          <w:color w:val="auto"/>
          <w:kern w:val="2"/>
          <w:sz w:val="21"/>
          <w:szCs w:val="21"/>
          <w:highlight w:val="none"/>
        </w:rPr>
      </w:pPr>
      <w:r>
        <w:rPr>
          <w:rFonts w:hint="eastAsia" w:ascii="宋体" w:hAnsi="宋体" w:eastAsia="宋体" w:cs="宋体"/>
          <w:b/>
          <w:color w:val="auto"/>
          <w:kern w:val="2"/>
          <w:sz w:val="21"/>
          <w:szCs w:val="21"/>
          <w:highlight w:val="none"/>
          <w:lang w:val="en-US" w:eastAsia="zh-CN"/>
        </w:rPr>
        <w:t>20</w:t>
      </w:r>
      <w:r>
        <w:rPr>
          <w:rFonts w:hint="eastAsia" w:ascii="宋体" w:hAnsi="宋体" w:eastAsia="宋体" w:cs="宋体"/>
          <w:b/>
          <w:color w:val="auto"/>
          <w:kern w:val="2"/>
          <w:sz w:val="21"/>
          <w:szCs w:val="21"/>
          <w:highlight w:val="none"/>
        </w:rPr>
        <w:t>.</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政府采购政策</w:t>
      </w:r>
    </w:p>
    <w:p w14:paraId="5E7E62BF">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20.1 </w:t>
      </w:r>
      <w:r>
        <w:rPr>
          <w:rFonts w:hint="eastAsia" w:ascii="宋体" w:hAnsi="宋体" w:eastAsia="宋体" w:cs="宋体"/>
          <w:color w:val="auto"/>
          <w:kern w:val="2"/>
          <w:sz w:val="21"/>
          <w:szCs w:val="21"/>
          <w:highlight w:val="none"/>
          <w:lang w:val="en-GB"/>
        </w:rPr>
        <w:t>本合同应当按照规定执行政府采购政策。</w:t>
      </w:r>
    </w:p>
    <w:p w14:paraId="078691A2">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2</w:t>
      </w:r>
      <w:r>
        <w:rPr>
          <w:rFonts w:hint="eastAsia" w:ascii="宋体" w:hAnsi="宋体" w:eastAsia="宋体" w:cs="宋体"/>
          <w:color w:val="auto"/>
          <w:kern w:val="2"/>
          <w:sz w:val="21"/>
          <w:szCs w:val="21"/>
          <w:highlight w:val="none"/>
          <w:lang w:val="en-US" w:eastAsia="zh-CN"/>
        </w:rPr>
        <w:t>0</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 xml:space="preserve"> 本合同依法执行政府采购政策的方式和内容，属于合同履约验收的范围。</w:t>
      </w:r>
      <w:r>
        <w:rPr>
          <w:rFonts w:hint="eastAsia" w:ascii="宋体" w:hAnsi="宋体" w:eastAsia="宋体" w:cs="宋体"/>
          <w:color w:val="auto"/>
          <w:kern w:val="2"/>
          <w:sz w:val="21"/>
          <w:szCs w:val="21"/>
          <w:highlight w:val="none"/>
          <w:lang w:eastAsia="zh-CN"/>
        </w:rPr>
        <w:t>甲乙双方</w:t>
      </w:r>
      <w:r>
        <w:rPr>
          <w:rFonts w:hint="eastAsia" w:ascii="宋体" w:hAnsi="宋体" w:eastAsia="宋体" w:cs="宋体"/>
          <w:color w:val="auto"/>
          <w:kern w:val="2"/>
          <w:sz w:val="21"/>
          <w:szCs w:val="21"/>
          <w:highlight w:val="none"/>
          <w:lang w:val="en-GB"/>
        </w:rPr>
        <w:t>未按规定要求执行政府采购政策造成损失的</w:t>
      </w:r>
      <w:r>
        <w:rPr>
          <w:rFonts w:hint="eastAsia" w:ascii="宋体" w:hAnsi="宋体" w:eastAsia="宋体" w:cs="宋体"/>
          <w:color w:val="auto"/>
          <w:kern w:val="2"/>
          <w:sz w:val="21"/>
          <w:szCs w:val="21"/>
          <w:highlight w:val="none"/>
        </w:rPr>
        <w:t>，有过错的一方应当承</w:t>
      </w:r>
      <w:r>
        <w:rPr>
          <w:rFonts w:hint="eastAsia" w:ascii="宋体" w:hAnsi="宋体" w:eastAsia="宋体" w:cs="宋体"/>
          <w:color w:val="auto"/>
          <w:kern w:val="2"/>
          <w:sz w:val="21"/>
          <w:szCs w:val="21"/>
          <w:highlight w:val="none"/>
          <w:lang w:val="en-US" w:eastAsia="zh-CN"/>
        </w:rPr>
        <w:t>担赔偿责任，双方都有过错的，各自承担相应的责任。</w:t>
      </w:r>
    </w:p>
    <w:p w14:paraId="15F6DED7">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体协议书或者分包意向协议书作为采购合同的组成部分。</w:t>
      </w:r>
    </w:p>
    <w:p w14:paraId="4DDDC0EC">
      <w:pPr>
        <w:autoSpaceDE w:val="0"/>
        <w:autoSpaceDN w:val="0"/>
        <w:adjustRightInd w:val="0"/>
        <w:snapToGrid w:val="0"/>
        <w:spacing w:before="0" w:line="400" w:lineRule="exact"/>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w:t>
      </w:r>
      <w:r>
        <w:rPr>
          <w:rFonts w:hint="eastAsia" w:ascii="宋体" w:hAnsi="宋体" w:eastAsia="宋体" w:cs="宋体"/>
          <w:b/>
          <w:color w:val="auto"/>
          <w:kern w:val="2"/>
          <w:sz w:val="21"/>
          <w:szCs w:val="21"/>
          <w:highlight w:val="none"/>
          <w:lang w:val="en-US" w:eastAsia="zh-CN"/>
        </w:rPr>
        <w:t>1</w:t>
      </w:r>
      <w:r>
        <w:rPr>
          <w:rFonts w:hint="eastAsia" w:ascii="宋体" w:hAnsi="宋体" w:eastAsia="宋体" w:cs="宋体"/>
          <w:b/>
          <w:color w:val="auto"/>
          <w:kern w:val="2"/>
          <w:sz w:val="21"/>
          <w:szCs w:val="21"/>
          <w:highlight w:val="none"/>
        </w:rPr>
        <w:t>.</w:t>
      </w:r>
      <w:r>
        <w:rPr>
          <w:rFonts w:hint="eastAsia" w:ascii="宋体" w:hAnsi="宋体" w:eastAsia="宋体" w:cs="宋体"/>
          <w:b/>
          <w:color w:val="auto"/>
          <w:kern w:val="2"/>
          <w:sz w:val="21"/>
          <w:szCs w:val="21"/>
          <w:highlight w:val="none"/>
          <w:lang w:val="en-US" w:eastAsia="zh-CN"/>
        </w:rPr>
        <w:t xml:space="preserve"> </w:t>
      </w:r>
      <w:r>
        <w:rPr>
          <w:rFonts w:hint="eastAsia" w:ascii="宋体" w:hAnsi="宋体" w:eastAsia="宋体" w:cs="宋体"/>
          <w:b/>
          <w:color w:val="auto"/>
          <w:kern w:val="2"/>
          <w:sz w:val="21"/>
          <w:szCs w:val="21"/>
          <w:highlight w:val="none"/>
        </w:rPr>
        <w:t>法律适用</w:t>
      </w:r>
    </w:p>
    <w:p w14:paraId="77D8A65D">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21.1 本合同的订立、生效、解释、履行及与本合同有关的争议解决，均适用法律、行政法规。</w:t>
      </w:r>
    </w:p>
    <w:p w14:paraId="0781C6DB">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21.2 本合同条款与法律、行政法规的强制性规定不一致的，双方当事人应按照法律、行政法规的强制性规定修改本合同的相关条款。</w:t>
      </w:r>
    </w:p>
    <w:p w14:paraId="4D96B473">
      <w:pPr>
        <w:numPr>
          <w:ilvl w:val="-1"/>
          <w:numId w:val="0"/>
        </w:numPr>
        <w:autoSpaceDE w:val="0"/>
        <w:autoSpaceDN w:val="0"/>
        <w:adjustRightInd w:val="0"/>
        <w:snapToGrid w:val="0"/>
        <w:spacing w:before="0" w:line="400" w:lineRule="exact"/>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lang w:val="en-US" w:eastAsia="zh-CN"/>
        </w:rPr>
        <w:t xml:space="preserve">22. </w:t>
      </w:r>
      <w:r>
        <w:rPr>
          <w:rFonts w:hint="eastAsia" w:ascii="宋体" w:hAnsi="宋体" w:eastAsia="宋体" w:cs="宋体"/>
          <w:b/>
          <w:color w:val="auto"/>
          <w:kern w:val="2"/>
          <w:sz w:val="21"/>
          <w:szCs w:val="21"/>
          <w:highlight w:val="none"/>
        </w:rPr>
        <w:t>通知</w:t>
      </w:r>
    </w:p>
    <w:p w14:paraId="02B583B6">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22.1 本合同任何一方向对方发出的通知、信件、数据电文等，应当发送至本合同第一部分《政府采购合同协议书》所约定的通讯地址、联系人、联系电话或电子邮箱。</w:t>
      </w:r>
    </w:p>
    <w:p w14:paraId="62217161">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22.2 一方当事人变更名称、住所、联系人、联系电话或电子邮箱等信息的，应当在变更后3日内及时书面通知对方，对方实际收到变更通知前的送达仍为有效送达。</w:t>
      </w:r>
    </w:p>
    <w:p w14:paraId="6F20297A">
      <w:pPr>
        <w:autoSpaceDE w:val="0"/>
        <w:autoSpaceDN w:val="0"/>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22.3本合同一方给另一方的通知均应采用书面形式，传真或快递送到本合</w:t>
      </w:r>
      <w:r>
        <w:rPr>
          <w:rFonts w:hint="eastAsia" w:ascii="宋体" w:hAnsi="宋体" w:eastAsia="宋体" w:cs="宋体"/>
          <w:color w:val="auto"/>
          <w:kern w:val="2"/>
          <w:sz w:val="21"/>
          <w:szCs w:val="21"/>
          <w:highlight w:val="none"/>
        </w:rPr>
        <w:t>同中规定的对方的地址和办理签收手续。</w:t>
      </w:r>
    </w:p>
    <w:p w14:paraId="4579FC6E">
      <w:pPr>
        <w:autoSpaceDE/>
        <w:autoSpaceDN/>
        <w:adjustRightInd w:val="0"/>
        <w:snapToGrid w:val="0"/>
        <w:spacing w:before="0" w:line="400" w:lineRule="exact"/>
        <w:ind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通知以送达之日或通知书中规定的生效之日起生效，两者中以较迟之日为准。</w:t>
      </w:r>
    </w:p>
    <w:p w14:paraId="4A5EC7F9">
      <w:pPr>
        <w:numPr>
          <w:ilvl w:val="0"/>
          <w:numId w:val="11"/>
        </w:numPr>
        <w:autoSpaceDE/>
        <w:autoSpaceDN/>
        <w:adjustRightInd w:val="0"/>
        <w:snapToGrid w:val="0"/>
        <w:spacing w:before="0" w:line="400" w:lineRule="exact"/>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合同未尽事项</w:t>
      </w:r>
    </w:p>
    <w:p w14:paraId="1776E49F">
      <w:pPr>
        <w:autoSpaceDE/>
        <w:autoSpaceDN/>
        <w:adjustRightInd w:val="0"/>
        <w:snapToGrid w:val="0"/>
        <w:spacing w:before="0" w:line="400" w:lineRule="exact"/>
        <w:ind w:firstLine="420" w:firstLineChars="200"/>
        <w:jc w:val="left"/>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2</w:t>
      </w:r>
      <w:r>
        <w:rPr>
          <w:rFonts w:hint="eastAsia" w:ascii="宋体" w:hAnsi="宋体" w:eastAsia="宋体" w:cs="宋体"/>
          <w:bCs/>
          <w:color w:val="auto"/>
          <w:kern w:val="2"/>
          <w:sz w:val="21"/>
          <w:szCs w:val="21"/>
          <w:highlight w:val="none"/>
          <w:lang w:val="en-US" w:eastAsia="zh-CN"/>
        </w:rPr>
        <w:t>3</w:t>
      </w:r>
      <w:r>
        <w:rPr>
          <w:rFonts w:hint="eastAsia" w:ascii="宋体" w:hAnsi="宋体" w:eastAsia="宋体" w:cs="宋体"/>
          <w:bCs/>
          <w:color w:val="auto"/>
          <w:kern w:val="2"/>
          <w:sz w:val="21"/>
          <w:szCs w:val="21"/>
          <w:highlight w:val="none"/>
        </w:rPr>
        <w:t>.1合同未尽事项见</w:t>
      </w:r>
      <w:r>
        <w:rPr>
          <w:rFonts w:hint="eastAsia" w:ascii="宋体" w:hAnsi="宋体" w:eastAsia="宋体" w:cs="宋体"/>
          <w:b/>
          <w:color w:val="auto"/>
          <w:kern w:val="2"/>
          <w:sz w:val="21"/>
          <w:szCs w:val="21"/>
          <w:highlight w:val="none"/>
        </w:rPr>
        <w:t>【政府采购合同专用条款】</w:t>
      </w:r>
      <w:r>
        <w:rPr>
          <w:rFonts w:hint="eastAsia" w:ascii="宋体" w:hAnsi="宋体" w:eastAsia="宋体" w:cs="宋体"/>
          <w:bCs/>
          <w:color w:val="auto"/>
          <w:kern w:val="2"/>
          <w:sz w:val="21"/>
          <w:szCs w:val="21"/>
          <w:highlight w:val="none"/>
        </w:rPr>
        <w:t>。</w:t>
      </w:r>
    </w:p>
    <w:p w14:paraId="332543E9">
      <w:pPr>
        <w:autoSpaceDE/>
        <w:autoSpaceDN/>
        <w:adjustRightInd w:val="0"/>
        <w:snapToGrid w:val="0"/>
        <w:spacing w:line="400" w:lineRule="exact"/>
        <w:ind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bCs/>
          <w:color w:val="auto"/>
          <w:kern w:val="2"/>
          <w:sz w:val="21"/>
          <w:szCs w:val="21"/>
          <w:highlight w:val="none"/>
          <w:lang w:val="en-US" w:eastAsia="zh-CN"/>
        </w:rPr>
        <w:t xml:space="preserve">    23.2 合同附件与合同正文具有同等的法律效力。</w:t>
      </w:r>
      <w:bookmarkStart w:id="122" w:name="_Toc20313"/>
    </w:p>
    <w:p w14:paraId="7C5346BC">
      <w:pPr>
        <w:autoSpaceDE/>
        <w:autoSpaceDN/>
        <w:adjustRightInd w:val="0"/>
        <w:snapToGrid w:val="0"/>
        <w:spacing w:line="360" w:lineRule="auto"/>
        <w:jc w:val="center"/>
        <w:rPr>
          <w:rFonts w:hint="eastAsia" w:ascii="黑体" w:hAnsi="华文中宋" w:eastAsia="黑体" w:cs="Times New Roman"/>
          <w:b w:val="0"/>
          <w:bCs w:val="0"/>
          <w:color w:val="auto"/>
          <w:kern w:val="2"/>
          <w:sz w:val="28"/>
          <w:szCs w:val="28"/>
          <w:highlight w:val="none"/>
        </w:rPr>
      </w:pPr>
      <w:r>
        <w:rPr>
          <w:rFonts w:hint="eastAsia" w:ascii="黑体" w:hAnsi="华文中宋" w:eastAsia="黑体" w:cs="Times New Roman"/>
          <w:b w:val="0"/>
          <w:bCs w:val="0"/>
          <w:color w:val="auto"/>
          <w:kern w:val="2"/>
          <w:sz w:val="28"/>
          <w:szCs w:val="28"/>
          <w:highlight w:val="none"/>
        </w:rPr>
        <w:br w:type="page"/>
      </w:r>
    </w:p>
    <w:p w14:paraId="3F5074B6">
      <w:pPr>
        <w:keepNext/>
        <w:keepLines/>
        <w:widowControl w:val="0"/>
        <w:adjustRightInd w:val="0"/>
        <w:snapToGrid w:val="0"/>
        <w:spacing w:before="260" w:beforeLines="0" w:after="260" w:line="400" w:lineRule="exact"/>
        <w:jc w:val="center"/>
        <w:outlineLvl w:val="1"/>
        <w:rPr>
          <w:rFonts w:hint="eastAsia" w:ascii="宋体" w:hAnsi="宋体" w:eastAsia="宋体" w:cs="宋体"/>
          <w:b/>
          <w:bCs/>
          <w:color w:val="auto"/>
          <w:kern w:val="2"/>
          <w:sz w:val="36"/>
          <w:szCs w:val="36"/>
          <w:highlight w:val="none"/>
          <w:lang w:val="en-US" w:eastAsia="zh-CN" w:bidi="ar-SA"/>
        </w:rPr>
      </w:pPr>
      <w:bookmarkStart w:id="123" w:name="_Toc5330"/>
      <w:bookmarkStart w:id="124" w:name="_Toc13356"/>
      <w:r>
        <w:rPr>
          <w:rFonts w:hint="eastAsia" w:ascii="宋体" w:hAnsi="宋体" w:eastAsia="宋体" w:cs="宋体"/>
          <w:b/>
          <w:bCs/>
          <w:color w:val="auto"/>
          <w:kern w:val="2"/>
          <w:sz w:val="36"/>
          <w:szCs w:val="36"/>
          <w:highlight w:val="none"/>
          <w:lang w:val="en-US" w:eastAsia="zh-CN" w:bidi="ar-SA"/>
        </w:rPr>
        <w:t>第三节 政府采购合同专用条款</w:t>
      </w:r>
      <w:bookmarkEnd w:id="122"/>
      <w:bookmarkEnd w:id="123"/>
      <w:bookmarkEnd w:id="124"/>
    </w:p>
    <w:tbl>
      <w:tblPr>
        <w:tblStyle w:val="29"/>
        <w:tblW w:w="8557" w:type="dxa"/>
        <w:tblInd w:w="-1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7"/>
        <w:gridCol w:w="2233"/>
        <w:gridCol w:w="4617"/>
      </w:tblGrid>
      <w:tr w14:paraId="267507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2DB7081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0EADDA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第1.2（</w:t>
            </w:r>
            <w:r>
              <w:rPr>
                <w:rFonts w:hint="eastAsia" w:ascii="宋体" w:hAnsi="宋体" w:eastAsia="宋体" w:cs="Times New Roman"/>
                <w:color w:val="auto"/>
                <w:kern w:val="2"/>
                <w:szCs w:val="21"/>
                <w:highlight w:val="none"/>
                <w:lang w:val="en-US" w:eastAsia="zh-CN"/>
              </w:rPr>
              <w:t>6</w:t>
            </w:r>
            <w:r>
              <w:rPr>
                <w:rFonts w:hint="eastAsia" w:ascii="宋体" w:hAnsi="宋体" w:eastAsia="宋体" w:cs="Times New Roman"/>
                <w:color w:val="auto"/>
                <w:kern w:val="2"/>
                <w:szCs w:val="21"/>
                <w:highlight w:val="none"/>
              </w:rPr>
              <w:t>）项</w:t>
            </w:r>
          </w:p>
        </w:tc>
        <w:tc>
          <w:tcPr>
            <w:tcW w:w="2233" w:type="dxa"/>
            <w:vAlign w:val="center"/>
          </w:tcPr>
          <w:p w14:paraId="5FE396F1">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lang w:eastAsia="zh-CN"/>
              </w:rPr>
              <w:t>联合体具体要求</w:t>
            </w:r>
          </w:p>
        </w:tc>
        <w:tc>
          <w:tcPr>
            <w:tcW w:w="4617" w:type="dxa"/>
            <w:vAlign w:val="center"/>
          </w:tcPr>
          <w:p w14:paraId="0CAEE7E4">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02A6B4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07" w:type="dxa"/>
            <w:vAlign w:val="center"/>
          </w:tcPr>
          <w:p w14:paraId="173F44F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4098608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Cs w:val="21"/>
                <w:highlight w:val="none"/>
              </w:rPr>
              <w:t>第1.2（</w:t>
            </w:r>
            <w:r>
              <w:rPr>
                <w:rFonts w:hint="eastAsia" w:ascii="宋体" w:hAnsi="宋体" w:eastAsia="宋体" w:cs="Times New Roman"/>
                <w:color w:val="auto"/>
                <w:kern w:val="2"/>
                <w:szCs w:val="21"/>
                <w:highlight w:val="none"/>
                <w:lang w:val="en-US" w:eastAsia="zh-CN"/>
              </w:rPr>
              <w:t>7</w:t>
            </w:r>
            <w:r>
              <w:rPr>
                <w:rFonts w:hint="eastAsia" w:ascii="宋体" w:hAnsi="宋体" w:eastAsia="宋体" w:cs="Times New Roman"/>
                <w:color w:val="auto"/>
                <w:kern w:val="2"/>
                <w:szCs w:val="21"/>
                <w:highlight w:val="none"/>
              </w:rPr>
              <w:t>）项</w:t>
            </w:r>
          </w:p>
        </w:tc>
        <w:tc>
          <w:tcPr>
            <w:tcW w:w="2233" w:type="dxa"/>
            <w:vAlign w:val="center"/>
          </w:tcPr>
          <w:p w14:paraId="2ECD481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Cs w:val="21"/>
                <w:highlight w:val="none"/>
              </w:rPr>
              <w:t>其他术语解释</w:t>
            </w:r>
          </w:p>
        </w:tc>
        <w:tc>
          <w:tcPr>
            <w:tcW w:w="4617" w:type="dxa"/>
            <w:vAlign w:val="center"/>
          </w:tcPr>
          <w:p w14:paraId="0BD8D8FD">
            <w:pPr>
              <w:autoSpaceDE/>
              <w:autoSpaceDN/>
              <w:adjustRightInd w:val="0"/>
              <w:snapToGrid w:val="0"/>
              <w:spacing w:line="360" w:lineRule="auto"/>
              <w:jc w:val="left"/>
              <w:rPr>
                <w:rFonts w:ascii="宋体" w:hAnsi="宋体" w:eastAsia="宋体" w:cs="Times New Roman"/>
                <w:color w:val="auto"/>
                <w:kern w:val="2"/>
                <w:sz w:val="21"/>
                <w:szCs w:val="21"/>
                <w:highlight w:val="none"/>
                <w:lang w:val="en-US" w:eastAsia="zh-CN" w:bidi="ar-SA"/>
              </w:rPr>
            </w:pPr>
          </w:p>
        </w:tc>
      </w:tr>
      <w:tr w14:paraId="2FFA10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53AB415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1E31FC3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Times New Roman"/>
                <w:color w:val="auto"/>
                <w:kern w:val="2"/>
                <w:szCs w:val="21"/>
                <w:highlight w:val="none"/>
                <w:lang w:val="en-US" w:eastAsia="zh-CN"/>
              </w:rPr>
            </w:pPr>
            <w:r>
              <w:rPr>
                <w:rFonts w:hint="eastAsia" w:ascii="宋体" w:hAnsi="宋体" w:eastAsia="宋体" w:cs="Times New Roman"/>
                <w:color w:val="auto"/>
                <w:kern w:val="2"/>
                <w:szCs w:val="21"/>
                <w:highlight w:val="none"/>
                <w:lang w:eastAsia="zh-CN"/>
              </w:rPr>
              <w:t>第</w:t>
            </w:r>
            <w:r>
              <w:rPr>
                <w:rFonts w:hint="eastAsia" w:ascii="宋体" w:hAnsi="宋体" w:eastAsia="宋体" w:cs="Times New Roman"/>
                <w:color w:val="auto"/>
                <w:kern w:val="2"/>
                <w:szCs w:val="21"/>
                <w:highlight w:val="none"/>
                <w:lang w:val="en-US" w:eastAsia="zh-CN"/>
              </w:rPr>
              <w:t>4.4款</w:t>
            </w:r>
          </w:p>
        </w:tc>
        <w:tc>
          <w:tcPr>
            <w:tcW w:w="2233" w:type="dxa"/>
            <w:vAlign w:val="center"/>
          </w:tcPr>
          <w:p w14:paraId="4F86094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履约验收中甲方提出异议或作出说明的期限</w:t>
            </w:r>
          </w:p>
        </w:tc>
        <w:tc>
          <w:tcPr>
            <w:tcW w:w="4617" w:type="dxa"/>
            <w:vAlign w:val="center"/>
          </w:tcPr>
          <w:p w14:paraId="237B690C">
            <w:pPr>
              <w:autoSpaceDE/>
              <w:autoSpaceDN/>
              <w:adjustRightInd w:val="0"/>
              <w:snapToGrid w:val="0"/>
              <w:spacing w:line="360" w:lineRule="auto"/>
              <w:jc w:val="left"/>
              <w:rPr>
                <w:rFonts w:ascii="宋体" w:hAnsi="宋体" w:eastAsia="宋体" w:cs="Times New Roman"/>
                <w:color w:val="auto"/>
                <w:kern w:val="2"/>
                <w:sz w:val="21"/>
                <w:szCs w:val="21"/>
                <w:highlight w:val="none"/>
                <w:lang w:val="en-US" w:eastAsia="zh-CN" w:bidi="ar-SA"/>
              </w:rPr>
            </w:pPr>
          </w:p>
        </w:tc>
      </w:tr>
      <w:tr w14:paraId="632152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7A9DB47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675BCC2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lang w:eastAsia="zh-CN"/>
              </w:rPr>
              <w:t>第</w:t>
            </w:r>
            <w:r>
              <w:rPr>
                <w:rFonts w:hint="eastAsia" w:ascii="宋体" w:hAnsi="宋体" w:eastAsia="宋体" w:cs="Times New Roman"/>
                <w:color w:val="auto"/>
                <w:kern w:val="2"/>
                <w:szCs w:val="21"/>
                <w:highlight w:val="none"/>
                <w:lang w:val="en-US" w:eastAsia="zh-CN"/>
              </w:rPr>
              <w:t>4.6款</w:t>
            </w:r>
          </w:p>
        </w:tc>
        <w:tc>
          <w:tcPr>
            <w:tcW w:w="2233" w:type="dxa"/>
            <w:vAlign w:val="center"/>
          </w:tcPr>
          <w:p w14:paraId="5DF6184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约定甲方承担的其他义务和责任</w:t>
            </w:r>
          </w:p>
        </w:tc>
        <w:tc>
          <w:tcPr>
            <w:tcW w:w="4617" w:type="dxa"/>
            <w:vAlign w:val="center"/>
          </w:tcPr>
          <w:p w14:paraId="5B558C36">
            <w:pPr>
              <w:autoSpaceDE/>
              <w:autoSpaceDN/>
              <w:adjustRightInd w:val="0"/>
              <w:snapToGrid w:val="0"/>
              <w:spacing w:line="360" w:lineRule="auto"/>
              <w:jc w:val="left"/>
              <w:rPr>
                <w:rFonts w:ascii="宋体" w:hAnsi="宋体" w:eastAsia="宋体" w:cs="Times New Roman"/>
                <w:color w:val="auto"/>
                <w:kern w:val="2"/>
                <w:sz w:val="21"/>
                <w:szCs w:val="21"/>
                <w:highlight w:val="none"/>
                <w:lang w:val="en-US" w:eastAsia="zh-CN" w:bidi="ar-SA"/>
              </w:rPr>
            </w:pPr>
          </w:p>
        </w:tc>
      </w:tr>
      <w:tr w14:paraId="58E92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1FC7872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第二节</w:t>
            </w:r>
          </w:p>
          <w:p w14:paraId="0599EE97">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Times New Roman"/>
                <w:color w:val="auto"/>
                <w:kern w:val="2"/>
                <w:szCs w:val="22"/>
                <w:highlight w:val="none"/>
                <w:lang w:val="en-US" w:eastAsia="zh-CN"/>
              </w:rPr>
            </w:pPr>
            <w:r>
              <w:rPr>
                <w:rFonts w:hint="eastAsia" w:ascii="宋体" w:hAnsi="宋体" w:eastAsia="宋体" w:cs="Times New Roman"/>
                <w:color w:val="auto"/>
                <w:kern w:val="2"/>
                <w:szCs w:val="21"/>
                <w:highlight w:val="none"/>
                <w:lang w:eastAsia="zh-CN"/>
              </w:rPr>
              <w:t>第</w:t>
            </w:r>
            <w:r>
              <w:rPr>
                <w:rFonts w:hint="eastAsia" w:ascii="宋体" w:hAnsi="宋体" w:eastAsia="宋体" w:cs="Times New Roman"/>
                <w:color w:val="auto"/>
                <w:kern w:val="2"/>
                <w:szCs w:val="21"/>
                <w:highlight w:val="none"/>
                <w:lang w:val="en-US" w:eastAsia="zh-CN"/>
              </w:rPr>
              <w:t>5.4款</w:t>
            </w:r>
          </w:p>
        </w:tc>
        <w:tc>
          <w:tcPr>
            <w:tcW w:w="2233" w:type="dxa"/>
            <w:vAlign w:val="center"/>
          </w:tcPr>
          <w:p w14:paraId="4D94B51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约定乙方承担的其他义务和责任</w:t>
            </w:r>
          </w:p>
        </w:tc>
        <w:tc>
          <w:tcPr>
            <w:tcW w:w="4617" w:type="dxa"/>
            <w:vAlign w:val="center"/>
          </w:tcPr>
          <w:p w14:paraId="1EEA1A78">
            <w:pPr>
              <w:autoSpaceDE/>
              <w:autoSpaceDN/>
              <w:adjustRightInd w:val="0"/>
              <w:snapToGrid w:val="0"/>
              <w:spacing w:line="360" w:lineRule="auto"/>
              <w:jc w:val="left"/>
              <w:rPr>
                <w:rFonts w:ascii="宋体" w:hAnsi="宋体" w:eastAsia="宋体" w:cs="Times New Roman"/>
                <w:color w:val="auto"/>
                <w:kern w:val="2"/>
                <w:sz w:val="21"/>
                <w:szCs w:val="21"/>
                <w:highlight w:val="none"/>
                <w:lang w:val="en-US" w:eastAsia="zh-CN" w:bidi="ar-SA"/>
              </w:rPr>
            </w:pPr>
          </w:p>
        </w:tc>
      </w:tr>
      <w:tr w14:paraId="2B538E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532FAE6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第二节</w:t>
            </w:r>
          </w:p>
          <w:p w14:paraId="17183B8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第</w:t>
            </w:r>
            <w:r>
              <w:rPr>
                <w:rFonts w:hint="eastAsia" w:ascii="宋体" w:hAnsi="宋体" w:eastAsia="宋体" w:cs="Times New Roman"/>
                <w:color w:val="auto"/>
                <w:kern w:val="2"/>
                <w:szCs w:val="21"/>
                <w:highlight w:val="none"/>
                <w:lang w:val="en-US" w:eastAsia="zh-CN"/>
              </w:rPr>
              <w:t>6.1款</w:t>
            </w:r>
          </w:p>
        </w:tc>
        <w:tc>
          <w:tcPr>
            <w:tcW w:w="2233" w:type="dxa"/>
            <w:vAlign w:val="center"/>
          </w:tcPr>
          <w:p w14:paraId="62601F3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履行合同义务的顺序</w:t>
            </w:r>
          </w:p>
        </w:tc>
        <w:tc>
          <w:tcPr>
            <w:tcW w:w="4617" w:type="dxa"/>
            <w:vAlign w:val="center"/>
          </w:tcPr>
          <w:p w14:paraId="7410CCA4">
            <w:pPr>
              <w:autoSpaceDE/>
              <w:autoSpaceDN/>
              <w:adjustRightInd w:val="0"/>
              <w:snapToGrid w:val="0"/>
              <w:spacing w:line="360" w:lineRule="auto"/>
              <w:jc w:val="left"/>
              <w:rPr>
                <w:rFonts w:ascii="宋体" w:hAnsi="宋体" w:eastAsia="宋体" w:cs="Times New Roman"/>
                <w:color w:val="auto"/>
                <w:kern w:val="2"/>
                <w:sz w:val="21"/>
                <w:szCs w:val="21"/>
                <w:highlight w:val="none"/>
                <w:lang w:val="en-US" w:eastAsia="zh-CN" w:bidi="ar-SA"/>
              </w:rPr>
            </w:pPr>
          </w:p>
        </w:tc>
      </w:tr>
      <w:tr w14:paraId="32A44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07" w:type="dxa"/>
            <w:vMerge w:val="restart"/>
            <w:vAlign w:val="center"/>
          </w:tcPr>
          <w:p w14:paraId="15DF615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6881C52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7</w:t>
            </w:r>
            <w:r>
              <w:rPr>
                <w:rFonts w:hint="eastAsia" w:ascii="宋体" w:hAnsi="宋体" w:eastAsia="宋体" w:cs="Times New Roman"/>
                <w:color w:val="auto"/>
                <w:kern w:val="2"/>
                <w:szCs w:val="21"/>
                <w:highlight w:val="none"/>
              </w:rPr>
              <w:t>.1</w:t>
            </w:r>
            <w:r>
              <w:rPr>
                <w:rFonts w:hint="eastAsia" w:ascii="宋体" w:hAnsi="宋体" w:eastAsia="宋体" w:cs="Times New Roman"/>
                <w:color w:val="auto"/>
                <w:kern w:val="2"/>
                <w:szCs w:val="21"/>
                <w:highlight w:val="none"/>
                <w:lang w:val="en-US" w:eastAsia="zh-CN"/>
              </w:rPr>
              <w:t>款</w:t>
            </w:r>
          </w:p>
        </w:tc>
        <w:tc>
          <w:tcPr>
            <w:tcW w:w="2233" w:type="dxa"/>
            <w:vAlign w:val="center"/>
          </w:tcPr>
          <w:p w14:paraId="00425EE9">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包装</w:t>
            </w:r>
            <w:r>
              <w:rPr>
                <w:rFonts w:hint="eastAsia" w:ascii="宋体" w:hAnsi="宋体" w:eastAsia="宋体" w:cs="Times New Roman"/>
                <w:color w:val="auto"/>
                <w:kern w:val="2"/>
                <w:szCs w:val="21"/>
                <w:highlight w:val="none"/>
                <w:lang w:eastAsia="zh-CN"/>
              </w:rPr>
              <w:t>特殊要求</w:t>
            </w:r>
          </w:p>
        </w:tc>
        <w:tc>
          <w:tcPr>
            <w:tcW w:w="4617" w:type="dxa"/>
            <w:vAlign w:val="center"/>
          </w:tcPr>
          <w:p w14:paraId="3694B338">
            <w:pPr>
              <w:autoSpaceDE/>
              <w:autoSpaceDN/>
              <w:adjustRightInd/>
              <w:spacing w:line="360" w:lineRule="auto"/>
              <w:rPr>
                <w:rFonts w:ascii="宋体" w:hAnsi="宋体" w:eastAsia="宋体" w:cs="Times New Roman"/>
                <w:color w:val="auto"/>
                <w:kern w:val="2"/>
                <w:szCs w:val="22"/>
                <w:highlight w:val="none"/>
              </w:rPr>
            </w:pPr>
          </w:p>
        </w:tc>
      </w:tr>
      <w:tr w14:paraId="6A47A3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07" w:type="dxa"/>
            <w:vMerge w:val="continue"/>
            <w:vAlign w:val="center"/>
          </w:tcPr>
          <w:p w14:paraId="7896138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p>
        </w:tc>
        <w:tc>
          <w:tcPr>
            <w:tcW w:w="2233" w:type="dxa"/>
            <w:vAlign w:val="center"/>
          </w:tcPr>
          <w:p w14:paraId="20626CA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指定现场</w:t>
            </w:r>
          </w:p>
        </w:tc>
        <w:tc>
          <w:tcPr>
            <w:tcW w:w="4617" w:type="dxa"/>
            <w:vAlign w:val="center"/>
          </w:tcPr>
          <w:p w14:paraId="19BEE7A3">
            <w:pPr>
              <w:autoSpaceDE/>
              <w:autoSpaceDN/>
              <w:adjustRightInd/>
              <w:spacing w:line="360" w:lineRule="auto"/>
              <w:rPr>
                <w:rFonts w:hint="eastAsia" w:ascii="宋体" w:hAnsi="宋体" w:eastAsia="宋体" w:cs="Times New Roman"/>
                <w:color w:val="auto"/>
                <w:kern w:val="2"/>
                <w:szCs w:val="22"/>
                <w:highlight w:val="none"/>
              </w:rPr>
            </w:pPr>
          </w:p>
        </w:tc>
      </w:tr>
      <w:tr w14:paraId="5A3F96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07" w:type="dxa"/>
            <w:vAlign w:val="center"/>
          </w:tcPr>
          <w:p w14:paraId="065C74F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5690E34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7</w:t>
            </w:r>
            <w:r>
              <w:rPr>
                <w:rFonts w:hint="eastAsia" w:ascii="宋体" w:hAnsi="宋体" w:eastAsia="宋体" w:cs="Times New Roman"/>
                <w:color w:val="auto"/>
                <w:kern w:val="2"/>
                <w:szCs w:val="21"/>
                <w:highlight w:val="none"/>
              </w:rPr>
              <w:t>.2</w:t>
            </w:r>
            <w:r>
              <w:rPr>
                <w:rFonts w:hint="eastAsia" w:ascii="宋体" w:hAnsi="宋体" w:eastAsia="宋体" w:cs="Times New Roman"/>
                <w:color w:val="auto"/>
                <w:kern w:val="2"/>
                <w:szCs w:val="21"/>
                <w:highlight w:val="none"/>
                <w:lang w:val="en-US" w:eastAsia="zh-CN"/>
              </w:rPr>
              <w:t>款</w:t>
            </w:r>
          </w:p>
        </w:tc>
        <w:tc>
          <w:tcPr>
            <w:tcW w:w="2233" w:type="dxa"/>
            <w:vAlign w:val="center"/>
          </w:tcPr>
          <w:p w14:paraId="04141831">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运输特殊要求</w:t>
            </w:r>
          </w:p>
        </w:tc>
        <w:tc>
          <w:tcPr>
            <w:tcW w:w="4617" w:type="dxa"/>
            <w:vAlign w:val="center"/>
          </w:tcPr>
          <w:p w14:paraId="353A3E17">
            <w:pPr>
              <w:autoSpaceDE/>
              <w:autoSpaceDN/>
              <w:adjustRightInd/>
              <w:spacing w:line="360" w:lineRule="auto"/>
              <w:rPr>
                <w:rFonts w:hint="eastAsia" w:ascii="宋体" w:hAnsi="宋体" w:eastAsia="宋体" w:cs="Times New Roman"/>
                <w:color w:val="auto"/>
                <w:kern w:val="2"/>
                <w:szCs w:val="22"/>
                <w:highlight w:val="none"/>
              </w:rPr>
            </w:pPr>
          </w:p>
        </w:tc>
      </w:tr>
      <w:tr w14:paraId="2CF651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07" w:type="dxa"/>
            <w:vAlign w:val="center"/>
          </w:tcPr>
          <w:p w14:paraId="42E89B4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2D65CF6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7</w:t>
            </w:r>
            <w:r>
              <w:rPr>
                <w:rFonts w:hint="eastAsia" w:ascii="宋体" w:hAnsi="宋体" w:eastAsia="宋体" w:cs="Times New Roman"/>
                <w:color w:val="auto"/>
                <w:kern w:val="2"/>
                <w:szCs w:val="21"/>
                <w:highlight w:val="none"/>
              </w:rPr>
              <w:t>.3</w:t>
            </w:r>
            <w:r>
              <w:rPr>
                <w:rFonts w:hint="eastAsia" w:ascii="宋体" w:hAnsi="宋体" w:eastAsia="宋体" w:cs="Times New Roman"/>
                <w:color w:val="auto"/>
                <w:kern w:val="2"/>
                <w:szCs w:val="21"/>
                <w:highlight w:val="none"/>
                <w:lang w:val="en-US" w:eastAsia="zh-CN"/>
              </w:rPr>
              <w:t>款</w:t>
            </w:r>
          </w:p>
        </w:tc>
        <w:tc>
          <w:tcPr>
            <w:tcW w:w="2233" w:type="dxa"/>
            <w:vAlign w:val="center"/>
          </w:tcPr>
          <w:p w14:paraId="75CDC4E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保险要求</w:t>
            </w:r>
          </w:p>
        </w:tc>
        <w:tc>
          <w:tcPr>
            <w:tcW w:w="4617" w:type="dxa"/>
            <w:vAlign w:val="center"/>
          </w:tcPr>
          <w:p w14:paraId="0E9BEF29">
            <w:pPr>
              <w:autoSpaceDE/>
              <w:autoSpaceDN/>
              <w:adjustRightInd/>
              <w:spacing w:line="360" w:lineRule="auto"/>
              <w:rPr>
                <w:rFonts w:hint="eastAsia" w:ascii="宋体" w:hAnsi="宋体" w:eastAsia="宋体" w:cs="Times New Roman"/>
                <w:color w:val="auto"/>
                <w:kern w:val="2"/>
                <w:szCs w:val="22"/>
                <w:highlight w:val="none"/>
              </w:rPr>
            </w:pPr>
          </w:p>
        </w:tc>
      </w:tr>
      <w:tr w14:paraId="1FBE24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0764B23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4A61154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8</w:t>
            </w:r>
            <w:r>
              <w:rPr>
                <w:rFonts w:hint="eastAsia" w:ascii="宋体" w:hAnsi="宋体" w:eastAsia="宋体" w:cs="Times New Roman"/>
                <w:color w:val="auto"/>
                <w:kern w:val="2"/>
                <w:szCs w:val="21"/>
                <w:highlight w:val="none"/>
              </w:rPr>
              <w:t>.2（1）项</w:t>
            </w:r>
          </w:p>
        </w:tc>
        <w:tc>
          <w:tcPr>
            <w:tcW w:w="2233" w:type="dxa"/>
            <w:vAlign w:val="center"/>
          </w:tcPr>
          <w:p w14:paraId="3392AF86">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质量保证期</w:t>
            </w:r>
          </w:p>
        </w:tc>
        <w:tc>
          <w:tcPr>
            <w:tcW w:w="4617" w:type="dxa"/>
            <w:vAlign w:val="center"/>
          </w:tcPr>
          <w:p w14:paraId="74113B72">
            <w:pPr>
              <w:autoSpaceDE w:val="0"/>
              <w:autoSpaceDN w:val="0"/>
              <w:adjustRightInd w:val="0"/>
              <w:snapToGrid w:val="0"/>
              <w:spacing w:line="360" w:lineRule="auto"/>
              <w:ind w:firstLine="480" w:firstLineChars="200"/>
              <w:jc w:val="left"/>
              <w:rPr>
                <w:rFonts w:ascii="宋体" w:hAnsi="宋体" w:eastAsia="宋体" w:cs="Times New Roman"/>
                <w:color w:val="auto"/>
                <w:kern w:val="2"/>
                <w:szCs w:val="21"/>
                <w:highlight w:val="none"/>
              </w:rPr>
            </w:pPr>
          </w:p>
        </w:tc>
      </w:tr>
      <w:tr w14:paraId="4A7F9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4CD74A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4106422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8</w:t>
            </w:r>
            <w:r>
              <w:rPr>
                <w:rFonts w:hint="eastAsia" w:ascii="宋体" w:hAnsi="宋体" w:eastAsia="宋体" w:cs="Times New Roman"/>
                <w:color w:val="auto"/>
                <w:kern w:val="2"/>
                <w:szCs w:val="21"/>
                <w:highlight w:val="none"/>
              </w:rPr>
              <w:t>.2（3）项</w:t>
            </w:r>
          </w:p>
        </w:tc>
        <w:tc>
          <w:tcPr>
            <w:tcW w:w="2233" w:type="dxa"/>
            <w:vAlign w:val="center"/>
          </w:tcPr>
          <w:p w14:paraId="7A62DE3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lang w:eastAsia="zh-CN"/>
              </w:rPr>
              <w:t>货物质量缺陷</w:t>
            </w:r>
          </w:p>
          <w:p w14:paraId="1EC14C95">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响应时间</w:t>
            </w:r>
          </w:p>
        </w:tc>
        <w:tc>
          <w:tcPr>
            <w:tcW w:w="4617" w:type="dxa"/>
            <w:vAlign w:val="center"/>
          </w:tcPr>
          <w:p w14:paraId="2A52495B">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59FF9C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35EA8AE2">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Cs w:val="21"/>
                <w:highlight w:val="none"/>
                <w:lang w:val="en-US" w:eastAsia="zh-CN"/>
              </w:rPr>
            </w:pPr>
            <w:r>
              <w:rPr>
                <w:rFonts w:hint="eastAsia" w:ascii="宋体" w:hAnsi="宋体" w:eastAsia="宋体" w:cs="宋体"/>
                <w:color w:val="auto"/>
                <w:kern w:val="2"/>
                <w:szCs w:val="21"/>
                <w:highlight w:val="none"/>
                <w:lang w:val="en-US" w:eastAsia="zh-CN"/>
              </w:rPr>
              <w:t>第二节</w:t>
            </w:r>
          </w:p>
          <w:p w14:paraId="668B64F8">
            <w:pPr>
              <w:keepNext w:val="0"/>
              <w:keepLines w:val="0"/>
              <w:pageBreakBefore w:val="0"/>
              <w:kinsoku/>
              <w:wordWrap/>
              <w:overflowPunct/>
              <w:topLinePunct w:val="0"/>
              <w:autoSpaceDE w:val="0"/>
              <w:autoSpaceDN w:val="0"/>
              <w:bidi w:val="0"/>
              <w:adjustRightInd w:val="0"/>
              <w:spacing w:line="240" w:lineRule="auto"/>
              <w:ind w:firstLine="0" w:firstLineChars="0"/>
              <w:jc w:val="center"/>
              <w:textAlignment w:val="auto"/>
              <w:rPr>
                <w:rFonts w:hint="default" w:ascii="华文楷体" w:hAnsi="华文楷体" w:eastAsia="华文楷体" w:cs="华文楷体"/>
                <w:color w:val="auto"/>
                <w:sz w:val="22"/>
                <w:szCs w:val="21"/>
                <w:highlight w:val="none"/>
                <w:lang w:val="en-US" w:eastAsia="zh-CN" w:bidi="ar-SA"/>
              </w:rPr>
            </w:pPr>
            <w:r>
              <w:rPr>
                <w:rFonts w:hint="eastAsia" w:ascii="宋体" w:hAnsi="宋体" w:eastAsia="宋体" w:cs="宋体"/>
                <w:color w:val="auto"/>
                <w:sz w:val="22"/>
                <w:szCs w:val="21"/>
                <w:highlight w:val="none"/>
                <w:lang w:val="en-US" w:eastAsia="zh-CN" w:bidi="ar-SA"/>
              </w:rPr>
              <w:t>第11.1款</w:t>
            </w:r>
          </w:p>
        </w:tc>
        <w:tc>
          <w:tcPr>
            <w:tcW w:w="2233" w:type="dxa"/>
            <w:vAlign w:val="center"/>
          </w:tcPr>
          <w:p w14:paraId="21EDE87D">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default" w:ascii="宋体" w:hAnsi="宋体" w:eastAsia="宋体" w:cs="Times New Roman"/>
                <w:color w:val="auto"/>
                <w:kern w:val="2"/>
                <w:szCs w:val="21"/>
                <w:highlight w:val="none"/>
                <w:lang w:val="en-US" w:eastAsia="zh-CN"/>
              </w:rPr>
            </w:pPr>
            <w:r>
              <w:rPr>
                <w:rFonts w:hint="eastAsia" w:ascii="宋体" w:hAnsi="宋体" w:eastAsia="宋体" w:cs="Times New Roman"/>
                <w:color w:val="auto"/>
                <w:kern w:val="2"/>
                <w:szCs w:val="21"/>
                <w:highlight w:val="none"/>
                <w:lang w:val="en-US" w:eastAsia="zh-CN"/>
              </w:rPr>
              <w:t>其他应当保密的信息</w:t>
            </w:r>
          </w:p>
        </w:tc>
        <w:tc>
          <w:tcPr>
            <w:tcW w:w="4617" w:type="dxa"/>
            <w:vAlign w:val="center"/>
          </w:tcPr>
          <w:p w14:paraId="78E7A6D8">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3C1B3F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07" w:type="dxa"/>
            <w:vAlign w:val="center"/>
          </w:tcPr>
          <w:p w14:paraId="45EAA1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3ED786D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2</w:t>
            </w:r>
            <w:r>
              <w:rPr>
                <w:rFonts w:hint="eastAsia" w:ascii="宋体" w:hAnsi="宋体" w:eastAsia="宋体" w:cs="Times New Roman"/>
                <w:color w:val="auto"/>
                <w:kern w:val="2"/>
                <w:szCs w:val="21"/>
                <w:highlight w:val="none"/>
              </w:rPr>
              <w:t>.2款</w:t>
            </w:r>
          </w:p>
        </w:tc>
        <w:tc>
          <w:tcPr>
            <w:tcW w:w="2233" w:type="dxa"/>
            <w:vAlign w:val="center"/>
          </w:tcPr>
          <w:p w14:paraId="64A177C1">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eastAsia="zh-CN"/>
              </w:rPr>
            </w:pPr>
            <w:r>
              <w:rPr>
                <w:rFonts w:hint="eastAsia" w:ascii="宋体" w:hAnsi="宋体" w:eastAsia="宋体" w:cs="Times New Roman"/>
                <w:color w:val="auto"/>
                <w:kern w:val="2"/>
                <w:szCs w:val="21"/>
                <w:highlight w:val="none"/>
              </w:rPr>
              <w:t>合同价款支付</w:t>
            </w:r>
            <w:r>
              <w:rPr>
                <w:rFonts w:hint="eastAsia" w:ascii="宋体" w:hAnsi="宋体" w:eastAsia="宋体" w:cs="Times New Roman"/>
                <w:color w:val="auto"/>
                <w:kern w:val="2"/>
                <w:szCs w:val="21"/>
                <w:highlight w:val="none"/>
                <w:lang w:eastAsia="zh-CN"/>
              </w:rPr>
              <w:t>时间</w:t>
            </w:r>
          </w:p>
        </w:tc>
        <w:tc>
          <w:tcPr>
            <w:tcW w:w="4617" w:type="dxa"/>
            <w:vAlign w:val="center"/>
          </w:tcPr>
          <w:p w14:paraId="19ACE1AC">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7F0855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07" w:type="dxa"/>
            <w:vAlign w:val="center"/>
          </w:tcPr>
          <w:p w14:paraId="7E53221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57A60EC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13.2</w:t>
            </w:r>
            <w:r>
              <w:rPr>
                <w:rFonts w:hint="eastAsia" w:ascii="宋体" w:hAnsi="宋体" w:eastAsia="宋体" w:cs="Times New Roman"/>
                <w:color w:val="auto"/>
                <w:kern w:val="2"/>
                <w:szCs w:val="21"/>
                <w:highlight w:val="none"/>
              </w:rPr>
              <w:t>款</w:t>
            </w:r>
          </w:p>
        </w:tc>
        <w:tc>
          <w:tcPr>
            <w:tcW w:w="2233" w:type="dxa"/>
            <w:vAlign w:val="center"/>
          </w:tcPr>
          <w:p w14:paraId="55BFCEB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宋体" w:hAnsi="宋体" w:eastAsia="宋体" w:cs="Times New Roman"/>
                <w:color w:val="auto"/>
                <w:kern w:val="2"/>
                <w:szCs w:val="21"/>
                <w:highlight w:val="none"/>
                <w:lang w:val="en-US" w:eastAsia="zh-CN"/>
              </w:rPr>
            </w:pPr>
            <w:r>
              <w:rPr>
                <w:rFonts w:hint="eastAsia" w:ascii="宋体" w:hAnsi="宋体" w:eastAsia="宋体" w:cs="Times New Roman"/>
                <w:color w:val="auto"/>
                <w:kern w:val="2"/>
                <w:szCs w:val="21"/>
                <w:highlight w:val="none"/>
                <w:lang w:val="en-US" w:eastAsia="zh-CN"/>
              </w:rPr>
              <w:t>履约保证金不予退还的情形</w:t>
            </w:r>
          </w:p>
        </w:tc>
        <w:tc>
          <w:tcPr>
            <w:tcW w:w="4617" w:type="dxa"/>
            <w:vAlign w:val="center"/>
          </w:tcPr>
          <w:p w14:paraId="3B059075">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2B3DCD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387699E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4B03247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13.3</w:t>
            </w:r>
            <w:r>
              <w:rPr>
                <w:rFonts w:hint="eastAsia" w:ascii="宋体" w:hAnsi="宋体" w:eastAsia="宋体" w:cs="Times New Roman"/>
                <w:color w:val="auto"/>
                <w:kern w:val="2"/>
                <w:szCs w:val="21"/>
                <w:highlight w:val="none"/>
              </w:rPr>
              <w:t>款</w:t>
            </w:r>
          </w:p>
        </w:tc>
        <w:tc>
          <w:tcPr>
            <w:tcW w:w="2233" w:type="dxa"/>
            <w:vAlign w:val="center"/>
          </w:tcPr>
          <w:p w14:paraId="54040FA1">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履约保证金退还时间及</w:t>
            </w:r>
            <w:r>
              <w:rPr>
                <w:rFonts w:hint="eastAsia" w:ascii="宋体" w:hAnsi="宋体" w:eastAsia="宋体" w:cs="Times New Roman"/>
                <w:color w:val="auto"/>
                <w:kern w:val="2"/>
                <w:szCs w:val="21"/>
                <w:highlight w:val="none"/>
                <w:lang w:eastAsia="zh-CN"/>
              </w:rPr>
              <w:t>逾期退还的</w:t>
            </w:r>
            <w:r>
              <w:rPr>
                <w:rFonts w:hint="eastAsia" w:ascii="宋体" w:hAnsi="宋体" w:eastAsia="宋体" w:cs="Times New Roman"/>
                <w:color w:val="auto"/>
                <w:kern w:val="2"/>
                <w:szCs w:val="21"/>
                <w:highlight w:val="none"/>
              </w:rPr>
              <w:t>违约金</w:t>
            </w:r>
          </w:p>
        </w:tc>
        <w:tc>
          <w:tcPr>
            <w:tcW w:w="4617" w:type="dxa"/>
            <w:vAlign w:val="center"/>
          </w:tcPr>
          <w:p w14:paraId="347592D5">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5AAB91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07" w:type="dxa"/>
            <w:vAlign w:val="center"/>
          </w:tcPr>
          <w:p w14:paraId="72BEAD9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71C710B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4</w:t>
            </w:r>
            <w:r>
              <w:rPr>
                <w:rFonts w:hint="eastAsia" w:ascii="宋体" w:hAnsi="宋体" w:eastAsia="宋体" w:cs="Times New Roman"/>
                <w:color w:val="auto"/>
                <w:kern w:val="2"/>
                <w:szCs w:val="21"/>
                <w:highlight w:val="none"/>
              </w:rPr>
              <w:t>.1（</w:t>
            </w:r>
            <w:r>
              <w:rPr>
                <w:rFonts w:hint="eastAsia" w:ascii="宋体" w:hAnsi="宋体" w:eastAsia="宋体" w:cs="Times New Roman"/>
                <w:color w:val="auto"/>
                <w:kern w:val="2"/>
                <w:szCs w:val="21"/>
                <w:highlight w:val="none"/>
                <w:lang w:val="en-US" w:eastAsia="zh-CN"/>
              </w:rPr>
              <w:t>3</w:t>
            </w:r>
            <w:r>
              <w:rPr>
                <w:rFonts w:hint="eastAsia" w:ascii="宋体" w:hAnsi="宋体" w:eastAsia="宋体" w:cs="Times New Roman"/>
                <w:color w:val="auto"/>
                <w:kern w:val="2"/>
                <w:szCs w:val="21"/>
                <w:highlight w:val="none"/>
              </w:rPr>
              <w:t>）项</w:t>
            </w:r>
          </w:p>
        </w:tc>
        <w:tc>
          <w:tcPr>
            <w:tcW w:w="2233" w:type="dxa"/>
            <w:vAlign w:val="center"/>
          </w:tcPr>
          <w:p w14:paraId="6DA2DA8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lang w:val="en-US" w:eastAsia="zh-CN"/>
              </w:rPr>
            </w:pPr>
            <w:r>
              <w:rPr>
                <w:rFonts w:hint="eastAsia" w:ascii="宋体" w:hAnsi="宋体" w:eastAsia="宋体" w:cs="Times New Roman"/>
                <w:color w:val="auto"/>
                <w:kern w:val="2"/>
                <w:szCs w:val="21"/>
                <w:highlight w:val="none"/>
                <w:lang w:val="en-US" w:eastAsia="zh-CN"/>
              </w:rPr>
              <w:t>运行监督、维修期限</w:t>
            </w:r>
          </w:p>
        </w:tc>
        <w:tc>
          <w:tcPr>
            <w:tcW w:w="4617" w:type="dxa"/>
            <w:vAlign w:val="center"/>
          </w:tcPr>
          <w:p w14:paraId="50D906D6">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552EA0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07" w:type="dxa"/>
            <w:vAlign w:val="center"/>
          </w:tcPr>
          <w:p w14:paraId="3E35BD0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1F30CB9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4</w:t>
            </w:r>
            <w:r>
              <w:rPr>
                <w:rFonts w:hint="eastAsia" w:ascii="宋体" w:hAnsi="宋体" w:eastAsia="宋体" w:cs="Times New Roman"/>
                <w:color w:val="auto"/>
                <w:kern w:val="2"/>
                <w:szCs w:val="21"/>
                <w:highlight w:val="none"/>
              </w:rPr>
              <w:t>.1（</w:t>
            </w:r>
            <w:r>
              <w:rPr>
                <w:rFonts w:hint="eastAsia" w:ascii="宋体" w:hAnsi="宋体" w:eastAsia="宋体" w:cs="Times New Roman"/>
                <w:color w:val="auto"/>
                <w:kern w:val="2"/>
                <w:szCs w:val="21"/>
                <w:highlight w:val="none"/>
                <w:lang w:val="en-US" w:eastAsia="zh-CN"/>
              </w:rPr>
              <w:t>5</w:t>
            </w:r>
            <w:r>
              <w:rPr>
                <w:rFonts w:hint="eastAsia" w:ascii="宋体" w:hAnsi="宋体" w:eastAsia="宋体" w:cs="Times New Roman"/>
                <w:color w:val="auto"/>
                <w:kern w:val="2"/>
                <w:szCs w:val="21"/>
                <w:highlight w:val="none"/>
              </w:rPr>
              <w:t>）项</w:t>
            </w:r>
          </w:p>
        </w:tc>
        <w:tc>
          <w:tcPr>
            <w:tcW w:w="2233" w:type="dxa"/>
            <w:vAlign w:val="center"/>
          </w:tcPr>
          <w:p w14:paraId="3B13D05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宋体" w:hAnsi="宋体" w:eastAsia="宋体" w:cs="Times New Roman"/>
                <w:color w:val="auto"/>
                <w:kern w:val="2"/>
                <w:szCs w:val="21"/>
                <w:highlight w:val="none"/>
                <w:lang w:val="en-US" w:eastAsia="zh-CN"/>
              </w:rPr>
            </w:pPr>
            <w:r>
              <w:rPr>
                <w:rFonts w:hint="eastAsia" w:ascii="宋体" w:hAnsi="宋体" w:eastAsia="宋体" w:cs="Times New Roman"/>
                <w:color w:val="auto"/>
                <w:kern w:val="2"/>
                <w:szCs w:val="21"/>
                <w:highlight w:val="none"/>
                <w:lang w:val="en-US" w:eastAsia="zh-CN"/>
              </w:rPr>
              <w:t>货物回收的约定</w:t>
            </w:r>
          </w:p>
        </w:tc>
        <w:tc>
          <w:tcPr>
            <w:tcW w:w="4617" w:type="dxa"/>
            <w:vAlign w:val="center"/>
          </w:tcPr>
          <w:p w14:paraId="3F6BFC2D">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7599E6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41B304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50C862B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4</w:t>
            </w:r>
            <w:r>
              <w:rPr>
                <w:rFonts w:hint="eastAsia" w:ascii="宋体" w:hAnsi="宋体" w:eastAsia="宋体" w:cs="Times New Roman"/>
                <w:color w:val="auto"/>
                <w:kern w:val="2"/>
                <w:szCs w:val="21"/>
                <w:highlight w:val="none"/>
              </w:rPr>
              <w:t>.1（</w:t>
            </w:r>
            <w:r>
              <w:rPr>
                <w:rFonts w:hint="eastAsia" w:ascii="宋体" w:hAnsi="宋体" w:eastAsia="宋体" w:cs="Times New Roman"/>
                <w:color w:val="auto"/>
                <w:kern w:val="2"/>
                <w:szCs w:val="21"/>
                <w:highlight w:val="none"/>
                <w:lang w:val="en-US" w:eastAsia="zh-CN"/>
              </w:rPr>
              <w:t>6</w:t>
            </w:r>
            <w:r>
              <w:rPr>
                <w:rFonts w:hint="eastAsia" w:ascii="宋体" w:hAnsi="宋体" w:eastAsia="宋体" w:cs="Times New Roman"/>
                <w:color w:val="auto"/>
                <w:kern w:val="2"/>
                <w:szCs w:val="21"/>
                <w:highlight w:val="none"/>
              </w:rPr>
              <w:t>）项</w:t>
            </w:r>
          </w:p>
        </w:tc>
        <w:tc>
          <w:tcPr>
            <w:tcW w:w="2233" w:type="dxa"/>
            <w:vAlign w:val="center"/>
          </w:tcPr>
          <w:p w14:paraId="408D4E8A">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乙方提供的其他服务</w:t>
            </w:r>
          </w:p>
        </w:tc>
        <w:tc>
          <w:tcPr>
            <w:tcW w:w="4617" w:type="dxa"/>
            <w:vAlign w:val="center"/>
          </w:tcPr>
          <w:p w14:paraId="2C32E2AE">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690BEE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399DC64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6B2E605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Times New Roman"/>
                <w:color w:val="auto"/>
                <w:kern w:val="2"/>
                <w:szCs w:val="21"/>
                <w:highlight w:val="none"/>
                <w:lang w:val="en-US" w:eastAsia="zh-CN"/>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5</w:t>
            </w:r>
            <w:r>
              <w:rPr>
                <w:rFonts w:hint="eastAsia" w:ascii="宋体" w:hAnsi="宋体" w:eastAsia="宋体" w:cs="Times New Roman"/>
                <w:color w:val="auto"/>
                <w:kern w:val="2"/>
                <w:szCs w:val="21"/>
                <w:highlight w:val="none"/>
              </w:rPr>
              <w:t>.</w:t>
            </w:r>
            <w:r>
              <w:rPr>
                <w:rFonts w:hint="eastAsia" w:ascii="宋体" w:hAnsi="宋体" w:eastAsia="宋体" w:cs="Times New Roman"/>
                <w:color w:val="auto"/>
                <w:kern w:val="2"/>
                <w:szCs w:val="21"/>
                <w:highlight w:val="none"/>
                <w:lang w:val="en-US" w:eastAsia="zh-CN"/>
              </w:rPr>
              <w:t>1款</w:t>
            </w:r>
          </w:p>
        </w:tc>
        <w:tc>
          <w:tcPr>
            <w:tcW w:w="2233" w:type="dxa"/>
            <w:vAlign w:val="center"/>
          </w:tcPr>
          <w:p w14:paraId="1C5461E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lang w:eastAsia="zh-CN"/>
              </w:rPr>
              <w:t>修理、重作、更换相关具体规定</w:t>
            </w:r>
          </w:p>
        </w:tc>
        <w:tc>
          <w:tcPr>
            <w:tcW w:w="4617" w:type="dxa"/>
            <w:vAlign w:val="center"/>
          </w:tcPr>
          <w:p w14:paraId="27D2F587">
            <w:pPr>
              <w:autoSpaceDE/>
              <w:autoSpaceDN/>
              <w:adjustRightInd w:val="0"/>
              <w:snapToGrid w:val="0"/>
              <w:spacing w:line="360" w:lineRule="auto"/>
              <w:jc w:val="left"/>
              <w:rPr>
                <w:rFonts w:ascii="宋体" w:hAnsi="宋体" w:eastAsia="宋体" w:cs="Times New Roman"/>
                <w:color w:val="auto"/>
                <w:kern w:val="2"/>
                <w:szCs w:val="21"/>
                <w:highlight w:val="none"/>
              </w:rPr>
            </w:pPr>
          </w:p>
        </w:tc>
      </w:tr>
      <w:tr w14:paraId="5A779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67EA198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2FAA4F0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5</w:t>
            </w:r>
            <w:r>
              <w:rPr>
                <w:rFonts w:hint="eastAsia" w:ascii="宋体" w:hAnsi="宋体" w:eastAsia="宋体" w:cs="Times New Roman"/>
                <w:color w:val="auto"/>
                <w:kern w:val="2"/>
                <w:szCs w:val="21"/>
                <w:highlight w:val="none"/>
              </w:rPr>
              <w:t>.2（2）项</w:t>
            </w:r>
          </w:p>
        </w:tc>
        <w:tc>
          <w:tcPr>
            <w:tcW w:w="2233" w:type="dxa"/>
            <w:vAlign w:val="center"/>
          </w:tcPr>
          <w:p w14:paraId="6CCB9C34">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迟延交货赔偿费</w:t>
            </w:r>
          </w:p>
        </w:tc>
        <w:tc>
          <w:tcPr>
            <w:tcW w:w="4617" w:type="dxa"/>
            <w:vAlign w:val="center"/>
          </w:tcPr>
          <w:p w14:paraId="70280E71">
            <w:pPr>
              <w:autoSpaceDE/>
              <w:autoSpaceDN/>
              <w:adjustRightInd w:val="0"/>
              <w:snapToGrid w:val="0"/>
              <w:spacing w:line="360" w:lineRule="auto"/>
              <w:jc w:val="left"/>
              <w:rPr>
                <w:rFonts w:ascii="宋体" w:hAnsi="宋体" w:eastAsia="宋体" w:cs="Times New Roman"/>
                <w:color w:val="auto"/>
                <w:kern w:val="2"/>
                <w:szCs w:val="21"/>
                <w:highlight w:val="none"/>
                <w:u w:val="single"/>
              </w:rPr>
            </w:pPr>
          </w:p>
        </w:tc>
      </w:tr>
      <w:tr w14:paraId="4A640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07" w:type="dxa"/>
            <w:vAlign w:val="center"/>
          </w:tcPr>
          <w:p w14:paraId="724A673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053452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5</w:t>
            </w:r>
            <w:r>
              <w:rPr>
                <w:rFonts w:hint="eastAsia" w:ascii="宋体" w:hAnsi="宋体" w:eastAsia="宋体" w:cs="Times New Roman"/>
                <w:color w:val="auto"/>
                <w:kern w:val="2"/>
                <w:szCs w:val="21"/>
                <w:highlight w:val="none"/>
              </w:rPr>
              <w:t>.</w:t>
            </w:r>
            <w:r>
              <w:rPr>
                <w:rFonts w:hint="eastAsia" w:ascii="宋体" w:hAnsi="宋体" w:eastAsia="宋体" w:cs="Times New Roman"/>
                <w:color w:val="auto"/>
                <w:kern w:val="2"/>
                <w:szCs w:val="21"/>
                <w:highlight w:val="none"/>
                <w:lang w:val="en-US" w:eastAsia="zh-CN"/>
              </w:rPr>
              <w:t>3款</w:t>
            </w:r>
          </w:p>
        </w:tc>
        <w:tc>
          <w:tcPr>
            <w:tcW w:w="2233" w:type="dxa"/>
            <w:vAlign w:val="center"/>
          </w:tcPr>
          <w:p w14:paraId="2C23381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逾期付款利息</w:t>
            </w:r>
          </w:p>
        </w:tc>
        <w:tc>
          <w:tcPr>
            <w:tcW w:w="4617" w:type="dxa"/>
            <w:vAlign w:val="center"/>
          </w:tcPr>
          <w:p w14:paraId="3A0C3F19">
            <w:pPr>
              <w:autoSpaceDE/>
              <w:autoSpaceDN/>
              <w:adjustRightInd w:val="0"/>
              <w:snapToGrid w:val="0"/>
              <w:spacing w:line="360" w:lineRule="auto"/>
              <w:jc w:val="left"/>
              <w:rPr>
                <w:rFonts w:ascii="宋体" w:hAnsi="宋体" w:eastAsia="宋体" w:cs="Times New Roman"/>
                <w:color w:val="auto"/>
                <w:kern w:val="2"/>
                <w:szCs w:val="21"/>
                <w:highlight w:val="none"/>
                <w:u w:val="single"/>
              </w:rPr>
            </w:pPr>
          </w:p>
        </w:tc>
      </w:tr>
      <w:tr w14:paraId="348216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07" w:type="dxa"/>
            <w:tcBorders>
              <w:bottom w:val="single" w:color="auto" w:sz="2" w:space="0"/>
              <w:right w:val="single" w:color="auto" w:sz="2" w:space="0"/>
            </w:tcBorders>
            <w:vAlign w:val="center"/>
          </w:tcPr>
          <w:p w14:paraId="45AA05D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5D78F5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第1</w:t>
            </w:r>
            <w:r>
              <w:rPr>
                <w:rFonts w:hint="eastAsia" w:ascii="宋体" w:hAnsi="宋体" w:eastAsia="宋体" w:cs="Times New Roman"/>
                <w:color w:val="auto"/>
                <w:kern w:val="2"/>
                <w:szCs w:val="21"/>
                <w:highlight w:val="none"/>
                <w:lang w:val="en-US" w:eastAsia="zh-CN"/>
              </w:rPr>
              <w:t>5</w:t>
            </w:r>
            <w:r>
              <w:rPr>
                <w:rFonts w:hint="eastAsia" w:ascii="宋体" w:hAnsi="宋体" w:eastAsia="宋体" w:cs="Times New Roman"/>
                <w:color w:val="auto"/>
                <w:kern w:val="2"/>
                <w:szCs w:val="21"/>
                <w:highlight w:val="none"/>
              </w:rPr>
              <w:t>.4</w:t>
            </w:r>
            <w:r>
              <w:rPr>
                <w:rFonts w:hint="eastAsia" w:ascii="宋体" w:hAnsi="宋体" w:eastAsia="宋体" w:cs="Times New Roman"/>
                <w:color w:val="auto"/>
                <w:kern w:val="2"/>
                <w:szCs w:val="21"/>
                <w:highlight w:val="none"/>
                <w:lang w:val="en-US" w:eastAsia="zh-CN"/>
              </w:rPr>
              <w:t>款</w:t>
            </w:r>
          </w:p>
        </w:tc>
        <w:tc>
          <w:tcPr>
            <w:tcW w:w="2233" w:type="dxa"/>
            <w:tcBorders>
              <w:left w:val="single" w:color="auto" w:sz="2" w:space="0"/>
              <w:bottom w:val="single" w:color="auto" w:sz="2" w:space="0"/>
              <w:right w:val="single" w:color="auto" w:sz="2" w:space="0"/>
            </w:tcBorders>
            <w:vAlign w:val="center"/>
          </w:tcPr>
          <w:p w14:paraId="1138734C">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其他违约责任</w:t>
            </w:r>
          </w:p>
        </w:tc>
        <w:tc>
          <w:tcPr>
            <w:tcW w:w="4617" w:type="dxa"/>
            <w:tcBorders>
              <w:left w:val="single" w:color="auto" w:sz="2" w:space="0"/>
              <w:bottom w:val="single" w:color="auto" w:sz="2" w:space="0"/>
            </w:tcBorders>
            <w:vAlign w:val="center"/>
          </w:tcPr>
          <w:p w14:paraId="219760E1">
            <w:pPr>
              <w:autoSpaceDE/>
              <w:autoSpaceDN/>
              <w:adjustRightInd w:val="0"/>
              <w:snapToGrid w:val="0"/>
              <w:spacing w:line="360" w:lineRule="auto"/>
              <w:jc w:val="left"/>
              <w:rPr>
                <w:rFonts w:ascii="宋体" w:hAnsi="宋体" w:eastAsia="宋体" w:cs="Times New Roman"/>
                <w:color w:val="auto"/>
                <w:kern w:val="2"/>
                <w:szCs w:val="21"/>
                <w:highlight w:val="none"/>
                <w:u w:val="single"/>
              </w:rPr>
            </w:pPr>
          </w:p>
        </w:tc>
      </w:tr>
      <w:tr w14:paraId="0A209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07" w:type="dxa"/>
            <w:tcBorders>
              <w:top w:val="single" w:color="auto" w:sz="2" w:space="0"/>
              <w:right w:val="single" w:color="auto" w:sz="2" w:space="0"/>
            </w:tcBorders>
            <w:vAlign w:val="center"/>
          </w:tcPr>
          <w:p w14:paraId="177F4FB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5CFE048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w:t>
            </w:r>
            <w:r>
              <w:rPr>
                <w:rFonts w:hint="eastAsia" w:ascii="宋体" w:hAnsi="宋体" w:eastAsia="宋体" w:cs="Times New Roman"/>
                <w:color w:val="auto"/>
                <w:kern w:val="2"/>
                <w:szCs w:val="21"/>
                <w:highlight w:val="none"/>
                <w:lang w:val="en-US" w:eastAsia="zh-CN"/>
              </w:rPr>
              <w:t>19</w:t>
            </w:r>
            <w:r>
              <w:rPr>
                <w:rFonts w:hint="eastAsia" w:ascii="宋体" w:hAnsi="宋体" w:eastAsia="宋体" w:cs="Times New Roman"/>
                <w:color w:val="auto"/>
                <w:kern w:val="2"/>
                <w:szCs w:val="21"/>
                <w:highlight w:val="none"/>
              </w:rPr>
              <w:t>.2</w:t>
            </w:r>
            <w:r>
              <w:rPr>
                <w:rFonts w:hint="eastAsia" w:ascii="宋体" w:hAnsi="宋体" w:eastAsia="宋体" w:cs="Times New Roman"/>
                <w:color w:val="auto"/>
                <w:kern w:val="2"/>
                <w:szCs w:val="21"/>
                <w:highlight w:val="none"/>
                <w:lang w:val="en-US" w:eastAsia="zh-CN"/>
              </w:rPr>
              <w:t>款</w:t>
            </w:r>
          </w:p>
        </w:tc>
        <w:tc>
          <w:tcPr>
            <w:tcW w:w="2233" w:type="dxa"/>
            <w:tcBorders>
              <w:top w:val="single" w:color="auto" w:sz="2" w:space="0"/>
              <w:left w:val="single" w:color="auto" w:sz="2" w:space="0"/>
              <w:right w:val="single" w:color="auto" w:sz="2" w:space="0"/>
            </w:tcBorders>
            <w:vAlign w:val="center"/>
          </w:tcPr>
          <w:p w14:paraId="5351737D">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lang w:val="en-US" w:eastAsia="zh-CN"/>
              </w:rPr>
              <w:t>解决争议的方法</w:t>
            </w:r>
          </w:p>
        </w:tc>
        <w:tc>
          <w:tcPr>
            <w:tcW w:w="4617" w:type="dxa"/>
            <w:tcBorders>
              <w:top w:val="single" w:color="auto" w:sz="2" w:space="0"/>
              <w:left w:val="single" w:color="auto" w:sz="2" w:space="0"/>
            </w:tcBorders>
            <w:vAlign w:val="center"/>
          </w:tcPr>
          <w:p w14:paraId="0812CAF3">
            <w:pPr>
              <w:autoSpaceDE w:val="0"/>
              <w:autoSpaceDN w:val="0"/>
              <w:adjustRightInd w:val="0"/>
              <w:snapToGrid w:val="0"/>
              <w:spacing w:line="400" w:lineRule="exact"/>
              <w:jc w:val="left"/>
              <w:rPr>
                <w:rFonts w:hint="eastAsia" w:ascii="宋体" w:hAnsi="宋体" w:eastAsia="宋体" w:cs="宋体"/>
                <w:b w:val="0"/>
                <w:bCs w:val="0"/>
                <w:iCs/>
                <w:color w:val="auto"/>
                <w:kern w:val="2"/>
                <w:szCs w:val="21"/>
                <w:highlight w:val="none"/>
              </w:rPr>
            </w:pPr>
            <w:r>
              <w:rPr>
                <w:rFonts w:hint="eastAsia" w:ascii="宋体" w:hAnsi="宋体" w:eastAsia="宋体" w:cs="宋体"/>
                <w:b w:val="0"/>
                <w:bCs w:val="0"/>
                <w:iCs/>
                <w:color w:val="auto"/>
                <w:kern w:val="2"/>
                <w:szCs w:val="21"/>
                <w:highlight w:val="none"/>
              </w:rPr>
              <w:t>因本合同及合同有关事项发生的争议，按下列第</w:t>
            </w:r>
            <w:r>
              <w:rPr>
                <w:rFonts w:hint="eastAsia" w:ascii="宋体" w:hAnsi="宋体" w:eastAsia="宋体" w:cs="宋体"/>
                <w:b w:val="0"/>
                <w:bCs w:val="0"/>
                <w:iCs/>
                <w:color w:val="auto"/>
                <w:kern w:val="2"/>
                <w:szCs w:val="21"/>
                <w:highlight w:val="none"/>
                <w:u w:val="single"/>
              </w:rPr>
              <w:t xml:space="preserve">   </w:t>
            </w:r>
            <w:r>
              <w:rPr>
                <w:rFonts w:hint="eastAsia" w:ascii="宋体" w:hAnsi="宋体" w:eastAsia="宋体" w:cs="宋体"/>
                <w:b w:val="0"/>
                <w:bCs w:val="0"/>
                <w:iCs/>
                <w:color w:val="auto"/>
                <w:kern w:val="2"/>
                <w:szCs w:val="21"/>
                <w:highlight w:val="none"/>
              </w:rPr>
              <w:t>种方式解决：</w:t>
            </w:r>
          </w:p>
          <w:p w14:paraId="66960E2A">
            <w:pPr>
              <w:autoSpaceDE w:val="0"/>
              <w:autoSpaceDN w:val="0"/>
              <w:adjustRightInd w:val="0"/>
              <w:snapToGrid w:val="0"/>
              <w:spacing w:line="400" w:lineRule="exact"/>
              <w:jc w:val="left"/>
              <w:rPr>
                <w:rFonts w:hint="eastAsia" w:ascii="宋体" w:hAnsi="宋体" w:eastAsia="宋体" w:cs="宋体"/>
                <w:b w:val="0"/>
                <w:bCs w:val="0"/>
                <w:iCs/>
                <w:color w:val="auto"/>
                <w:kern w:val="2"/>
                <w:szCs w:val="21"/>
                <w:highlight w:val="none"/>
              </w:rPr>
            </w:pPr>
            <w:r>
              <w:rPr>
                <w:rFonts w:hint="eastAsia" w:ascii="宋体" w:hAnsi="宋体" w:eastAsia="宋体" w:cs="宋体"/>
                <w:b w:val="0"/>
                <w:bCs w:val="0"/>
                <w:iCs/>
                <w:color w:val="auto"/>
                <w:kern w:val="2"/>
                <w:szCs w:val="21"/>
                <w:highlight w:val="none"/>
              </w:rPr>
              <w:t>（1）向</w:t>
            </w:r>
            <w:r>
              <w:rPr>
                <w:rFonts w:hint="eastAsia" w:ascii="宋体" w:hAnsi="宋体" w:eastAsia="宋体" w:cs="宋体"/>
                <w:b w:val="0"/>
                <w:bCs w:val="0"/>
                <w:iCs/>
                <w:color w:val="auto"/>
                <w:kern w:val="2"/>
                <w:szCs w:val="21"/>
                <w:highlight w:val="none"/>
                <w:u w:val="single"/>
              </w:rPr>
              <w:t xml:space="preserve">                    </w:t>
            </w:r>
            <w:r>
              <w:rPr>
                <w:rFonts w:hint="eastAsia" w:ascii="宋体" w:hAnsi="宋体" w:eastAsia="宋体" w:cs="宋体"/>
                <w:b w:val="0"/>
                <w:bCs w:val="0"/>
                <w:iCs/>
                <w:color w:val="auto"/>
                <w:kern w:val="2"/>
                <w:szCs w:val="21"/>
                <w:highlight w:val="none"/>
              </w:rPr>
              <w:t>仲裁委员会申请仲裁，仲裁地点为</w:t>
            </w:r>
            <w:r>
              <w:rPr>
                <w:rFonts w:hint="eastAsia" w:ascii="宋体" w:hAnsi="宋体" w:eastAsia="宋体" w:cs="宋体"/>
                <w:b w:val="0"/>
                <w:bCs w:val="0"/>
                <w:iCs/>
                <w:color w:val="auto"/>
                <w:kern w:val="2"/>
                <w:szCs w:val="21"/>
                <w:highlight w:val="none"/>
                <w:u w:val="single"/>
              </w:rPr>
              <w:t xml:space="preserve">           </w:t>
            </w:r>
            <w:r>
              <w:rPr>
                <w:rFonts w:hint="eastAsia" w:ascii="宋体" w:hAnsi="宋体" w:eastAsia="宋体" w:cs="宋体"/>
                <w:b w:val="0"/>
                <w:bCs w:val="0"/>
                <w:iCs/>
                <w:color w:val="auto"/>
                <w:kern w:val="2"/>
                <w:szCs w:val="21"/>
                <w:highlight w:val="none"/>
              </w:rPr>
              <w:t>；</w:t>
            </w:r>
          </w:p>
          <w:p w14:paraId="2A1D3AA7">
            <w:pPr>
              <w:autoSpaceDE/>
              <w:autoSpaceDN/>
              <w:adjustRightInd w:val="0"/>
              <w:snapToGrid w:val="0"/>
              <w:spacing w:line="360" w:lineRule="auto"/>
              <w:ind w:firstLine="0" w:firstLineChars="0"/>
              <w:jc w:val="left"/>
              <w:rPr>
                <w:rFonts w:ascii="宋体" w:hAnsi="宋体" w:eastAsia="宋体" w:cs="Times New Roman"/>
                <w:color w:val="auto"/>
                <w:kern w:val="2"/>
                <w:szCs w:val="21"/>
                <w:highlight w:val="none"/>
                <w:u w:val="single"/>
              </w:rPr>
            </w:pPr>
            <w:r>
              <w:rPr>
                <w:rFonts w:hint="eastAsia" w:ascii="宋体" w:hAnsi="宋体" w:eastAsia="宋体" w:cs="宋体"/>
                <w:b w:val="0"/>
                <w:bCs w:val="0"/>
                <w:iCs/>
                <w:color w:val="auto"/>
                <w:kern w:val="2"/>
                <w:szCs w:val="21"/>
                <w:highlight w:val="none"/>
              </w:rPr>
              <w:t>（2）向</w:t>
            </w:r>
            <w:r>
              <w:rPr>
                <w:rFonts w:hint="eastAsia" w:ascii="宋体" w:hAnsi="宋体" w:eastAsia="宋体" w:cs="宋体"/>
                <w:b w:val="0"/>
                <w:bCs w:val="0"/>
                <w:iCs/>
                <w:color w:val="auto"/>
                <w:kern w:val="2"/>
                <w:szCs w:val="21"/>
                <w:highlight w:val="none"/>
                <w:u w:val="single"/>
              </w:rPr>
              <w:t xml:space="preserve">                    </w:t>
            </w:r>
            <w:r>
              <w:rPr>
                <w:rFonts w:hint="eastAsia" w:ascii="宋体" w:hAnsi="宋体" w:eastAsia="宋体" w:cs="宋体"/>
                <w:b w:val="0"/>
                <w:bCs w:val="0"/>
                <w:iCs/>
                <w:color w:val="auto"/>
                <w:kern w:val="2"/>
                <w:szCs w:val="21"/>
                <w:highlight w:val="none"/>
              </w:rPr>
              <w:t>人民法院起诉。</w:t>
            </w:r>
          </w:p>
        </w:tc>
      </w:tr>
      <w:tr w14:paraId="05C29C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07" w:type="dxa"/>
            <w:vAlign w:val="center"/>
          </w:tcPr>
          <w:p w14:paraId="464253B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第二节</w:t>
            </w:r>
          </w:p>
          <w:p w14:paraId="6F24106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第2</w:t>
            </w:r>
            <w:r>
              <w:rPr>
                <w:rFonts w:hint="eastAsia" w:ascii="宋体" w:hAnsi="宋体" w:eastAsia="宋体" w:cs="Times New Roman"/>
                <w:color w:val="auto"/>
                <w:kern w:val="2"/>
                <w:szCs w:val="21"/>
                <w:highlight w:val="none"/>
                <w:lang w:val="en-US" w:eastAsia="zh-CN"/>
              </w:rPr>
              <w:t>3.1</w:t>
            </w:r>
            <w:r>
              <w:rPr>
                <w:rFonts w:hint="eastAsia" w:ascii="宋体" w:hAnsi="宋体" w:eastAsia="宋体" w:cs="Times New Roman"/>
                <w:color w:val="auto"/>
                <w:kern w:val="2"/>
                <w:szCs w:val="21"/>
                <w:highlight w:val="none"/>
                <w:lang w:eastAsia="zh-CN"/>
              </w:rPr>
              <w:t>款</w:t>
            </w:r>
          </w:p>
        </w:tc>
        <w:tc>
          <w:tcPr>
            <w:tcW w:w="2233" w:type="dxa"/>
            <w:vAlign w:val="center"/>
          </w:tcPr>
          <w:p w14:paraId="6180F86D">
            <w:pPr>
              <w:keepNext w:val="0"/>
              <w:keepLines w:val="0"/>
              <w:pageBreakBefore w:val="0"/>
              <w:kinsoku/>
              <w:wordWrap/>
              <w:overflowPunct/>
              <w:topLinePunct w:val="0"/>
              <w:autoSpaceDE/>
              <w:autoSpaceDN/>
              <w:bidi w:val="0"/>
              <w:adjustRightInd w:val="0"/>
              <w:snapToGrid w:val="0"/>
              <w:spacing w:line="240" w:lineRule="auto"/>
              <w:jc w:val="left"/>
              <w:textAlignment w:val="auto"/>
              <w:rPr>
                <w:rFonts w:ascii="宋体" w:hAnsi="宋体" w:eastAsia="宋体" w:cs="Times New Roman"/>
                <w:color w:val="auto"/>
                <w:kern w:val="2"/>
                <w:szCs w:val="21"/>
                <w:highlight w:val="none"/>
              </w:rPr>
            </w:pPr>
            <w:r>
              <w:rPr>
                <w:rFonts w:hint="eastAsia" w:ascii="宋体" w:hAnsi="宋体" w:eastAsia="宋体" w:cs="Times New Roman"/>
                <w:bCs/>
                <w:color w:val="auto"/>
                <w:kern w:val="2"/>
                <w:szCs w:val="21"/>
                <w:highlight w:val="none"/>
                <w:lang w:eastAsia="zh-CN"/>
              </w:rPr>
              <w:t>其他专用条款</w:t>
            </w:r>
          </w:p>
        </w:tc>
        <w:tc>
          <w:tcPr>
            <w:tcW w:w="4617" w:type="dxa"/>
            <w:vAlign w:val="center"/>
          </w:tcPr>
          <w:p w14:paraId="08227F34">
            <w:pPr>
              <w:autoSpaceDE/>
              <w:autoSpaceDN/>
              <w:adjustRightInd w:val="0"/>
              <w:snapToGrid w:val="0"/>
              <w:spacing w:line="360" w:lineRule="auto"/>
              <w:jc w:val="left"/>
              <w:rPr>
                <w:rFonts w:hint="default" w:ascii="宋体" w:hAnsi="宋体" w:eastAsia="宋体" w:cs="Times New Roman"/>
                <w:color w:val="auto"/>
                <w:kern w:val="2"/>
                <w:szCs w:val="21"/>
                <w:highlight w:val="none"/>
                <w:lang w:val="en-US" w:eastAsia="zh-CN"/>
              </w:rPr>
            </w:pPr>
          </w:p>
        </w:tc>
      </w:tr>
    </w:tbl>
    <w:p w14:paraId="6612E45C">
      <w:pPr>
        <w:rPr>
          <w:color w:val="auto"/>
          <w:highlight w:val="none"/>
        </w:rPr>
      </w:pPr>
    </w:p>
    <w:p w14:paraId="6324131D">
      <w:pPr>
        <w:rPr>
          <w:color w:val="auto"/>
          <w:highlight w:val="none"/>
        </w:rPr>
      </w:pPr>
    </w:p>
    <w:p w14:paraId="5728640A">
      <w:pPr>
        <w:keepNext w:val="0"/>
        <w:keepLines w:val="0"/>
        <w:pageBreakBefore w:val="0"/>
        <w:widowControl w:val="0"/>
        <w:kinsoku/>
        <w:wordWrap/>
        <w:overflowPunct/>
        <w:topLinePunct w:val="0"/>
        <w:autoSpaceDE/>
        <w:autoSpaceDN/>
        <w:bidi w:val="0"/>
        <w:adjustRightInd/>
        <w:snapToGrid/>
        <w:spacing w:after="0" w:line="560" w:lineRule="exact"/>
        <w:ind w:firstLine="604" w:firstLineChars="200"/>
        <w:jc w:val="both"/>
        <w:textAlignment w:val="auto"/>
        <w:outlineLvl w:val="9"/>
        <w:rPr>
          <w:rFonts w:hint="eastAsia" w:ascii="仿宋_GB2312" w:hAnsi="仿宋_GB2312" w:eastAsia="仿宋_GB2312" w:cs="仿宋_GB2312"/>
          <w:color w:val="auto"/>
          <w:spacing w:val="11"/>
          <w:kern w:val="2"/>
          <w:sz w:val="28"/>
          <w:szCs w:val="28"/>
          <w:highlight w:val="none"/>
        </w:rPr>
      </w:pPr>
    </w:p>
    <w:p w14:paraId="596B2E9E">
      <w:pPr>
        <w:pStyle w:val="12"/>
        <w:pageBreakBefore/>
        <w:ind w:left="0" w:leftChars="0" w:firstLine="0" w:firstLineChars="0"/>
        <w:jc w:val="center"/>
        <w:outlineLvl w:val="0"/>
        <w:rPr>
          <w:rFonts w:hint="eastAsia" w:ascii="仿宋" w:hAnsi="仿宋" w:eastAsia="仿宋" w:cs="仿宋"/>
          <w:color w:val="auto"/>
          <w:sz w:val="28"/>
          <w:szCs w:val="28"/>
          <w:highlight w:val="none"/>
        </w:rPr>
      </w:pPr>
      <w:bookmarkStart w:id="125" w:name="_Toc17747"/>
      <w:r>
        <w:rPr>
          <w:rFonts w:hint="eastAsia" w:ascii="仿宋" w:hAnsi="仿宋" w:eastAsia="仿宋" w:cs="仿宋"/>
          <w:color w:val="auto"/>
          <w:sz w:val="28"/>
          <w:szCs w:val="28"/>
          <w:highlight w:val="none"/>
        </w:rPr>
        <w:t>第六部分  投标文件格式</w:t>
      </w:r>
      <w:bookmarkEnd w:id="110"/>
      <w:bookmarkEnd w:id="113"/>
      <w:bookmarkEnd w:id="125"/>
    </w:p>
    <w:p w14:paraId="7FE84B8C">
      <w:pPr>
        <w:pStyle w:val="13"/>
        <w:ind w:left="920" w:hanging="440"/>
        <w:rPr>
          <w:rFonts w:hint="eastAsia" w:ascii="仿宋" w:hAnsi="仿宋" w:eastAsia="仿宋" w:cs="仿宋"/>
          <w:color w:val="auto"/>
          <w:sz w:val="22"/>
          <w:szCs w:val="22"/>
          <w:highlight w:val="none"/>
        </w:rPr>
      </w:pPr>
    </w:p>
    <w:p w14:paraId="0DA72622">
      <w:pPr>
        <w:rPr>
          <w:rFonts w:hint="eastAsia" w:ascii="仿宋" w:hAnsi="仿宋" w:eastAsia="仿宋" w:cs="仿宋"/>
          <w:color w:val="auto"/>
          <w:sz w:val="22"/>
          <w:szCs w:val="22"/>
          <w:highlight w:val="none"/>
        </w:rPr>
      </w:pPr>
      <w:bookmarkStart w:id="126" w:name="EBa6563f599c41462c9a1a5775fbb6dec3"/>
    </w:p>
    <w:p w14:paraId="606EABF5">
      <w:pPr>
        <w:pStyle w:val="53"/>
        <w:spacing w:line="360" w:lineRule="auto"/>
        <w:rPr>
          <w:rFonts w:hint="eastAsia" w:ascii="仿宋" w:hAnsi="仿宋" w:eastAsia="仿宋" w:cs="仿宋"/>
          <w:b/>
          <w:color w:val="auto"/>
          <w:sz w:val="22"/>
          <w:szCs w:val="22"/>
          <w:highlight w:val="none"/>
        </w:rPr>
      </w:pPr>
    </w:p>
    <w:p w14:paraId="10C7CC65">
      <w:pPr>
        <w:pStyle w:val="53"/>
        <w:spacing w:line="360" w:lineRule="auto"/>
        <w:jc w:val="center"/>
        <w:rPr>
          <w:rFonts w:hint="eastAsia" w:ascii="仿宋" w:hAnsi="仿宋" w:eastAsia="仿宋" w:cs="仿宋"/>
          <w:color w:val="auto"/>
          <w:sz w:val="22"/>
          <w:szCs w:val="22"/>
          <w:highlight w:val="none"/>
        </w:rPr>
      </w:pPr>
    </w:p>
    <w:p w14:paraId="5BF8F1DE">
      <w:pPr>
        <w:pStyle w:val="53"/>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（项目名称）</w:t>
      </w:r>
    </w:p>
    <w:p w14:paraId="7863ADCF">
      <w:pPr>
        <w:pStyle w:val="53"/>
        <w:spacing w:line="360" w:lineRule="auto"/>
        <w:ind w:firstLine="1920" w:firstLineChars="8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（项目编号）</w:t>
      </w:r>
    </w:p>
    <w:p w14:paraId="230FC813">
      <w:pPr>
        <w:pStyle w:val="53"/>
        <w:spacing w:line="360" w:lineRule="auto"/>
        <w:jc w:val="center"/>
        <w:rPr>
          <w:rFonts w:hint="eastAsia" w:ascii="仿宋" w:hAnsi="仿宋" w:eastAsia="仿宋" w:cs="仿宋"/>
          <w:color w:val="auto"/>
          <w:sz w:val="24"/>
          <w:highlight w:val="none"/>
        </w:rPr>
      </w:pPr>
    </w:p>
    <w:p w14:paraId="2F7B4DB5">
      <w:pPr>
        <w:pStyle w:val="53"/>
        <w:spacing w:line="360" w:lineRule="auto"/>
        <w:jc w:val="center"/>
        <w:rPr>
          <w:rFonts w:hint="eastAsia" w:ascii="仿宋" w:hAnsi="仿宋" w:eastAsia="仿宋" w:cs="仿宋"/>
          <w:color w:val="auto"/>
          <w:sz w:val="22"/>
          <w:szCs w:val="22"/>
          <w:highlight w:val="none"/>
        </w:rPr>
      </w:pPr>
    </w:p>
    <w:p w14:paraId="2860D333">
      <w:pPr>
        <w:pStyle w:val="53"/>
        <w:spacing w:line="360" w:lineRule="auto"/>
        <w:jc w:val="center"/>
        <w:rPr>
          <w:rFonts w:hint="eastAsia" w:ascii="仿宋" w:hAnsi="仿宋" w:eastAsia="仿宋" w:cs="仿宋"/>
          <w:color w:val="auto"/>
          <w:sz w:val="22"/>
          <w:szCs w:val="22"/>
          <w:highlight w:val="none"/>
        </w:rPr>
      </w:pPr>
    </w:p>
    <w:p w14:paraId="25931914">
      <w:pPr>
        <w:pStyle w:val="53"/>
        <w:spacing w:line="360" w:lineRule="auto"/>
        <w:jc w:val="center"/>
        <w:rPr>
          <w:rFonts w:hint="eastAsia" w:ascii="仿宋" w:hAnsi="仿宋" w:eastAsia="仿宋" w:cs="仿宋"/>
          <w:b/>
          <w:color w:val="auto"/>
          <w:sz w:val="60"/>
          <w:szCs w:val="60"/>
          <w:highlight w:val="none"/>
        </w:rPr>
      </w:pPr>
      <w:r>
        <w:rPr>
          <w:rFonts w:hint="eastAsia" w:ascii="仿宋" w:hAnsi="仿宋" w:eastAsia="仿宋" w:cs="仿宋"/>
          <w:b/>
          <w:color w:val="auto"/>
          <w:sz w:val="60"/>
          <w:szCs w:val="60"/>
          <w:highlight w:val="none"/>
        </w:rPr>
        <w:t>投标文件</w:t>
      </w:r>
    </w:p>
    <w:p w14:paraId="1735EE08">
      <w:pPr>
        <w:pStyle w:val="53"/>
        <w:spacing w:line="360" w:lineRule="auto"/>
        <w:jc w:val="center"/>
        <w:rPr>
          <w:rFonts w:hint="eastAsia" w:ascii="仿宋" w:hAnsi="仿宋" w:eastAsia="仿宋" w:cs="仿宋"/>
          <w:color w:val="auto"/>
          <w:sz w:val="22"/>
          <w:szCs w:val="22"/>
          <w:highlight w:val="none"/>
        </w:rPr>
      </w:pPr>
    </w:p>
    <w:p w14:paraId="0AF9739D">
      <w:pPr>
        <w:pStyle w:val="53"/>
        <w:spacing w:line="360" w:lineRule="auto"/>
        <w:jc w:val="center"/>
        <w:rPr>
          <w:rFonts w:hint="eastAsia" w:ascii="仿宋" w:hAnsi="仿宋" w:eastAsia="仿宋" w:cs="仿宋"/>
          <w:color w:val="auto"/>
          <w:sz w:val="22"/>
          <w:szCs w:val="22"/>
          <w:highlight w:val="none"/>
        </w:rPr>
      </w:pPr>
    </w:p>
    <w:p w14:paraId="1ED5052F">
      <w:pPr>
        <w:pStyle w:val="53"/>
        <w:spacing w:line="360" w:lineRule="auto"/>
        <w:jc w:val="center"/>
        <w:rPr>
          <w:rFonts w:hint="eastAsia" w:ascii="仿宋" w:hAnsi="仿宋" w:eastAsia="仿宋" w:cs="仿宋"/>
          <w:b/>
          <w:color w:val="auto"/>
          <w:sz w:val="22"/>
          <w:szCs w:val="22"/>
          <w:highlight w:val="none"/>
        </w:rPr>
      </w:pPr>
    </w:p>
    <w:p w14:paraId="6D34A9EC">
      <w:pPr>
        <w:pStyle w:val="53"/>
        <w:spacing w:line="360" w:lineRule="auto"/>
        <w:jc w:val="center"/>
        <w:rPr>
          <w:rFonts w:hint="eastAsia" w:ascii="仿宋" w:hAnsi="仿宋" w:eastAsia="仿宋" w:cs="仿宋"/>
          <w:b/>
          <w:color w:val="auto"/>
          <w:sz w:val="22"/>
          <w:szCs w:val="22"/>
          <w:highlight w:val="none"/>
        </w:rPr>
      </w:pPr>
    </w:p>
    <w:p w14:paraId="1867B860">
      <w:pPr>
        <w:pStyle w:val="53"/>
        <w:spacing w:line="360" w:lineRule="auto"/>
        <w:jc w:val="center"/>
        <w:rPr>
          <w:rFonts w:hint="eastAsia" w:ascii="仿宋" w:hAnsi="仿宋" w:eastAsia="仿宋" w:cs="仿宋"/>
          <w:b/>
          <w:color w:val="auto"/>
          <w:sz w:val="22"/>
          <w:szCs w:val="22"/>
          <w:highlight w:val="none"/>
        </w:rPr>
      </w:pPr>
    </w:p>
    <w:p w14:paraId="5E18F53E">
      <w:pPr>
        <w:pStyle w:val="53"/>
        <w:spacing w:line="360" w:lineRule="auto"/>
        <w:jc w:val="center"/>
        <w:rPr>
          <w:rFonts w:hint="eastAsia" w:ascii="仿宋" w:hAnsi="仿宋" w:eastAsia="仿宋" w:cs="仿宋"/>
          <w:b/>
          <w:color w:val="auto"/>
          <w:sz w:val="22"/>
          <w:szCs w:val="22"/>
          <w:highlight w:val="none"/>
        </w:rPr>
      </w:pPr>
    </w:p>
    <w:p w14:paraId="7E853877">
      <w:pPr>
        <w:pStyle w:val="53"/>
        <w:spacing w:line="360" w:lineRule="auto"/>
        <w:jc w:val="center"/>
        <w:rPr>
          <w:rFonts w:hint="eastAsia" w:ascii="仿宋" w:hAnsi="仿宋" w:eastAsia="仿宋" w:cs="仿宋"/>
          <w:b/>
          <w:color w:val="auto"/>
          <w:sz w:val="22"/>
          <w:szCs w:val="22"/>
          <w:highlight w:val="none"/>
        </w:rPr>
      </w:pPr>
    </w:p>
    <w:p w14:paraId="57D4317A">
      <w:pPr>
        <w:pStyle w:val="53"/>
        <w:spacing w:line="360" w:lineRule="auto"/>
        <w:jc w:val="center"/>
        <w:rPr>
          <w:rFonts w:hint="eastAsia" w:ascii="仿宋" w:hAnsi="仿宋" w:eastAsia="仿宋" w:cs="仿宋"/>
          <w:b/>
          <w:color w:val="auto"/>
          <w:sz w:val="22"/>
          <w:szCs w:val="22"/>
          <w:highlight w:val="none"/>
        </w:rPr>
      </w:pPr>
    </w:p>
    <w:p w14:paraId="027B0617">
      <w:pPr>
        <w:pStyle w:val="53"/>
        <w:spacing w:line="360" w:lineRule="auto"/>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（公章）</w:t>
      </w:r>
    </w:p>
    <w:p w14:paraId="44A561FE">
      <w:pPr>
        <w:pStyle w:val="53"/>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法定代表人或其授权委托人：</w:t>
      </w:r>
      <w:r>
        <w:rPr>
          <w:rFonts w:hint="eastAsia" w:ascii="仿宋" w:hAnsi="仿宋" w:eastAsia="仿宋" w:cs="仿宋"/>
          <w:b/>
          <w:bCs/>
          <w:color w:val="auto"/>
          <w:sz w:val="24"/>
          <w:highlight w:val="none"/>
          <w:u w:val="single"/>
        </w:rPr>
        <w:t xml:space="preserve">                  </w:t>
      </w:r>
      <w:r>
        <w:rPr>
          <w:rFonts w:hint="eastAsia" w:ascii="仿宋" w:hAnsi="仿宋" w:eastAsia="仿宋" w:cs="仿宋"/>
          <w:color w:val="auto"/>
          <w:sz w:val="24"/>
          <w:highlight w:val="none"/>
        </w:rPr>
        <w:t xml:space="preserve"> （签字或盖章）</w:t>
      </w:r>
    </w:p>
    <w:p w14:paraId="17AD2B9D">
      <w:pPr>
        <w:pStyle w:val="53"/>
        <w:spacing w:line="360" w:lineRule="auto"/>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（年/月/日）</w:t>
      </w:r>
    </w:p>
    <w:p w14:paraId="696EE473">
      <w:pPr>
        <w:pStyle w:val="53"/>
        <w:spacing w:line="360" w:lineRule="auto"/>
        <w:jc w:val="center"/>
        <w:rPr>
          <w:rFonts w:hint="eastAsia" w:ascii="仿宋" w:hAnsi="仿宋" w:eastAsia="仿宋" w:cs="仿宋"/>
          <w:color w:val="auto"/>
          <w:sz w:val="24"/>
          <w:highlight w:val="none"/>
        </w:rPr>
      </w:pPr>
    </w:p>
    <w:p w14:paraId="5E3EF561">
      <w:pPr>
        <w:pStyle w:val="54"/>
        <w:tabs>
          <w:tab w:val="left" w:pos="0"/>
        </w:tabs>
        <w:spacing w:line="360" w:lineRule="auto"/>
        <w:ind w:left="0" w:leftChars="0" w:firstLine="0" w:firstLineChars="0"/>
        <w:rPr>
          <w:rFonts w:hint="eastAsia" w:ascii="仿宋" w:hAnsi="仿宋" w:eastAsia="仿宋" w:cs="仿宋"/>
          <w:b/>
          <w:color w:val="auto"/>
          <w:sz w:val="32"/>
          <w:szCs w:val="22"/>
          <w:highlight w:val="none"/>
        </w:rPr>
      </w:pPr>
    </w:p>
    <w:p w14:paraId="30586FC4">
      <w:pPr>
        <w:pStyle w:val="45"/>
        <w:adjustRightInd w:val="0"/>
        <w:snapToGrid w:val="0"/>
        <w:spacing w:line="50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4"/>
          <w:szCs w:val="21"/>
          <w:highlight w:val="none"/>
        </w:rPr>
        <w:br w:type="page"/>
      </w:r>
      <w:bookmarkStart w:id="127" w:name="_Toc480368653"/>
      <w:bookmarkStart w:id="128" w:name="_Toc480371721"/>
      <w:bookmarkStart w:id="129" w:name="_Toc480368595"/>
      <w:bookmarkStart w:id="130" w:name="_Toc480368424"/>
      <w:bookmarkStart w:id="131" w:name="_Toc468535482"/>
      <w:bookmarkStart w:id="132" w:name="_Toc519111282"/>
      <w:r>
        <w:rPr>
          <w:rFonts w:hint="eastAsia" w:ascii="仿宋" w:hAnsi="仿宋" w:eastAsia="仿宋" w:cs="仿宋"/>
          <w:color w:val="auto"/>
          <w:sz w:val="28"/>
          <w:szCs w:val="28"/>
          <w:highlight w:val="none"/>
        </w:rPr>
        <w:t>目录顺序</w:t>
      </w:r>
    </w:p>
    <w:p w14:paraId="4BC490C3">
      <w:pPr>
        <w:pStyle w:val="28"/>
        <w:numPr>
          <w:ilvl w:val="0"/>
          <w:numId w:val="0"/>
        </w:numPr>
        <w:ind w:left="0" w:leftChars="0" w:firstLine="21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一、</w:t>
      </w:r>
      <w:r>
        <w:rPr>
          <w:rFonts w:hint="eastAsia" w:ascii="仿宋" w:hAnsi="仿宋" w:eastAsia="仿宋" w:cs="仿宋"/>
          <w:color w:val="auto"/>
          <w:sz w:val="28"/>
          <w:szCs w:val="28"/>
          <w:highlight w:val="none"/>
        </w:rPr>
        <w:t>资格证明文件</w:t>
      </w:r>
    </w:p>
    <w:p w14:paraId="4EF26B85">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（1）法定代表人身份证明及授权委托书（格式见附件三），法人代表或其委托代理人应提交本人身份证，委托代理人还应提交《法人代表授权委托书》；</w:t>
      </w:r>
    </w:p>
    <w:p w14:paraId="6D29AB5A">
      <w:pPr>
        <w:pStyle w:val="2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35" w:lineRule="atLeast"/>
        <w:ind w:right="0" w:rightChars="0" w:firstLine="560" w:firstLineChars="200"/>
        <w:jc w:val="both"/>
        <w:textAlignment w:val="auto"/>
        <w:rPr>
          <w:rFonts w:hint="eastAsia" w:ascii="仿宋" w:hAnsi="仿宋" w:eastAsia="仿宋" w:cs="仿宋"/>
          <w:b w:val="0"/>
          <w:bCs w:val="0"/>
          <w:color w:val="auto"/>
          <w:sz w:val="28"/>
          <w:szCs w:val="28"/>
          <w:highlight w:val="none"/>
          <w:lang w:val="zh-CN" w:eastAsia="zh-CN" w:bidi="ar-SA"/>
        </w:rPr>
      </w:pPr>
      <w:r>
        <w:rPr>
          <w:rFonts w:hint="eastAsia" w:ascii="仿宋" w:hAnsi="仿宋" w:eastAsia="仿宋" w:cs="仿宋"/>
          <w:color w:val="auto"/>
          <w:sz w:val="28"/>
          <w:szCs w:val="28"/>
          <w:highlight w:val="none"/>
        </w:rPr>
        <w:t>（2）具有独立承担民事责任的能力：</w:t>
      </w:r>
      <w:r>
        <w:rPr>
          <w:rFonts w:hint="eastAsia" w:ascii="仿宋" w:hAnsi="仿宋" w:eastAsia="仿宋" w:cs="仿宋"/>
          <w:b w:val="0"/>
          <w:bCs w:val="0"/>
          <w:color w:val="auto"/>
          <w:sz w:val="28"/>
          <w:szCs w:val="28"/>
          <w:highlight w:val="none"/>
          <w:lang w:val="zh-CN" w:eastAsia="zh-CN" w:bidi="ar-SA"/>
        </w:rPr>
        <w:t>提供法人营业执照或事业单位法人证书或民办非企业单位登记证书或个体工商户营业执照或其他组织的执业许可证副本扫描件；投标人为自然人的提供身份证明扫描件；采购标的属于银行、保险、石油石化、电力、电信等行业的，允许该行业法人的分支机构参加投标（报价），提供分支机构的《营业执照》副本扫描件。</w:t>
      </w:r>
    </w:p>
    <w:p w14:paraId="1F454C97">
      <w:pPr>
        <w:pStyle w:val="28"/>
        <w:ind w:firstLine="431"/>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zh-CN"/>
        </w:rPr>
        <w:t>具有良好的商业信誉和健全的财务会计制度：提供2024年或2025年财务审计报告扫描件(成立不足一年提供成立至今财务报表，至少包含资产负债表）或提供其基本开户银行在投标截止日前，六个月内出具的资信证明扫描件（银行出具的存款证明不能替代银行资信证明）。</w:t>
      </w:r>
    </w:p>
    <w:p w14:paraId="409810ED">
      <w:pPr>
        <w:pStyle w:val="28"/>
        <w:ind w:firstLine="431"/>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（4）依法缴纳税收的良好记录：提供投标截止日前近一年任意一个月完税证明；依法免税的，应提供相应文件（扫描件）证明其依法免税。</w:t>
      </w:r>
    </w:p>
    <w:p w14:paraId="24CE264C">
      <w:pPr>
        <w:pStyle w:val="28"/>
        <w:ind w:firstLine="431"/>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5）依法缴纳社会保障资金的良好记录：提供投标截止日前近一年任意一个月盖有社保局公章的社保缴纳证明（社保缴纳证明中含法定代表人或授权委托人的社保明细）；依法不需要缴纳社会保险的，应提供相应文件（扫描件）证明其依法不需要缴纳社会保险。</w:t>
      </w:r>
    </w:p>
    <w:p w14:paraId="79A29D76">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6）供应商存在“信用中国”网站（www.creditchina.gov.cn）、中国政府采购网（www.ccgp.gov.cn）中被列入失信被执行人、重大税收违法案件当事人名单、政府采购严重违法失信行为记录名单的禁止参与参与本项目，响应文件无效。（由招标人或招标代理机构自行查询）                   </w:t>
      </w:r>
    </w:p>
    <w:p w14:paraId="6E7FAC9A">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）具备履行合同所必需的设备和专业技术能力的书面声明（格式见附件一）；</w:t>
      </w:r>
    </w:p>
    <w:p w14:paraId="330D9026">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）参加政府采购活动前3年内在经营活动中没有重大违法记录的书面声明（格式见附件二）；</w:t>
      </w:r>
    </w:p>
    <w:p w14:paraId="2A5FD38E">
      <w:pPr>
        <w:pStyle w:val="28"/>
        <w:ind w:firstLine="431"/>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p>
    <w:p w14:paraId="4D2939B8">
      <w:pPr>
        <w:spacing w:before="120" w:line="221" w:lineRule="auto"/>
        <w:ind w:left="523"/>
        <w:rPr>
          <w:rFonts w:hint="eastAsia" w:ascii="仿宋" w:hAnsi="仿宋" w:eastAsia="仿宋" w:cs="仿宋"/>
          <w:color w:val="auto"/>
          <w:spacing w:val="-5"/>
          <w:sz w:val="28"/>
          <w:szCs w:val="28"/>
          <w:highlight w:val="none"/>
        </w:rPr>
      </w:pPr>
      <w:r>
        <w:rPr>
          <w:rFonts w:hint="eastAsia" w:ascii="仿宋" w:hAnsi="仿宋" w:eastAsia="仿宋" w:cs="仿宋"/>
          <w:color w:val="auto"/>
          <w:spacing w:val="-5"/>
          <w:sz w:val="28"/>
          <w:szCs w:val="28"/>
          <w:highlight w:val="none"/>
        </w:rPr>
        <w:t>（1</w:t>
      </w:r>
      <w:r>
        <w:rPr>
          <w:rFonts w:hint="eastAsia" w:ascii="仿宋" w:hAnsi="仿宋" w:eastAsia="仿宋" w:cs="仿宋"/>
          <w:color w:val="auto"/>
          <w:spacing w:val="-5"/>
          <w:sz w:val="28"/>
          <w:szCs w:val="28"/>
          <w:highlight w:val="none"/>
          <w:lang w:val="en-US" w:eastAsia="zh-CN"/>
        </w:rPr>
        <w:t>0</w:t>
      </w:r>
      <w:r>
        <w:rPr>
          <w:rFonts w:hint="eastAsia" w:ascii="仿宋" w:hAnsi="仿宋" w:eastAsia="仿宋" w:cs="仿宋"/>
          <w:color w:val="auto"/>
          <w:spacing w:val="-5"/>
          <w:sz w:val="28"/>
          <w:szCs w:val="28"/>
          <w:highlight w:val="none"/>
        </w:rPr>
        <w:t>）本项目的特定资格要求：</w:t>
      </w:r>
      <w:r>
        <w:rPr>
          <w:rFonts w:hint="eastAsia" w:ascii="仿宋" w:hAnsi="仿宋" w:eastAsia="仿宋" w:cs="仿宋"/>
          <w:color w:val="auto"/>
          <w:spacing w:val="-5"/>
          <w:sz w:val="28"/>
          <w:szCs w:val="28"/>
          <w:highlight w:val="none"/>
          <w:lang w:eastAsia="zh-CN"/>
        </w:rPr>
        <w:t>无</w:t>
      </w:r>
    </w:p>
    <w:p w14:paraId="73A7263B">
      <w:pPr>
        <w:pStyle w:val="28"/>
        <w:numPr>
          <w:ilvl w:val="0"/>
          <w:numId w:val="0"/>
        </w:numPr>
        <w:ind w:left="0" w:leftChars="0" w:firstLine="21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二、</w:t>
      </w:r>
      <w:r>
        <w:rPr>
          <w:rFonts w:hint="eastAsia" w:ascii="仿宋" w:hAnsi="仿宋" w:eastAsia="仿宋" w:cs="仿宋"/>
          <w:color w:val="auto"/>
          <w:sz w:val="28"/>
          <w:szCs w:val="28"/>
          <w:highlight w:val="none"/>
        </w:rPr>
        <w:t>商务技术文件</w:t>
      </w:r>
    </w:p>
    <w:p w14:paraId="6E7297EC">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1.投标函（格式见附件四）</w:t>
      </w:r>
    </w:p>
    <w:p w14:paraId="3D3B278E">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2.开标一览表（格式见附件五）；</w:t>
      </w:r>
    </w:p>
    <w:p w14:paraId="21693EF1">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3.报价明细表（格式见附件六）；</w:t>
      </w:r>
    </w:p>
    <w:p w14:paraId="5DA05A8C">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4.商务、技术条款偏离表（格式见附件七）；</w:t>
      </w:r>
    </w:p>
    <w:p w14:paraId="6BBE9322">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5.需要提供的商务和技术文件（格式自拟）</w:t>
      </w:r>
    </w:p>
    <w:p w14:paraId="091F7D3C">
      <w:pPr>
        <w:pStyle w:val="28"/>
        <w:numPr>
          <w:ilvl w:val="0"/>
          <w:numId w:val="0"/>
        </w:numPr>
        <w:ind w:left="0" w:leftChars="0" w:firstLine="21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三、</w:t>
      </w:r>
      <w:r>
        <w:rPr>
          <w:rFonts w:hint="eastAsia" w:ascii="仿宋" w:hAnsi="仿宋" w:eastAsia="仿宋" w:cs="仿宋"/>
          <w:color w:val="auto"/>
          <w:sz w:val="28"/>
          <w:szCs w:val="28"/>
          <w:highlight w:val="none"/>
        </w:rPr>
        <w:t>其他文件</w:t>
      </w:r>
    </w:p>
    <w:p w14:paraId="18142045">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（1）中小企业声明函（格式见附件八）；</w:t>
      </w:r>
    </w:p>
    <w:p w14:paraId="5726B6C1">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（2）残疾人福利性单位声明函（格式见附件九）；</w:t>
      </w:r>
    </w:p>
    <w:p w14:paraId="033DF318">
      <w:pPr>
        <w:pStyle w:val="28"/>
        <w:ind w:firstLine="43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（3）政府采购诚信承诺书（格式见附件十）</w:t>
      </w:r>
    </w:p>
    <w:p w14:paraId="7AA37F2F">
      <w:pPr>
        <w:pStyle w:val="28"/>
        <w:ind w:firstLine="431"/>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（4）供应商认为需要提供的其他材料；</w:t>
      </w:r>
      <w:bookmarkStart w:id="133" w:name="_Toc534816643"/>
      <w:bookmarkStart w:id="134" w:name="_Toc534725614"/>
    </w:p>
    <w:p w14:paraId="6D53395E">
      <w:pPr>
        <w:pStyle w:val="3"/>
        <w:numPr>
          <w:ilvl w:val="0"/>
          <w:numId w:val="0"/>
        </w:numPr>
        <w:ind w:left="240" w:leftChars="0" w:firstLine="0" w:firstLineChars="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bookmarkStart w:id="135" w:name="_Toc12134"/>
      <w:r>
        <w:rPr>
          <w:rFonts w:hint="eastAsia" w:ascii="仿宋" w:hAnsi="仿宋" w:eastAsia="仿宋" w:cs="仿宋"/>
          <w:color w:val="auto"/>
          <w:sz w:val="28"/>
          <w:szCs w:val="28"/>
          <w:highlight w:val="none"/>
        </w:rPr>
        <w:t>附件一：具备履行合同所必需的设备和专业技术能力的书面声明</w:t>
      </w:r>
      <w:bookmarkEnd w:id="133"/>
      <w:bookmarkEnd w:id="134"/>
      <w:bookmarkEnd w:id="135"/>
    </w:p>
    <w:p w14:paraId="2CCCAF5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我单位郑重声明：我单位具备履行本项采购合同所必需的设备和专业技术能力，为履行本项采购合同我公司具备如下主要设备和主要专业技术能力：</w:t>
      </w:r>
    </w:p>
    <w:p w14:paraId="436EFDC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主要设备有：                 </w:t>
      </w:r>
    </w:p>
    <w:p w14:paraId="140BD54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主要专业技术能力有：                     </w:t>
      </w:r>
    </w:p>
    <w:p w14:paraId="2502C26A">
      <w:pPr>
        <w:pStyle w:val="39"/>
        <w:rPr>
          <w:rFonts w:hint="eastAsia" w:ascii="仿宋" w:hAnsi="仿宋" w:eastAsia="仿宋" w:cs="仿宋"/>
          <w:color w:val="auto"/>
          <w:sz w:val="28"/>
          <w:szCs w:val="28"/>
          <w:highlight w:val="none"/>
        </w:rPr>
      </w:pPr>
    </w:p>
    <w:p w14:paraId="75E9355F">
      <w:pPr>
        <w:pStyle w:val="45"/>
        <w:tabs>
          <w:tab w:val="left" w:pos="750"/>
        </w:tabs>
        <w:adjustRightInd w:val="0"/>
        <w:snapToGrid w:val="0"/>
        <w:spacing w:line="500" w:lineRule="exact"/>
        <w:rPr>
          <w:rFonts w:hint="eastAsia" w:ascii="仿宋" w:hAnsi="仿宋" w:eastAsia="仿宋" w:cs="仿宋"/>
          <w:color w:val="auto"/>
          <w:sz w:val="28"/>
          <w:szCs w:val="28"/>
          <w:highlight w:val="none"/>
        </w:rPr>
      </w:pPr>
      <w:r>
        <w:rPr>
          <w:rFonts w:hint="eastAsia" w:ascii="仿宋" w:hAnsi="仿宋" w:eastAsia="仿宋" w:cs="仿宋"/>
          <w:bCs/>
          <w:color w:val="auto"/>
          <w:sz w:val="28"/>
          <w:szCs w:val="28"/>
          <w:highlight w:val="none"/>
        </w:rPr>
        <w:t xml:space="preserve">                                 </w:t>
      </w:r>
      <w:r>
        <w:rPr>
          <w:rFonts w:hint="eastAsia" w:ascii="仿宋" w:hAnsi="仿宋" w:eastAsia="仿宋" w:cs="仿宋"/>
          <w:color w:val="auto"/>
          <w:sz w:val="28"/>
          <w:szCs w:val="28"/>
          <w:highlight w:val="none"/>
        </w:rPr>
        <w:t>投标人名称（公章）：</w:t>
      </w:r>
      <w:r>
        <w:rPr>
          <w:rFonts w:hint="eastAsia" w:ascii="仿宋" w:hAnsi="仿宋" w:eastAsia="仿宋" w:cs="仿宋"/>
          <w:color w:val="auto"/>
          <w:sz w:val="28"/>
          <w:szCs w:val="28"/>
          <w:highlight w:val="none"/>
          <w:u w:val="single"/>
        </w:rPr>
        <w:t xml:space="preserve">           </w:t>
      </w:r>
    </w:p>
    <w:p w14:paraId="0EB167B0">
      <w:pPr>
        <w:pStyle w:val="45"/>
        <w:tabs>
          <w:tab w:val="left" w:pos="750"/>
        </w:tabs>
        <w:adjustRightInd w:val="0"/>
        <w:snapToGrid w:val="0"/>
        <w:spacing w:line="500" w:lineRule="exact"/>
        <w:rPr>
          <w:rFonts w:hint="eastAsia" w:ascii="仿宋" w:hAnsi="仿宋" w:eastAsia="仿宋" w:cs="仿宋"/>
          <w:color w:val="auto"/>
          <w:sz w:val="28"/>
          <w:szCs w:val="28"/>
          <w:highlight w:val="none"/>
        </w:rPr>
      </w:pPr>
    </w:p>
    <w:p w14:paraId="46E38D40">
      <w:pPr>
        <w:pStyle w:val="4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日期：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22AEA093">
      <w:pPr>
        <w:pStyle w:val="45"/>
        <w:rPr>
          <w:rFonts w:hint="eastAsia" w:ascii="仿宋" w:hAnsi="仿宋" w:eastAsia="仿宋" w:cs="仿宋"/>
          <w:color w:val="auto"/>
          <w:sz w:val="28"/>
          <w:szCs w:val="28"/>
          <w:highlight w:val="none"/>
        </w:rPr>
      </w:pPr>
    </w:p>
    <w:p w14:paraId="2052F674">
      <w:pPr>
        <w:pStyle w:val="45"/>
        <w:rPr>
          <w:rFonts w:hint="eastAsia" w:ascii="仿宋" w:hAnsi="仿宋" w:eastAsia="仿宋" w:cs="仿宋"/>
          <w:color w:val="auto"/>
          <w:sz w:val="28"/>
          <w:szCs w:val="28"/>
          <w:highlight w:val="none"/>
        </w:rPr>
      </w:pPr>
    </w:p>
    <w:p w14:paraId="29C58BD2">
      <w:pPr>
        <w:pStyle w:val="3"/>
        <w:numPr>
          <w:ilvl w:val="0"/>
          <w:numId w:val="0"/>
        </w:numPr>
        <w:ind w:left="240" w:leftChars="0" w:firstLine="0" w:firstLineChars="0"/>
        <w:outlineLvl w:val="1"/>
        <w:rPr>
          <w:rFonts w:hint="eastAsia" w:ascii="仿宋" w:hAnsi="仿宋" w:eastAsia="仿宋" w:cs="仿宋"/>
          <w:color w:val="auto"/>
          <w:sz w:val="28"/>
          <w:szCs w:val="28"/>
          <w:highlight w:val="none"/>
        </w:rPr>
      </w:pPr>
      <w:bookmarkStart w:id="136" w:name="_Toc534725615"/>
      <w:bookmarkStart w:id="137" w:name="_Toc534816644"/>
      <w:bookmarkStart w:id="138" w:name="_Toc24213"/>
      <w:bookmarkStart w:id="139" w:name="_Toc30915"/>
      <w:bookmarkStart w:id="140" w:name="_Toc29797"/>
      <w:bookmarkStart w:id="141" w:name="_Toc3644"/>
      <w:bookmarkStart w:id="142" w:name="_Toc9440"/>
      <w:bookmarkStart w:id="143" w:name="_Toc15472"/>
      <w:bookmarkStart w:id="144" w:name="_Toc15029"/>
      <w:bookmarkStart w:id="145" w:name="_Toc19431"/>
      <w:bookmarkStart w:id="146" w:name="_Toc30644"/>
      <w:bookmarkStart w:id="147" w:name="_Toc1868"/>
      <w:r>
        <w:rPr>
          <w:rFonts w:hint="eastAsia" w:ascii="仿宋" w:hAnsi="仿宋" w:eastAsia="仿宋" w:cs="仿宋"/>
          <w:color w:val="auto"/>
          <w:sz w:val="28"/>
          <w:szCs w:val="28"/>
          <w:highlight w:val="none"/>
        </w:rPr>
        <w:br w:type="page"/>
      </w:r>
      <w:bookmarkStart w:id="148" w:name="_Toc26731"/>
      <w:r>
        <w:rPr>
          <w:rFonts w:hint="eastAsia" w:ascii="仿宋" w:hAnsi="仿宋" w:eastAsia="仿宋" w:cs="仿宋"/>
          <w:color w:val="auto"/>
          <w:sz w:val="28"/>
          <w:szCs w:val="28"/>
          <w:highlight w:val="none"/>
        </w:rPr>
        <w:t>附件二：参加政府采购活动前 3 年内在经营活动中没有重大违法记录的书面声明</w:t>
      </w:r>
      <w:bookmarkEnd w:id="136"/>
      <w:bookmarkEnd w:id="137"/>
      <w:bookmarkEnd w:id="148"/>
    </w:p>
    <w:p w14:paraId="1A91BC4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声  明</w:t>
      </w:r>
    </w:p>
    <w:p w14:paraId="63F1949C">
      <w:pPr>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 xml:space="preserve">    </w:t>
      </w:r>
      <w:r>
        <w:rPr>
          <w:rFonts w:hint="eastAsia" w:ascii="仿宋" w:hAnsi="仿宋" w:eastAsia="仿宋" w:cs="仿宋"/>
          <w:color w:val="auto"/>
          <w:sz w:val="28"/>
          <w:szCs w:val="28"/>
          <w:highlight w:val="none"/>
        </w:rPr>
        <w:t>我单位郑重声明：参加本次政府采购活动前 3 年内，我单位在经营活动中没有因违法经营受到刑事处罚或者责令停产停业、吊销许可证或者执照、较大数额罚款等行政处罚。</w:t>
      </w:r>
    </w:p>
    <w:p w14:paraId="45DF1F2E">
      <w:pPr>
        <w:rPr>
          <w:rFonts w:hint="eastAsia" w:ascii="仿宋" w:hAnsi="仿宋" w:eastAsia="仿宋" w:cs="仿宋"/>
          <w:color w:val="auto"/>
          <w:sz w:val="28"/>
          <w:szCs w:val="28"/>
          <w:highlight w:val="none"/>
        </w:rPr>
      </w:pPr>
    </w:p>
    <w:p w14:paraId="1BBC00E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投标人名称（公章）：</w:t>
      </w:r>
      <w:r>
        <w:rPr>
          <w:rFonts w:hint="eastAsia" w:ascii="仿宋" w:hAnsi="仿宋" w:eastAsia="仿宋" w:cs="仿宋"/>
          <w:color w:val="auto"/>
          <w:sz w:val="28"/>
          <w:szCs w:val="28"/>
          <w:highlight w:val="none"/>
          <w:u w:val="single"/>
        </w:rPr>
        <w:t xml:space="preserve">           </w:t>
      </w:r>
    </w:p>
    <w:p w14:paraId="167A7110">
      <w:pPr>
        <w:rPr>
          <w:rFonts w:hint="eastAsia" w:ascii="仿宋" w:hAnsi="仿宋" w:eastAsia="仿宋" w:cs="仿宋"/>
          <w:color w:val="auto"/>
          <w:sz w:val="28"/>
          <w:szCs w:val="28"/>
          <w:highlight w:val="none"/>
        </w:rPr>
      </w:pPr>
    </w:p>
    <w:p w14:paraId="7250249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日期：    年   月    日</w:t>
      </w:r>
    </w:p>
    <w:bookmarkEnd w:id="138"/>
    <w:bookmarkEnd w:id="139"/>
    <w:bookmarkEnd w:id="140"/>
    <w:bookmarkEnd w:id="141"/>
    <w:bookmarkEnd w:id="142"/>
    <w:bookmarkEnd w:id="143"/>
    <w:bookmarkEnd w:id="144"/>
    <w:bookmarkEnd w:id="145"/>
    <w:bookmarkEnd w:id="146"/>
    <w:bookmarkEnd w:id="147"/>
    <w:p w14:paraId="07979988">
      <w:pPr>
        <w:pStyle w:val="45"/>
        <w:rPr>
          <w:rFonts w:hint="eastAsia" w:ascii="仿宋" w:hAnsi="仿宋" w:eastAsia="仿宋" w:cs="仿宋"/>
          <w:color w:val="auto"/>
          <w:sz w:val="28"/>
          <w:szCs w:val="28"/>
          <w:highlight w:val="none"/>
        </w:rPr>
      </w:pPr>
    </w:p>
    <w:p w14:paraId="5DE9BB90">
      <w:pPr>
        <w:pStyle w:val="45"/>
        <w:rPr>
          <w:rFonts w:hint="eastAsia" w:ascii="仿宋" w:hAnsi="仿宋" w:eastAsia="仿宋" w:cs="仿宋"/>
          <w:color w:val="auto"/>
          <w:sz w:val="28"/>
          <w:szCs w:val="28"/>
          <w:highlight w:val="none"/>
        </w:rPr>
      </w:pPr>
    </w:p>
    <w:p w14:paraId="6ACD7640">
      <w:pPr>
        <w:pStyle w:val="45"/>
        <w:rPr>
          <w:rFonts w:hint="eastAsia" w:ascii="仿宋" w:hAnsi="仿宋" w:eastAsia="仿宋" w:cs="仿宋"/>
          <w:color w:val="auto"/>
          <w:sz w:val="28"/>
          <w:szCs w:val="28"/>
          <w:highlight w:val="none"/>
        </w:rPr>
      </w:pPr>
    </w:p>
    <w:p w14:paraId="673E6783">
      <w:pPr>
        <w:pStyle w:val="45"/>
        <w:rPr>
          <w:rFonts w:hint="eastAsia" w:ascii="仿宋" w:hAnsi="仿宋" w:eastAsia="仿宋" w:cs="仿宋"/>
          <w:color w:val="auto"/>
          <w:sz w:val="28"/>
          <w:szCs w:val="28"/>
          <w:highlight w:val="none"/>
        </w:rPr>
      </w:pPr>
    </w:p>
    <w:p w14:paraId="60160CF1">
      <w:pPr>
        <w:pStyle w:val="45"/>
        <w:rPr>
          <w:rFonts w:hint="eastAsia" w:ascii="仿宋" w:hAnsi="仿宋" w:eastAsia="仿宋" w:cs="仿宋"/>
          <w:color w:val="auto"/>
          <w:sz w:val="28"/>
          <w:szCs w:val="28"/>
          <w:highlight w:val="none"/>
        </w:rPr>
      </w:pPr>
    </w:p>
    <w:p w14:paraId="3C42926D">
      <w:pPr>
        <w:pStyle w:val="45"/>
        <w:rPr>
          <w:rFonts w:hint="eastAsia" w:ascii="仿宋" w:hAnsi="仿宋" w:eastAsia="仿宋" w:cs="仿宋"/>
          <w:color w:val="auto"/>
          <w:sz w:val="28"/>
          <w:szCs w:val="28"/>
          <w:highlight w:val="none"/>
        </w:rPr>
      </w:pPr>
    </w:p>
    <w:p w14:paraId="60F83A8F">
      <w:pPr>
        <w:pStyle w:val="45"/>
        <w:rPr>
          <w:rFonts w:hint="eastAsia" w:ascii="仿宋" w:hAnsi="仿宋" w:eastAsia="仿宋" w:cs="仿宋"/>
          <w:color w:val="auto"/>
          <w:sz w:val="28"/>
          <w:szCs w:val="28"/>
          <w:highlight w:val="none"/>
        </w:rPr>
      </w:pPr>
    </w:p>
    <w:p w14:paraId="2DEB6D6C">
      <w:pPr>
        <w:pStyle w:val="45"/>
        <w:rPr>
          <w:rFonts w:hint="eastAsia" w:ascii="仿宋" w:hAnsi="仿宋" w:eastAsia="仿宋" w:cs="仿宋"/>
          <w:color w:val="auto"/>
          <w:sz w:val="28"/>
          <w:szCs w:val="28"/>
          <w:highlight w:val="none"/>
        </w:rPr>
      </w:pPr>
    </w:p>
    <w:p w14:paraId="3BD18A2C">
      <w:pPr>
        <w:pStyle w:val="45"/>
        <w:rPr>
          <w:rFonts w:hint="eastAsia" w:ascii="仿宋" w:hAnsi="仿宋" w:eastAsia="仿宋" w:cs="仿宋"/>
          <w:color w:val="auto"/>
          <w:sz w:val="28"/>
          <w:szCs w:val="28"/>
          <w:highlight w:val="none"/>
        </w:rPr>
      </w:pPr>
    </w:p>
    <w:p w14:paraId="70AE8DD4">
      <w:pPr>
        <w:pStyle w:val="45"/>
        <w:rPr>
          <w:rFonts w:hint="eastAsia" w:ascii="仿宋" w:hAnsi="仿宋" w:eastAsia="仿宋" w:cs="仿宋"/>
          <w:color w:val="auto"/>
          <w:sz w:val="28"/>
          <w:szCs w:val="28"/>
          <w:highlight w:val="none"/>
        </w:rPr>
      </w:pPr>
    </w:p>
    <w:p w14:paraId="1A4E357E">
      <w:pP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br w:type="page"/>
      </w:r>
    </w:p>
    <w:p w14:paraId="0FABDA70">
      <w:pPr>
        <w:outlineLvl w:val="1"/>
        <w:rPr>
          <w:rFonts w:hint="eastAsia" w:ascii="仿宋" w:hAnsi="仿宋" w:eastAsia="仿宋" w:cs="仿宋"/>
          <w:bCs/>
          <w:color w:val="auto"/>
          <w:sz w:val="28"/>
          <w:szCs w:val="28"/>
          <w:highlight w:val="none"/>
        </w:rPr>
      </w:pPr>
      <w:bookmarkStart w:id="149" w:name="_Toc11026"/>
      <w:r>
        <w:rPr>
          <w:rFonts w:hint="eastAsia" w:ascii="仿宋" w:hAnsi="仿宋" w:eastAsia="仿宋" w:cs="仿宋"/>
          <w:b/>
          <w:bCs/>
          <w:color w:val="auto"/>
          <w:kern w:val="0"/>
          <w:sz w:val="28"/>
          <w:szCs w:val="28"/>
          <w:highlight w:val="none"/>
        </w:rPr>
        <w:t>附件三：</w:t>
      </w:r>
      <w:r>
        <w:rPr>
          <w:rFonts w:hint="eastAsia" w:ascii="仿宋" w:hAnsi="仿宋" w:eastAsia="仿宋" w:cs="仿宋"/>
          <w:bCs/>
          <w:color w:val="auto"/>
          <w:sz w:val="28"/>
          <w:szCs w:val="28"/>
          <w:highlight w:val="none"/>
        </w:rPr>
        <w:t>法定代表人资格证明文件</w:t>
      </w:r>
      <w:bookmarkEnd w:id="149"/>
    </w:p>
    <w:p w14:paraId="4EE7BE0C">
      <w:pPr>
        <w:pStyle w:val="45"/>
        <w:rPr>
          <w:rFonts w:hint="eastAsia" w:ascii="仿宋" w:hAnsi="仿宋" w:eastAsia="仿宋" w:cs="仿宋"/>
          <w:color w:val="auto"/>
          <w:sz w:val="28"/>
          <w:szCs w:val="28"/>
          <w:highlight w:val="none"/>
        </w:rPr>
      </w:pPr>
    </w:p>
    <w:p w14:paraId="2B72B784">
      <w:pPr>
        <w:pStyle w:val="45"/>
        <w:adjustRightInd w:val="0"/>
        <w:snapToGrid w:val="0"/>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新疆泽一项目管理有限公司</w:t>
      </w:r>
      <w:r>
        <w:rPr>
          <w:rFonts w:hint="eastAsia" w:ascii="仿宋" w:hAnsi="仿宋" w:eastAsia="仿宋" w:cs="仿宋"/>
          <w:color w:val="auto"/>
          <w:sz w:val="28"/>
          <w:szCs w:val="28"/>
          <w:highlight w:val="none"/>
        </w:rPr>
        <w:t>：</w:t>
      </w:r>
    </w:p>
    <w:p w14:paraId="6AF6FEAB">
      <w:pPr>
        <w:pStyle w:val="45"/>
        <w:adjustRightInd w:val="0"/>
        <w:snapToGrid w:val="0"/>
        <w:spacing w:line="50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兹有</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同志为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公司法定代表人，代表我公司办理一切社会公务事宜，具有法律效力。 </w:t>
      </w:r>
    </w:p>
    <w:p w14:paraId="2094DD69">
      <w:pPr>
        <w:pStyle w:val="45"/>
        <w:adjustRightInd w:val="0"/>
        <w:snapToGrid w:val="0"/>
        <w:spacing w:line="50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附法定代表人基本情况： </w:t>
      </w:r>
    </w:p>
    <w:p w14:paraId="09FEBF38">
      <w:pPr>
        <w:pStyle w:val="45"/>
        <w:adjustRightInd w:val="0"/>
        <w:snapToGrid w:val="0"/>
        <w:spacing w:line="500" w:lineRule="exact"/>
        <w:ind w:firstLine="560" w:firstLineChars="2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p>
    <w:p w14:paraId="0CFA720E">
      <w:pPr>
        <w:pStyle w:val="45"/>
        <w:adjustRightInd w:val="0"/>
        <w:snapToGrid w:val="0"/>
        <w:spacing w:line="50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u w:val="single"/>
        </w:rPr>
        <w:t xml:space="preserve">                     </w:t>
      </w:r>
    </w:p>
    <w:p w14:paraId="7EF64B17">
      <w:pPr>
        <w:pStyle w:val="45"/>
        <w:adjustRightInd w:val="0"/>
        <w:snapToGrid w:val="0"/>
        <w:spacing w:line="50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通讯地址：</w:t>
      </w:r>
      <w:r>
        <w:rPr>
          <w:rFonts w:hint="eastAsia" w:ascii="仿宋" w:hAnsi="仿宋" w:eastAsia="仿宋" w:cs="仿宋"/>
          <w:color w:val="auto"/>
          <w:sz w:val="28"/>
          <w:szCs w:val="28"/>
          <w:highlight w:val="none"/>
          <w:u w:val="single"/>
        </w:rPr>
        <w:t xml:space="preserve">                       </w:t>
      </w:r>
    </w:p>
    <w:p w14:paraId="49ABA08C">
      <w:pPr>
        <w:pStyle w:val="45"/>
        <w:adjustRightInd w:val="0"/>
        <w:snapToGrid w:val="0"/>
        <w:spacing w:line="50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电话号码：</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邮政编码：</w:t>
      </w:r>
      <w:r>
        <w:rPr>
          <w:rFonts w:hint="eastAsia" w:ascii="仿宋" w:hAnsi="仿宋" w:eastAsia="仿宋" w:cs="仿宋"/>
          <w:color w:val="auto"/>
          <w:sz w:val="28"/>
          <w:szCs w:val="28"/>
          <w:highlight w:val="none"/>
          <w:u w:val="single"/>
        </w:rPr>
        <w:t xml:space="preserve">               </w:t>
      </w:r>
    </w:p>
    <w:p w14:paraId="583B09FA">
      <w:pPr>
        <w:pStyle w:val="45"/>
        <w:adjustRightInd w:val="0"/>
        <w:snapToGrid w:val="0"/>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tbl>
      <w:tblPr>
        <w:tblStyle w:val="29"/>
        <w:tblW w:w="6804" w:type="dxa"/>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tblGrid>
      <w:tr w14:paraId="733B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6804" w:type="dxa"/>
            <w:tcBorders>
              <w:top w:val="single" w:color="auto" w:sz="4" w:space="0"/>
              <w:left w:val="single" w:color="auto" w:sz="4" w:space="0"/>
              <w:bottom w:val="single" w:color="auto" w:sz="4" w:space="0"/>
              <w:right w:val="single" w:color="auto" w:sz="4" w:space="0"/>
            </w:tcBorders>
          </w:tcPr>
          <w:p w14:paraId="6BFAA3F8">
            <w:pPr>
              <w:pStyle w:val="45"/>
              <w:adjustRightInd w:val="0"/>
              <w:snapToGrid w:val="0"/>
              <w:spacing w:line="500" w:lineRule="exact"/>
              <w:jc w:val="center"/>
              <w:rPr>
                <w:rFonts w:hint="eastAsia" w:ascii="仿宋" w:hAnsi="仿宋" w:eastAsia="仿宋" w:cs="仿宋"/>
                <w:color w:val="auto"/>
                <w:sz w:val="28"/>
                <w:szCs w:val="28"/>
                <w:highlight w:val="none"/>
              </w:rPr>
            </w:pPr>
          </w:p>
          <w:p w14:paraId="09714D5E">
            <w:pPr>
              <w:pStyle w:val="45"/>
              <w:adjustRightInd w:val="0"/>
              <w:snapToGrid w:val="0"/>
              <w:spacing w:line="500" w:lineRule="exact"/>
              <w:jc w:val="center"/>
              <w:rPr>
                <w:rFonts w:hint="eastAsia" w:ascii="仿宋" w:hAnsi="仿宋" w:eastAsia="仿宋" w:cs="仿宋"/>
                <w:color w:val="auto"/>
                <w:sz w:val="28"/>
                <w:szCs w:val="28"/>
                <w:highlight w:val="none"/>
              </w:rPr>
            </w:pPr>
          </w:p>
          <w:p w14:paraId="5AB1D4C1">
            <w:pPr>
              <w:pStyle w:val="45"/>
              <w:adjustRightInd w:val="0"/>
              <w:snapToGrid w:val="0"/>
              <w:spacing w:line="50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法定代表人《居民身份证》正反面</w:t>
            </w:r>
          </w:p>
        </w:tc>
      </w:tr>
    </w:tbl>
    <w:p w14:paraId="5C06960A">
      <w:pPr>
        <w:pStyle w:val="45"/>
        <w:adjustRightInd w:val="0"/>
        <w:snapToGrid w:val="0"/>
        <w:spacing w:line="500" w:lineRule="exact"/>
        <w:rPr>
          <w:rFonts w:hint="eastAsia" w:ascii="仿宋" w:hAnsi="仿宋" w:eastAsia="仿宋" w:cs="仿宋"/>
          <w:color w:val="auto"/>
          <w:sz w:val="28"/>
          <w:szCs w:val="28"/>
          <w:highlight w:val="none"/>
        </w:rPr>
      </w:pPr>
    </w:p>
    <w:p w14:paraId="03B6D9E0">
      <w:pPr>
        <w:pStyle w:val="45"/>
        <w:tabs>
          <w:tab w:val="left" w:pos="750"/>
        </w:tabs>
        <w:adjustRightInd w:val="0"/>
        <w:snapToGrid w:val="0"/>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t>投标人名称（公章）：</w:t>
      </w:r>
      <w:r>
        <w:rPr>
          <w:rFonts w:hint="eastAsia" w:ascii="仿宋" w:hAnsi="仿宋" w:eastAsia="仿宋" w:cs="仿宋"/>
          <w:color w:val="auto"/>
          <w:sz w:val="28"/>
          <w:szCs w:val="28"/>
          <w:highlight w:val="none"/>
          <w:u w:val="single"/>
        </w:rPr>
        <w:t xml:space="preserve">            </w:t>
      </w:r>
    </w:p>
    <w:p w14:paraId="18D10A7E">
      <w:pPr>
        <w:pStyle w:val="45"/>
        <w:tabs>
          <w:tab w:val="left" w:pos="750"/>
        </w:tabs>
        <w:adjustRightInd w:val="0"/>
        <w:snapToGrid w:val="0"/>
        <w:spacing w:line="500" w:lineRule="exact"/>
        <w:ind w:firstLine="840" w:firstLineChars="3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法定代表人（签字或盖章） ：</w:t>
      </w:r>
      <w:r>
        <w:rPr>
          <w:rFonts w:hint="eastAsia" w:ascii="仿宋" w:hAnsi="仿宋" w:eastAsia="仿宋" w:cs="仿宋"/>
          <w:color w:val="auto"/>
          <w:sz w:val="28"/>
          <w:szCs w:val="28"/>
          <w:highlight w:val="none"/>
          <w:u w:val="single"/>
        </w:rPr>
        <w:t xml:space="preserve">           </w:t>
      </w:r>
    </w:p>
    <w:p w14:paraId="268C4C61">
      <w:pPr>
        <w:pStyle w:val="45"/>
        <w:tabs>
          <w:tab w:val="left" w:pos="750"/>
        </w:tabs>
        <w:adjustRightInd w:val="0"/>
        <w:snapToGrid w:val="0"/>
        <w:spacing w:line="500" w:lineRule="exact"/>
        <w:ind w:firstLine="840" w:firstLineChars="3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6F5AFF73">
      <w:pPr>
        <w:pStyle w:val="55"/>
        <w:outlineLvl w:val="9"/>
        <w:rPr>
          <w:rFonts w:hint="eastAsia" w:ascii="仿宋" w:hAnsi="仿宋" w:eastAsia="仿宋" w:cs="仿宋"/>
          <w:color w:val="auto"/>
          <w:sz w:val="28"/>
          <w:szCs w:val="28"/>
          <w:highlight w:val="none"/>
        </w:rPr>
      </w:pPr>
    </w:p>
    <w:p w14:paraId="1106D34B">
      <w:pPr>
        <w:pStyle w:val="45"/>
        <w:rPr>
          <w:rFonts w:hint="eastAsia" w:ascii="仿宋" w:hAnsi="仿宋" w:eastAsia="仿宋" w:cs="仿宋"/>
          <w:color w:val="auto"/>
          <w:sz w:val="28"/>
          <w:szCs w:val="28"/>
          <w:highlight w:val="none"/>
        </w:rPr>
      </w:pPr>
    </w:p>
    <w:p w14:paraId="4DE4A91B">
      <w:pPr>
        <w:pStyle w:val="45"/>
        <w:rPr>
          <w:rFonts w:hint="eastAsia" w:ascii="仿宋" w:hAnsi="仿宋" w:eastAsia="仿宋" w:cs="仿宋"/>
          <w:color w:val="auto"/>
          <w:sz w:val="28"/>
          <w:szCs w:val="28"/>
          <w:highlight w:val="none"/>
        </w:rPr>
      </w:pPr>
    </w:p>
    <w:p w14:paraId="583847E0">
      <w:pPr>
        <w:pStyle w:val="45"/>
        <w:rPr>
          <w:rFonts w:hint="eastAsia" w:ascii="仿宋" w:hAnsi="仿宋" w:eastAsia="仿宋" w:cs="仿宋"/>
          <w:color w:val="auto"/>
          <w:sz w:val="28"/>
          <w:szCs w:val="28"/>
          <w:highlight w:val="none"/>
        </w:rPr>
      </w:pPr>
    </w:p>
    <w:p w14:paraId="022A38C4">
      <w:pPr>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br w:type="page"/>
      </w:r>
    </w:p>
    <w:p w14:paraId="28D06942">
      <w:pPr>
        <w:pStyle w:val="55"/>
        <w:outlineLvl w:val="9"/>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法定代表人授权委托书</w:t>
      </w:r>
    </w:p>
    <w:p w14:paraId="5E62C957">
      <w:pPr>
        <w:pStyle w:val="45"/>
        <w:rPr>
          <w:rFonts w:hint="eastAsia" w:ascii="仿宋" w:hAnsi="仿宋" w:eastAsia="仿宋" w:cs="仿宋"/>
          <w:color w:val="auto"/>
          <w:sz w:val="28"/>
          <w:szCs w:val="28"/>
          <w:highlight w:val="none"/>
        </w:rPr>
      </w:pPr>
    </w:p>
    <w:p w14:paraId="0ED30093">
      <w:pPr>
        <w:pStyle w:val="45"/>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（新疆泽一项目管理有限公司）</w:t>
      </w:r>
      <w:r>
        <w:rPr>
          <w:rFonts w:hint="eastAsia" w:ascii="仿宋" w:hAnsi="仿宋" w:eastAsia="仿宋" w:cs="仿宋"/>
          <w:color w:val="auto"/>
          <w:sz w:val="28"/>
          <w:szCs w:val="28"/>
          <w:highlight w:val="none"/>
        </w:rPr>
        <w:t>：</w:t>
      </w:r>
    </w:p>
    <w:p w14:paraId="4FC9C571">
      <w:pPr>
        <w:pStyle w:val="45"/>
        <w:spacing w:line="50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兹授权</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同志为我公司参加贵单位组织的编号为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u w:val="single"/>
        </w:rPr>
        <w:t>（项 目 名 称）</w:t>
      </w:r>
      <w:r>
        <w:rPr>
          <w:rFonts w:hint="eastAsia" w:ascii="仿宋" w:hAnsi="仿宋" w:eastAsia="仿宋" w:cs="仿宋"/>
          <w:color w:val="auto"/>
          <w:sz w:val="28"/>
          <w:szCs w:val="28"/>
          <w:highlight w:val="none"/>
        </w:rPr>
        <w:t>采购活动的投标代表人，全权代表我公司处理在该项目采购活动中的一切事宜。代理期限从</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日起至</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日止。 </w:t>
      </w:r>
    </w:p>
    <w:p w14:paraId="0AA8692E">
      <w:pPr>
        <w:pStyle w:val="45"/>
        <w:spacing w:line="500" w:lineRule="exact"/>
        <w:rPr>
          <w:rFonts w:hint="eastAsia" w:ascii="仿宋" w:hAnsi="仿宋" w:eastAsia="仿宋" w:cs="仿宋"/>
          <w:color w:val="auto"/>
          <w:sz w:val="28"/>
          <w:szCs w:val="28"/>
          <w:highlight w:val="none"/>
        </w:rPr>
      </w:pPr>
    </w:p>
    <w:p w14:paraId="79D7B71D">
      <w:pPr>
        <w:pStyle w:val="45"/>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投标人（公章）：</w:t>
      </w:r>
      <w:r>
        <w:rPr>
          <w:rFonts w:hint="eastAsia" w:ascii="仿宋" w:hAnsi="仿宋" w:eastAsia="仿宋" w:cs="仿宋"/>
          <w:color w:val="auto"/>
          <w:sz w:val="28"/>
          <w:szCs w:val="28"/>
          <w:highlight w:val="none"/>
          <w:u w:val="single"/>
        </w:rPr>
        <w:t xml:space="preserve">               </w:t>
      </w:r>
    </w:p>
    <w:p w14:paraId="6398D695">
      <w:pPr>
        <w:pStyle w:val="45"/>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法定代表人（签字或盖章）：</w:t>
      </w:r>
      <w:r>
        <w:rPr>
          <w:rFonts w:hint="eastAsia" w:ascii="仿宋" w:hAnsi="仿宋" w:eastAsia="仿宋" w:cs="仿宋"/>
          <w:color w:val="auto"/>
          <w:sz w:val="28"/>
          <w:szCs w:val="28"/>
          <w:highlight w:val="none"/>
          <w:u w:val="single"/>
        </w:rPr>
        <w:t xml:space="preserve">        </w:t>
      </w:r>
    </w:p>
    <w:p w14:paraId="796D067D">
      <w:pPr>
        <w:pStyle w:val="45"/>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签发日期：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669EECFB">
      <w:pPr>
        <w:pStyle w:val="45"/>
        <w:spacing w:line="500" w:lineRule="exact"/>
        <w:rPr>
          <w:rFonts w:hint="eastAsia" w:ascii="仿宋" w:hAnsi="仿宋" w:eastAsia="仿宋" w:cs="仿宋"/>
          <w:color w:val="auto"/>
          <w:sz w:val="28"/>
          <w:szCs w:val="28"/>
          <w:highlight w:val="none"/>
        </w:rPr>
      </w:pPr>
    </w:p>
    <w:p w14:paraId="79F657E2">
      <w:pPr>
        <w:pStyle w:val="45"/>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附：</w:t>
      </w:r>
    </w:p>
    <w:p w14:paraId="7A967F38">
      <w:pPr>
        <w:pStyle w:val="45"/>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授权委托人（签字或盖章）：</w:t>
      </w:r>
      <w:r>
        <w:rPr>
          <w:rFonts w:hint="eastAsia" w:ascii="仿宋" w:hAnsi="仿宋" w:eastAsia="仿宋" w:cs="仿宋"/>
          <w:color w:val="auto"/>
          <w:sz w:val="28"/>
          <w:szCs w:val="28"/>
          <w:highlight w:val="none"/>
          <w:u w:val="single"/>
        </w:rPr>
        <w:t xml:space="preserve">                          </w:t>
      </w:r>
    </w:p>
    <w:p w14:paraId="7A9B8CF0">
      <w:pPr>
        <w:pStyle w:val="45"/>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性别：</w:t>
      </w:r>
      <w:r>
        <w:rPr>
          <w:rFonts w:hint="eastAsia" w:ascii="仿宋" w:hAnsi="仿宋" w:eastAsia="仿宋" w:cs="仿宋"/>
          <w:color w:val="auto"/>
          <w:sz w:val="28"/>
          <w:szCs w:val="28"/>
          <w:highlight w:val="none"/>
          <w:u w:val="single"/>
        </w:rPr>
        <w:t xml:space="preserve">      </w:t>
      </w:r>
    </w:p>
    <w:p w14:paraId="3C7ACE4C">
      <w:pPr>
        <w:pStyle w:val="45"/>
        <w:adjustRightInd w:val="0"/>
        <w:snapToGrid w:val="0"/>
        <w:spacing w:line="500" w:lineRule="exac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u w:val="single"/>
        </w:rPr>
        <w:t xml:space="preserve">                              </w:t>
      </w:r>
    </w:p>
    <w:p w14:paraId="4E48FDDE">
      <w:pPr>
        <w:pStyle w:val="45"/>
        <w:adjustRightInd w:val="0"/>
        <w:snapToGrid w:val="0"/>
        <w:spacing w:line="500" w:lineRule="exact"/>
        <w:ind w:left="-101" w:leftChars="-42" w:firstLine="700" w:firstLineChars="250"/>
        <w:rPr>
          <w:rFonts w:hint="eastAsia" w:ascii="仿宋" w:hAnsi="仿宋" w:eastAsia="仿宋" w:cs="仿宋"/>
          <w:color w:val="auto"/>
          <w:sz w:val="28"/>
          <w:szCs w:val="28"/>
          <w:highlight w:val="none"/>
          <w:u w:val="single"/>
        </w:rPr>
      </w:pPr>
    </w:p>
    <w:tbl>
      <w:tblPr>
        <w:tblStyle w:val="29"/>
        <w:tblW w:w="5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0"/>
      </w:tblGrid>
      <w:tr w14:paraId="6BBE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6" w:hRule="atLeast"/>
          <w:jc w:val="center"/>
        </w:trPr>
        <w:tc>
          <w:tcPr>
            <w:tcW w:w="5780" w:type="dxa"/>
            <w:tcBorders>
              <w:top w:val="single" w:color="auto" w:sz="4" w:space="0"/>
              <w:left w:val="single" w:color="auto" w:sz="4" w:space="0"/>
              <w:bottom w:val="single" w:color="auto" w:sz="4" w:space="0"/>
              <w:right w:val="single" w:color="auto" w:sz="4" w:space="0"/>
            </w:tcBorders>
          </w:tcPr>
          <w:p w14:paraId="614019B1">
            <w:pPr>
              <w:pStyle w:val="45"/>
              <w:spacing w:line="500" w:lineRule="exact"/>
              <w:jc w:val="center"/>
              <w:rPr>
                <w:rFonts w:hint="eastAsia" w:ascii="仿宋" w:hAnsi="仿宋" w:eastAsia="仿宋" w:cs="仿宋"/>
                <w:color w:val="auto"/>
                <w:sz w:val="28"/>
                <w:szCs w:val="28"/>
                <w:highlight w:val="none"/>
              </w:rPr>
            </w:pPr>
          </w:p>
          <w:p w14:paraId="732698A7">
            <w:pPr>
              <w:pStyle w:val="45"/>
              <w:spacing w:line="500" w:lineRule="exact"/>
              <w:jc w:val="center"/>
              <w:rPr>
                <w:rFonts w:hint="eastAsia" w:ascii="仿宋" w:hAnsi="仿宋" w:eastAsia="仿宋" w:cs="仿宋"/>
                <w:color w:val="auto"/>
                <w:sz w:val="28"/>
                <w:szCs w:val="28"/>
                <w:highlight w:val="none"/>
              </w:rPr>
            </w:pPr>
          </w:p>
          <w:p w14:paraId="2ABB3A73">
            <w:pPr>
              <w:pStyle w:val="45"/>
              <w:spacing w:line="50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粘贴被授权人身份证正反面</w:t>
            </w:r>
          </w:p>
        </w:tc>
      </w:tr>
    </w:tbl>
    <w:p w14:paraId="796A2569">
      <w:pPr>
        <w:pStyle w:val="45"/>
        <w:rPr>
          <w:rFonts w:hint="eastAsia" w:ascii="仿宋" w:hAnsi="仿宋" w:eastAsia="仿宋" w:cs="仿宋"/>
          <w:color w:val="auto"/>
          <w:sz w:val="28"/>
          <w:szCs w:val="28"/>
          <w:highlight w:val="none"/>
        </w:rPr>
      </w:pPr>
    </w:p>
    <w:p w14:paraId="782A3224">
      <w:pPr>
        <w:pStyle w:val="28"/>
        <w:ind w:firstLine="431"/>
        <w:rPr>
          <w:rFonts w:hint="eastAsia" w:ascii="仿宋" w:hAnsi="仿宋" w:eastAsia="仿宋" w:cs="仿宋"/>
          <w:color w:val="auto"/>
          <w:sz w:val="28"/>
          <w:szCs w:val="28"/>
          <w:highlight w:val="none"/>
        </w:rPr>
      </w:pPr>
    </w:p>
    <w:p w14:paraId="24B6EDCD">
      <w:pPr>
        <w:rPr>
          <w:rFonts w:hint="eastAsia" w:ascii="仿宋" w:hAnsi="仿宋" w:eastAsia="仿宋" w:cs="仿宋"/>
          <w:b/>
          <w:bCs/>
          <w:color w:val="auto"/>
          <w:sz w:val="28"/>
          <w:szCs w:val="28"/>
          <w:highlight w:val="none"/>
        </w:rPr>
      </w:pPr>
    </w:p>
    <w:p w14:paraId="61648BFA">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br w:type="page"/>
      </w:r>
    </w:p>
    <w:p w14:paraId="18CD9DD4">
      <w:pPr>
        <w:pStyle w:val="56"/>
        <w:widowControl/>
        <w:spacing w:line="400" w:lineRule="exact"/>
        <w:ind w:left="0" w:leftChars="0"/>
        <w:outlineLvl w:val="1"/>
        <w:rPr>
          <w:rFonts w:hint="eastAsia" w:ascii="仿宋" w:hAnsi="仿宋" w:eastAsia="仿宋" w:cs="仿宋"/>
          <w:color w:val="auto"/>
          <w:sz w:val="28"/>
          <w:szCs w:val="28"/>
          <w:highlight w:val="none"/>
        </w:rPr>
      </w:pPr>
      <w:bookmarkStart w:id="150" w:name="_Toc24491"/>
      <w:r>
        <w:rPr>
          <w:rFonts w:hint="eastAsia" w:ascii="仿宋" w:hAnsi="仿宋" w:eastAsia="仿宋" w:cs="仿宋"/>
          <w:b/>
          <w:bCs/>
          <w:color w:val="auto"/>
          <w:sz w:val="28"/>
          <w:szCs w:val="28"/>
          <w:highlight w:val="none"/>
        </w:rPr>
        <w:t>附件四：</w:t>
      </w:r>
      <w:r>
        <w:rPr>
          <w:rFonts w:hint="eastAsia" w:ascii="仿宋" w:hAnsi="仿宋" w:eastAsia="仿宋" w:cs="仿宋"/>
          <w:color w:val="auto"/>
          <w:sz w:val="28"/>
          <w:szCs w:val="28"/>
          <w:highlight w:val="none"/>
        </w:rPr>
        <w:t>投标函</w:t>
      </w:r>
      <w:bookmarkEnd w:id="150"/>
    </w:p>
    <w:p w14:paraId="232C8504">
      <w:pPr>
        <w:pStyle w:val="56"/>
        <w:widowControl/>
        <w:spacing w:line="400" w:lineRule="exact"/>
        <w:ind w:left="0" w:left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p>
    <w:p w14:paraId="7DF7AA5D">
      <w:pPr>
        <w:pStyle w:val="56"/>
        <w:widowControl/>
        <w:spacing w:line="400" w:lineRule="exact"/>
        <w:ind w:left="0" w:left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(投标人名称)授权</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(投标人授权代理人姓名)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(职务、职称)为我方代表，参加贵方组织的</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(项目名称、项目编号)招标的有关活动，并对此项目进行投标。为此：</w:t>
      </w:r>
    </w:p>
    <w:p w14:paraId="214FAFAB">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1、我方同意在本项目招标文件中规定的投标有效期内遵守本投标文件中的承诺且在此期限期满之前均具有约束力。</w:t>
      </w:r>
    </w:p>
    <w:p w14:paraId="0912EC98">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2、我方承诺已经具备《中华人民共和国政府采购法》中规定的参加政府采购活动的供应商应当具备的条件：</w:t>
      </w:r>
    </w:p>
    <w:p w14:paraId="360B42E9">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1）具有独立承担民事责任的能力；</w:t>
      </w:r>
    </w:p>
    <w:p w14:paraId="6912A741">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2）具有良好的商业信誉和健全的财务会计制度；</w:t>
      </w:r>
    </w:p>
    <w:p w14:paraId="0BA754D0">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3）具有履行合同所必需的设备和专业技术能力；</w:t>
      </w:r>
    </w:p>
    <w:p w14:paraId="2D6D6E21">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4）有依法缴纳税收和社会保障资金的良好记录；</w:t>
      </w:r>
    </w:p>
    <w:p w14:paraId="1A00E98C">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5）参加此项采购活动前三年内，在经营活动中没有重大违法记录；</w:t>
      </w:r>
      <w:r>
        <w:rPr>
          <w:rFonts w:hint="eastAsia" w:ascii="仿宋" w:hAnsi="仿宋" w:eastAsia="仿宋" w:cs="仿宋"/>
          <w:color w:val="auto"/>
          <w:sz w:val="28"/>
          <w:szCs w:val="28"/>
          <w:highlight w:val="none"/>
          <w:lang w:val="en-US" w:eastAsia="zh-CN"/>
        </w:rPr>
        <w:tab/>
      </w:r>
      <w:r>
        <w:rPr>
          <w:rFonts w:hint="eastAsia" w:ascii="仿宋" w:hAnsi="仿宋" w:eastAsia="仿宋" w:cs="仿宋"/>
          <w:color w:val="auto"/>
          <w:sz w:val="28"/>
          <w:szCs w:val="28"/>
          <w:highlight w:val="none"/>
        </w:rPr>
        <w:t>6）法律、行政法规规定的其他条件。</w:t>
      </w:r>
    </w:p>
    <w:p w14:paraId="300C58CE">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3、提供投标人须知规定的全部投标文件。</w:t>
      </w:r>
    </w:p>
    <w:p w14:paraId="64B7B279">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4、按招标文件要求提供和交付的货物及相关服务的投标报价详见开标一览表。</w:t>
      </w:r>
    </w:p>
    <w:p w14:paraId="7646AB6A">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5、保证忠实地执行双方所签订的合同，并承担合同规定的责任和义务。</w:t>
      </w:r>
    </w:p>
    <w:p w14:paraId="102AEB16">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6、我方承诺完全满足和响应招标文件中的各项技术和服务要求，若有偏差，已在投标文件偏离表中予以明确特别说明。</w:t>
      </w:r>
    </w:p>
    <w:p w14:paraId="59895BEB">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7、我方承诺：完全理解投标报价若超过项目预算时，投标将被拒绝。</w:t>
      </w:r>
    </w:p>
    <w:p w14:paraId="059837AB">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8、我方承诺：与在本项目中设计编制技术规格的机构及其附属机构无任何直接隶属关系和利益关联。</w:t>
      </w:r>
    </w:p>
    <w:p w14:paraId="3B9C40D0">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9、本项目投标有限期为</w:t>
      </w:r>
      <w:r>
        <w:rPr>
          <w:rFonts w:hint="eastAsia" w:ascii="仿宋" w:hAnsi="仿宋" w:eastAsia="仿宋" w:cs="仿宋"/>
          <w:color w:val="auto"/>
          <w:sz w:val="28"/>
          <w:szCs w:val="28"/>
          <w:highlight w:val="none"/>
          <w:u w:val="single"/>
        </w:rPr>
        <w:t xml:space="preserve"> 60 </w:t>
      </w:r>
      <w:r>
        <w:rPr>
          <w:rFonts w:hint="eastAsia" w:ascii="仿宋" w:hAnsi="仿宋" w:eastAsia="仿宋" w:cs="仿宋"/>
          <w:color w:val="auto"/>
          <w:sz w:val="28"/>
          <w:szCs w:val="28"/>
          <w:highlight w:val="none"/>
        </w:rPr>
        <w:t>日历天，如果在开标后规定的投标有效期内撤回投标，我方的投标保证金可被贵方没收。</w:t>
      </w:r>
    </w:p>
    <w:p w14:paraId="746F2D0C">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10、我方完全理解贵方不一定接受最低价的投标或收到的任何投标。</w:t>
      </w:r>
    </w:p>
    <w:p w14:paraId="68201C1E">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我方承诺：投标文件所提供的一切资料真实、及时、有效。由于我方提供资料不实而造成的责任和后果由我方承担。我方同意按照贵方提出的要求，向贵方提供任何与本项投标有关的数据、情况和技术资料。若贵方需要，我方愿意提供我方作出的一切承诺的证明材料。</w:t>
      </w:r>
    </w:p>
    <w:p w14:paraId="32E3A75B">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12、我方已详细审核全部投标文件，包括投标文件修改书（如有的话）、参考资料及有关附件，确认无误。</w:t>
      </w:r>
    </w:p>
    <w:p w14:paraId="62981C95">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13、我方承诺：采购人若需追加采购本项目招标文件所列货物及相关服务的，在不改变合同其他实质性条款的前提下，按相同或更优惠的折扣率保证供货。</w:t>
      </w:r>
    </w:p>
    <w:p w14:paraId="008D67C2">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14、我方承诺：如所报货物属国家强制认证产品的，均已通过认证且在有效期内，否则，由此产生的一切法律责任由我方承担。</w:t>
      </w:r>
    </w:p>
    <w:p w14:paraId="4BD238F8">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15、我方承诺：接受招标文件中的全部条款且无任何异议，保证遵守招标文件的规定。</w:t>
      </w:r>
    </w:p>
    <w:p w14:paraId="5AE06479">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我方将严格遵守《中华人民共和国政府采购法》的有关规定，若有下列情形之一的，将被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D7B6E37">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1）提供虚假材料谋取中标、成交的；</w:t>
      </w:r>
    </w:p>
    <w:p w14:paraId="33402247">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2）采取不正当手段诋毁、排挤其他供应商的；</w:t>
      </w:r>
    </w:p>
    <w:p w14:paraId="3E6FBFA8">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3）与采购人、其他供应商或者采购代理机构工作人员恶意串通的；</w:t>
      </w:r>
    </w:p>
    <w:p w14:paraId="60185CE8">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4）向采购人、采购代理机构工作人员行贿或者提供其他不正当利益的；</w:t>
      </w:r>
    </w:p>
    <w:p w14:paraId="21B1180F">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5）在采购过程中与采购人进行协商谈判的；</w:t>
      </w:r>
    </w:p>
    <w:p w14:paraId="61ACF632">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6）拒绝有关部门监督检查或提供虚假情况的。</w:t>
      </w:r>
    </w:p>
    <w:p w14:paraId="459851E1">
      <w:pPr>
        <w:pStyle w:val="56"/>
        <w:widowControl/>
        <w:spacing w:line="400" w:lineRule="exact"/>
        <w:ind w:left="0" w:leftChars="0"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17、与本投标</w:t>
      </w:r>
      <w:r>
        <w:rPr>
          <w:rFonts w:hint="eastAsia" w:ascii="仿宋" w:hAnsi="仿宋" w:eastAsia="仿宋" w:cs="仿宋"/>
          <w:color w:val="auto"/>
          <w:sz w:val="28"/>
          <w:szCs w:val="28"/>
          <w:highlight w:val="none"/>
        </w:rPr>
        <w:t>有关的一切往来通讯请寄：</w:t>
      </w:r>
    </w:p>
    <w:p w14:paraId="7F89EBEB">
      <w:pPr>
        <w:pStyle w:val="56"/>
        <w:widowControl/>
        <w:spacing w:line="400" w:lineRule="exact"/>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地址：__________________________________________________</w:t>
      </w:r>
    </w:p>
    <w:p w14:paraId="692C85A3">
      <w:pPr>
        <w:pStyle w:val="56"/>
        <w:widowControl/>
        <w:spacing w:line="400" w:lineRule="exact"/>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邮编：____________　</w:t>
      </w:r>
    </w:p>
    <w:p w14:paraId="6C0FB460">
      <w:pPr>
        <w:pStyle w:val="56"/>
        <w:widowControl/>
        <w:spacing w:line="400" w:lineRule="exact"/>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电话：____________　</w:t>
      </w:r>
    </w:p>
    <w:p w14:paraId="3187B1E0">
      <w:pPr>
        <w:pStyle w:val="56"/>
        <w:widowControl/>
        <w:spacing w:line="400" w:lineRule="exact"/>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投标人法定代表人或授权代理人联系电话，e-mail：</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3DBFA08A">
      <w:pPr>
        <w:pStyle w:val="56"/>
        <w:widowControl/>
        <w:spacing w:line="400" w:lineRule="exact"/>
        <w:ind w:left="0" w:leftChars="0"/>
        <w:rPr>
          <w:rFonts w:hint="eastAsia" w:ascii="仿宋" w:hAnsi="仿宋" w:eastAsia="仿宋" w:cs="仿宋"/>
          <w:color w:val="auto"/>
          <w:sz w:val="28"/>
          <w:szCs w:val="28"/>
          <w:highlight w:val="none"/>
        </w:rPr>
      </w:pPr>
    </w:p>
    <w:p w14:paraId="7B7E9084">
      <w:pPr>
        <w:pStyle w:val="56"/>
        <w:widowControl/>
        <w:spacing w:line="400" w:lineRule="exact"/>
        <w:ind w:left="0" w:leftChars="0"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投标人（公章）：</w:t>
      </w:r>
    </w:p>
    <w:p w14:paraId="417B159C">
      <w:pPr>
        <w:pStyle w:val="56"/>
        <w:widowControl/>
        <w:spacing w:line="400" w:lineRule="exact"/>
        <w:ind w:left="115" w:leftChars="48" w:firstLine="422" w:firstLineChars="15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法定代表人（单位负责人）或其授权委托人（签字或盖章）：</w:t>
      </w:r>
    </w:p>
    <w:p w14:paraId="48D0DBDE">
      <w:pPr>
        <w:pStyle w:val="56"/>
        <w:widowControl/>
        <w:spacing w:line="400" w:lineRule="exact"/>
        <w:ind w:left="0" w:left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t xml:space="preserve"> </w:t>
      </w:r>
      <w:r>
        <w:rPr>
          <w:rFonts w:hint="eastAsia" w:ascii="仿宋" w:hAnsi="仿宋" w:eastAsia="仿宋" w:cs="仿宋"/>
          <w:b/>
          <w:bCs/>
          <w:color w:val="auto"/>
          <w:sz w:val="28"/>
          <w:szCs w:val="28"/>
          <w:highlight w:val="none"/>
        </w:rPr>
        <w:t>日期：    年     月    日</w:t>
      </w:r>
    </w:p>
    <w:p w14:paraId="5E4AA696">
      <w:pPr>
        <w:pStyle w:val="56"/>
        <w:widowControl/>
        <w:spacing w:line="400" w:lineRule="exact"/>
        <w:ind w:left="0" w:leftChars="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说明：除可填报项目外，对本投标函的任何修改将被视为非实质性响应投标，从而导致该投标被拒绝。</w:t>
      </w:r>
    </w:p>
    <w:p w14:paraId="1C98C624">
      <w:pPr>
        <w:outlineLvl w:val="1"/>
        <w:rPr>
          <w:rFonts w:hint="eastAsia" w:ascii="仿宋" w:hAnsi="仿宋" w:eastAsia="仿宋" w:cs="仿宋"/>
          <w:color w:val="auto"/>
          <w:sz w:val="28"/>
          <w:szCs w:val="28"/>
          <w:highlight w:val="none"/>
        </w:rPr>
      </w:pPr>
      <w:bookmarkStart w:id="151" w:name="_Toc15140"/>
    </w:p>
    <w:p w14:paraId="15C19E49">
      <w:pPr>
        <w:outlineLvl w:val="1"/>
        <w:rPr>
          <w:rFonts w:hint="eastAsia" w:ascii="仿宋" w:hAnsi="仿宋" w:eastAsia="仿宋" w:cs="仿宋"/>
          <w:color w:val="auto"/>
          <w:sz w:val="28"/>
          <w:szCs w:val="28"/>
          <w:highlight w:val="none"/>
        </w:rPr>
      </w:pPr>
    </w:p>
    <w:p w14:paraId="22777DB7">
      <w:pPr>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附件五：开标一览表</w:t>
      </w:r>
      <w:bookmarkEnd w:id="151"/>
    </w:p>
    <w:p w14:paraId="5D1E8F66">
      <w:pPr>
        <w:pStyle w:val="58"/>
        <w:spacing w:line="360" w:lineRule="auto"/>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tbl>
      <w:tblPr>
        <w:tblStyle w:val="29"/>
        <w:tblW w:w="92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6"/>
        <w:gridCol w:w="6843"/>
      </w:tblGrid>
      <w:tr w14:paraId="7C5741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2416" w:type="dxa"/>
            <w:tcBorders>
              <w:tl2br w:val="nil"/>
              <w:tr2bl w:val="nil"/>
            </w:tcBorders>
            <w:vAlign w:val="center"/>
          </w:tcPr>
          <w:p w14:paraId="7870258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6843" w:type="dxa"/>
            <w:tcBorders>
              <w:tl2br w:val="nil"/>
              <w:tr2bl w:val="nil"/>
            </w:tcBorders>
            <w:vAlign w:val="center"/>
          </w:tcPr>
          <w:p w14:paraId="015D88D7">
            <w:pPr>
              <w:rPr>
                <w:rFonts w:hint="eastAsia" w:ascii="仿宋" w:hAnsi="仿宋" w:eastAsia="仿宋" w:cs="仿宋"/>
                <w:color w:val="auto"/>
                <w:sz w:val="28"/>
                <w:szCs w:val="28"/>
                <w:highlight w:val="none"/>
              </w:rPr>
            </w:pPr>
          </w:p>
        </w:tc>
      </w:tr>
      <w:tr w14:paraId="545E0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416" w:type="dxa"/>
            <w:tcBorders>
              <w:tl2br w:val="nil"/>
              <w:tr2bl w:val="nil"/>
            </w:tcBorders>
            <w:vAlign w:val="center"/>
          </w:tcPr>
          <w:p w14:paraId="3A87EB5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w:t>
            </w:r>
          </w:p>
        </w:tc>
        <w:tc>
          <w:tcPr>
            <w:tcW w:w="6843" w:type="dxa"/>
            <w:tcBorders>
              <w:tl2br w:val="nil"/>
              <w:tr2bl w:val="nil"/>
            </w:tcBorders>
            <w:vAlign w:val="center"/>
          </w:tcPr>
          <w:p w14:paraId="0B5B9B35">
            <w:pPr>
              <w:rPr>
                <w:rFonts w:hint="eastAsia" w:ascii="仿宋" w:hAnsi="仿宋" w:eastAsia="仿宋" w:cs="仿宋"/>
                <w:color w:val="auto"/>
                <w:sz w:val="28"/>
                <w:szCs w:val="28"/>
                <w:highlight w:val="none"/>
              </w:rPr>
            </w:pPr>
          </w:p>
        </w:tc>
      </w:tr>
      <w:tr w14:paraId="0275D9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7" w:hRule="atLeast"/>
        </w:trPr>
        <w:tc>
          <w:tcPr>
            <w:tcW w:w="2416" w:type="dxa"/>
            <w:tcBorders>
              <w:tl2br w:val="nil"/>
              <w:tr2bl w:val="nil"/>
            </w:tcBorders>
            <w:vAlign w:val="center"/>
          </w:tcPr>
          <w:p w14:paraId="107AB75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投标报价（元）</w:t>
            </w:r>
          </w:p>
        </w:tc>
        <w:tc>
          <w:tcPr>
            <w:tcW w:w="6843" w:type="dxa"/>
            <w:tcBorders>
              <w:tl2br w:val="nil"/>
              <w:tr2bl w:val="nil"/>
            </w:tcBorders>
            <w:vAlign w:val="center"/>
          </w:tcPr>
          <w:p w14:paraId="0830F6FA">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小写：</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 xml:space="preserve"> 元</w:t>
            </w:r>
          </w:p>
          <w:p w14:paraId="724CAC2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   大写：</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none"/>
                <w:lang w:val="en-US" w:eastAsia="zh-CN"/>
              </w:rPr>
              <w:t xml:space="preserve"> 元</w:t>
            </w:r>
          </w:p>
        </w:tc>
      </w:tr>
      <w:tr w14:paraId="5A620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416" w:type="dxa"/>
            <w:tcBorders>
              <w:tl2br w:val="nil"/>
              <w:tr2bl w:val="nil"/>
            </w:tcBorders>
            <w:vAlign w:val="center"/>
          </w:tcPr>
          <w:p w14:paraId="7E23AC93">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合同履行期限</w:t>
            </w:r>
          </w:p>
        </w:tc>
        <w:tc>
          <w:tcPr>
            <w:tcW w:w="6843" w:type="dxa"/>
            <w:tcBorders>
              <w:tl2br w:val="nil"/>
              <w:tr2bl w:val="nil"/>
            </w:tcBorders>
            <w:vAlign w:val="center"/>
          </w:tcPr>
          <w:p w14:paraId="39A06C28">
            <w:pPr>
              <w:rPr>
                <w:rFonts w:hint="eastAsia" w:ascii="仿宋" w:hAnsi="仿宋" w:eastAsia="仿宋" w:cs="仿宋"/>
                <w:color w:val="auto"/>
                <w:sz w:val="28"/>
                <w:szCs w:val="28"/>
                <w:highlight w:val="none"/>
              </w:rPr>
            </w:pPr>
          </w:p>
        </w:tc>
      </w:tr>
      <w:tr w14:paraId="0F50E0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416" w:type="dxa"/>
            <w:tcBorders>
              <w:tl2br w:val="nil"/>
              <w:tr2bl w:val="nil"/>
            </w:tcBorders>
            <w:vAlign w:val="center"/>
          </w:tcPr>
          <w:p w14:paraId="5A73CF4E">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投标有效期</w:t>
            </w:r>
          </w:p>
        </w:tc>
        <w:tc>
          <w:tcPr>
            <w:tcW w:w="6843" w:type="dxa"/>
            <w:tcBorders>
              <w:tl2br w:val="nil"/>
              <w:tr2bl w:val="nil"/>
            </w:tcBorders>
            <w:vAlign w:val="center"/>
          </w:tcPr>
          <w:p w14:paraId="27E4CB1D">
            <w:pPr>
              <w:rPr>
                <w:rFonts w:hint="eastAsia" w:ascii="仿宋" w:hAnsi="仿宋" w:eastAsia="仿宋" w:cs="仿宋"/>
                <w:color w:val="auto"/>
                <w:sz w:val="28"/>
                <w:szCs w:val="28"/>
                <w:highlight w:val="none"/>
              </w:rPr>
            </w:pPr>
          </w:p>
        </w:tc>
      </w:tr>
      <w:tr w14:paraId="7F2C5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2416" w:type="dxa"/>
            <w:tcBorders>
              <w:tl2br w:val="nil"/>
              <w:tr2bl w:val="nil"/>
            </w:tcBorders>
            <w:vAlign w:val="center"/>
          </w:tcPr>
          <w:p w14:paraId="2CD33DD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c>
          <w:tcPr>
            <w:tcW w:w="6843" w:type="dxa"/>
            <w:tcBorders>
              <w:tl2br w:val="nil"/>
              <w:tr2bl w:val="nil"/>
            </w:tcBorders>
            <w:vAlign w:val="center"/>
          </w:tcPr>
          <w:p w14:paraId="3EF95B32">
            <w:pPr>
              <w:rPr>
                <w:rFonts w:hint="eastAsia" w:ascii="仿宋" w:hAnsi="仿宋" w:eastAsia="仿宋" w:cs="仿宋"/>
                <w:color w:val="auto"/>
                <w:sz w:val="28"/>
                <w:szCs w:val="28"/>
                <w:highlight w:val="none"/>
              </w:rPr>
            </w:pPr>
          </w:p>
        </w:tc>
      </w:tr>
    </w:tbl>
    <w:p w14:paraId="62EEC043">
      <w:pPr>
        <w:pStyle w:val="59"/>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说明：1.投标人严格按照规定的格式填写。任何有选择或有条件的投标总价，均将导致投标被拒绝；</w:t>
      </w:r>
    </w:p>
    <w:p w14:paraId="7C52AE5E">
      <w:pPr>
        <w:pStyle w:val="59"/>
        <w:numPr>
          <w:ilvl w:val="0"/>
          <w:numId w:val="12"/>
        </w:num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投标报价应包括招标文件所规定的招标范围的全部内容；</w:t>
      </w:r>
    </w:p>
    <w:p w14:paraId="0AF838CC">
      <w:pPr>
        <w:pStyle w:val="59"/>
        <w:numPr>
          <w:ilvl w:val="0"/>
          <w:numId w:val="12"/>
        </w:num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报价总计包含运费、税费、装卸费、安装调试费等一切相关费。</w:t>
      </w:r>
    </w:p>
    <w:p w14:paraId="6FA7AC45">
      <w:pPr>
        <w:pStyle w:val="59"/>
        <w:spacing w:line="360" w:lineRule="auto"/>
        <w:rPr>
          <w:rFonts w:hint="eastAsia" w:ascii="仿宋" w:hAnsi="仿宋" w:eastAsia="仿宋" w:cs="仿宋"/>
          <w:color w:val="auto"/>
          <w:sz w:val="28"/>
          <w:szCs w:val="28"/>
          <w:highlight w:val="none"/>
        </w:rPr>
      </w:pPr>
    </w:p>
    <w:p w14:paraId="0E88BBD2">
      <w:pPr>
        <w:pStyle w:val="60"/>
        <w:adjustRightInd w:val="0"/>
        <w:snapToGrid w:val="0"/>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投标人名称（公章）：</w:t>
      </w:r>
      <w:r>
        <w:rPr>
          <w:rFonts w:hint="eastAsia" w:ascii="仿宋" w:hAnsi="仿宋" w:eastAsia="仿宋" w:cs="仿宋"/>
          <w:color w:val="auto"/>
          <w:sz w:val="28"/>
          <w:szCs w:val="28"/>
          <w:highlight w:val="none"/>
          <w:u w:val="single"/>
        </w:rPr>
        <w:t xml:space="preserve">                  </w:t>
      </w:r>
    </w:p>
    <w:p w14:paraId="2E9A185E">
      <w:pPr>
        <w:pStyle w:val="60"/>
        <w:adjustRightInd w:val="0"/>
        <w:snapToGrid w:val="0"/>
        <w:spacing w:line="500" w:lineRule="exac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投标人法定代表人或其委托代理人（签字或盖章）：</w:t>
      </w:r>
      <w:r>
        <w:rPr>
          <w:rFonts w:hint="eastAsia" w:ascii="仿宋" w:hAnsi="仿宋" w:eastAsia="仿宋" w:cs="仿宋"/>
          <w:color w:val="auto"/>
          <w:sz w:val="28"/>
          <w:szCs w:val="28"/>
          <w:highlight w:val="none"/>
          <w:u w:val="single"/>
        </w:rPr>
        <w:t xml:space="preserve">                       </w:t>
      </w:r>
    </w:p>
    <w:p w14:paraId="68A5A703">
      <w:pPr>
        <w:pStyle w:val="60"/>
        <w:spacing w:line="5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日</w:t>
      </w:r>
    </w:p>
    <w:bookmarkEnd w:id="127"/>
    <w:bookmarkEnd w:id="128"/>
    <w:bookmarkEnd w:id="129"/>
    <w:bookmarkEnd w:id="130"/>
    <w:bookmarkEnd w:id="131"/>
    <w:bookmarkEnd w:id="132"/>
    <w:p w14:paraId="11F74607">
      <w:pPr>
        <w:pStyle w:val="45"/>
        <w:outlineLvl w:val="1"/>
        <w:rPr>
          <w:rFonts w:hint="eastAsia" w:ascii="仿宋" w:hAnsi="仿宋" w:eastAsia="仿宋" w:cs="仿宋"/>
          <w:b/>
          <w:bCs/>
          <w:color w:val="auto"/>
          <w:kern w:val="0"/>
          <w:sz w:val="28"/>
          <w:szCs w:val="28"/>
          <w:highlight w:val="none"/>
        </w:rPr>
      </w:pPr>
      <w:bookmarkStart w:id="152" w:name="_Toc519111288"/>
      <w:r>
        <w:rPr>
          <w:rFonts w:hint="eastAsia" w:ascii="仿宋" w:hAnsi="仿宋" w:eastAsia="仿宋" w:cs="仿宋"/>
          <w:b/>
          <w:bCs/>
          <w:color w:val="auto"/>
          <w:kern w:val="0"/>
          <w:sz w:val="28"/>
          <w:szCs w:val="28"/>
          <w:highlight w:val="none"/>
        </w:rPr>
        <w:br w:type="page"/>
      </w:r>
    </w:p>
    <w:p w14:paraId="56B4C7E9">
      <w:pPr>
        <w:pStyle w:val="45"/>
        <w:outlineLvl w:val="1"/>
        <w:rPr>
          <w:rFonts w:hint="eastAsia" w:ascii="仿宋" w:hAnsi="仿宋" w:eastAsia="仿宋" w:cs="仿宋"/>
          <w:b/>
          <w:bCs/>
          <w:color w:val="auto"/>
          <w:kern w:val="0"/>
          <w:sz w:val="28"/>
          <w:szCs w:val="28"/>
          <w:highlight w:val="none"/>
        </w:rPr>
      </w:pPr>
    </w:p>
    <w:p w14:paraId="36050844">
      <w:pPr>
        <w:pStyle w:val="45"/>
        <w:outlineLvl w:val="1"/>
        <w:rPr>
          <w:rFonts w:hint="eastAsia" w:ascii="仿宋" w:hAnsi="仿宋" w:eastAsia="仿宋" w:cs="仿宋"/>
          <w:color w:val="auto"/>
          <w:sz w:val="28"/>
          <w:szCs w:val="28"/>
          <w:highlight w:val="none"/>
          <w:lang w:eastAsia="zh-CN"/>
        </w:rPr>
      </w:pPr>
      <w:bookmarkStart w:id="153" w:name="_Toc12318"/>
      <w:r>
        <w:rPr>
          <w:rFonts w:hint="eastAsia" w:ascii="仿宋" w:hAnsi="仿宋" w:eastAsia="仿宋" w:cs="仿宋"/>
          <w:b/>
          <w:bCs/>
          <w:color w:val="auto"/>
          <w:kern w:val="0"/>
          <w:sz w:val="28"/>
          <w:szCs w:val="28"/>
          <w:highlight w:val="none"/>
        </w:rPr>
        <w:t>附件六：</w:t>
      </w:r>
      <w:bookmarkEnd w:id="126"/>
      <w:bookmarkEnd w:id="152"/>
      <w:r>
        <w:rPr>
          <w:rFonts w:hint="eastAsia" w:ascii="仿宋" w:hAnsi="仿宋" w:eastAsia="仿宋" w:cs="仿宋"/>
          <w:color w:val="auto"/>
          <w:sz w:val="28"/>
          <w:szCs w:val="28"/>
          <w:highlight w:val="none"/>
        </w:rPr>
        <w:t>报价明细表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根据采购需求自行编制</w:t>
      </w:r>
      <w:r>
        <w:rPr>
          <w:rFonts w:hint="eastAsia" w:ascii="仿宋" w:hAnsi="仿宋" w:eastAsia="仿宋" w:cs="仿宋"/>
          <w:color w:val="auto"/>
          <w:sz w:val="28"/>
          <w:szCs w:val="28"/>
          <w:highlight w:val="none"/>
          <w:lang w:eastAsia="zh-CN"/>
        </w:rPr>
        <w:t>）</w:t>
      </w:r>
      <w:bookmarkEnd w:id="153"/>
    </w:p>
    <w:p w14:paraId="33A4FA41">
      <w:pPr>
        <w:pStyle w:val="45"/>
        <w:tabs>
          <w:tab w:val="left" w:pos="750"/>
        </w:tabs>
        <w:adjustRightInd w:val="0"/>
        <w:snapToGrid w:val="0"/>
        <w:spacing w:line="500" w:lineRule="exact"/>
        <w:ind w:firstLine="1400" w:firstLineChars="500"/>
        <w:rPr>
          <w:rFonts w:hint="eastAsia" w:ascii="仿宋" w:hAnsi="仿宋" w:eastAsia="仿宋" w:cs="仿宋"/>
          <w:color w:val="auto"/>
          <w:sz w:val="28"/>
          <w:szCs w:val="28"/>
          <w:highlight w:val="none"/>
        </w:rPr>
      </w:pPr>
    </w:p>
    <w:p w14:paraId="5B215EBC">
      <w:pPr>
        <w:pStyle w:val="45"/>
        <w:tabs>
          <w:tab w:val="left" w:pos="750"/>
        </w:tabs>
        <w:adjustRightInd w:val="0"/>
        <w:snapToGrid w:val="0"/>
        <w:spacing w:line="500" w:lineRule="exact"/>
        <w:ind w:firstLine="1400" w:firstLineChars="5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投标人名称（公章）：</w:t>
      </w:r>
      <w:r>
        <w:rPr>
          <w:rFonts w:hint="eastAsia" w:ascii="仿宋" w:hAnsi="仿宋" w:eastAsia="仿宋" w:cs="仿宋"/>
          <w:color w:val="auto"/>
          <w:sz w:val="28"/>
          <w:szCs w:val="28"/>
          <w:highlight w:val="none"/>
          <w:u w:val="single"/>
        </w:rPr>
        <w:t xml:space="preserve">                         </w:t>
      </w:r>
    </w:p>
    <w:p w14:paraId="2A3C4B4F">
      <w:pPr>
        <w:pStyle w:val="45"/>
        <w:tabs>
          <w:tab w:val="left" w:pos="750"/>
        </w:tabs>
        <w:adjustRightInd w:val="0"/>
        <w:snapToGrid w:val="0"/>
        <w:spacing w:line="500" w:lineRule="exact"/>
        <w:ind w:firstLine="840" w:firstLineChars="30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法定代表人（单位负责人）或其授权委托人（签字或盖章） ：</w:t>
      </w:r>
      <w:r>
        <w:rPr>
          <w:rFonts w:hint="eastAsia" w:ascii="仿宋" w:hAnsi="仿宋" w:eastAsia="仿宋" w:cs="仿宋"/>
          <w:color w:val="auto"/>
          <w:sz w:val="28"/>
          <w:szCs w:val="28"/>
          <w:highlight w:val="none"/>
          <w:u w:val="single"/>
        </w:rPr>
        <w:t xml:space="preserve">                  </w:t>
      </w:r>
    </w:p>
    <w:p w14:paraId="6621D696">
      <w:pPr>
        <w:pStyle w:val="45"/>
        <w:tabs>
          <w:tab w:val="left" w:pos="750"/>
        </w:tabs>
        <w:adjustRightInd w:val="0"/>
        <w:snapToGrid w:val="0"/>
        <w:spacing w:line="500" w:lineRule="exact"/>
        <w:ind w:firstLine="840" w:firstLineChars="3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3B321DDF">
      <w:pPr>
        <w:pStyle w:val="28"/>
        <w:ind w:firstLine="431"/>
        <w:rPr>
          <w:rFonts w:hint="eastAsia" w:ascii="仿宋" w:hAnsi="仿宋" w:eastAsia="仿宋" w:cs="仿宋"/>
          <w:color w:val="auto"/>
          <w:sz w:val="28"/>
          <w:szCs w:val="28"/>
          <w:highlight w:val="none"/>
        </w:rPr>
      </w:pPr>
    </w:p>
    <w:p w14:paraId="0CB0C4A3">
      <w:pPr>
        <w:rPr>
          <w:rFonts w:hint="eastAsia" w:ascii="仿宋" w:hAnsi="仿宋" w:eastAsia="仿宋" w:cs="仿宋"/>
          <w:color w:val="auto"/>
          <w:sz w:val="28"/>
          <w:szCs w:val="28"/>
          <w:highlight w:val="none"/>
        </w:rPr>
      </w:pPr>
      <w:bookmarkStart w:id="154" w:name="_Toc501460791"/>
      <w:bookmarkStart w:id="155" w:name="_Toc13251"/>
      <w:r>
        <w:rPr>
          <w:rFonts w:hint="eastAsia" w:ascii="仿宋" w:hAnsi="仿宋" w:eastAsia="仿宋" w:cs="仿宋"/>
          <w:color w:val="auto"/>
          <w:sz w:val="28"/>
          <w:szCs w:val="28"/>
          <w:highlight w:val="none"/>
        </w:rPr>
        <w:br w:type="page"/>
      </w:r>
    </w:p>
    <w:p w14:paraId="747465C5">
      <w:pPr>
        <w:pStyle w:val="63"/>
        <w:outlineLvl w:val="1"/>
        <w:rPr>
          <w:rFonts w:hint="eastAsia" w:ascii="仿宋" w:hAnsi="仿宋" w:eastAsia="仿宋" w:cs="仿宋"/>
          <w:b w:val="0"/>
          <w:bCs/>
          <w:color w:val="auto"/>
          <w:sz w:val="28"/>
          <w:szCs w:val="28"/>
          <w:highlight w:val="none"/>
        </w:rPr>
      </w:pPr>
      <w:bookmarkStart w:id="156" w:name="_Toc8555"/>
      <w:r>
        <w:rPr>
          <w:rFonts w:hint="eastAsia" w:ascii="仿宋" w:hAnsi="仿宋" w:eastAsia="仿宋" w:cs="仿宋"/>
          <w:bCs/>
          <w:color w:val="auto"/>
          <w:sz w:val="28"/>
          <w:szCs w:val="28"/>
          <w:highlight w:val="none"/>
        </w:rPr>
        <w:t>附件七：</w:t>
      </w:r>
      <w:r>
        <w:rPr>
          <w:rFonts w:hint="eastAsia" w:ascii="仿宋" w:hAnsi="仿宋" w:eastAsia="仿宋" w:cs="仿宋"/>
          <w:b w:val="0"/>
          <w:bCs/>
          <w:color w:val="auto"/>
          <w:sz w:val="28"/>
          <w:szCs w:val="28"/>
          <w:highlight w:val="none"/>
        </w:rPr>
        <w:t>商务、技术条款偏离表</w:t>
      </w:r>
      <w:bookmarkEnd w:id="154"/>
      <w:bookmarkEnd w:id="155"/>
      <w:bookmarkEnd w:id="156"/>
    </w:p>
    <w:tbl>
      <w:tblPr>
        <w:tblStyle w:val="29"/>
        <w:tblW w:w="6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2333"/>
        <w:gridCol w:w="2581"/>
        <w:gridCol w:w="1209"/>
      </w:tblGrid>
      <w:tr w14:paraId="1E3A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800" w:type="dxa"/>
            <w:vAlign w:val="center"/>
          </w:tcPr>
          <w:p w14:paraId="30713E7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2333" w:type="dxa"/>
            <w:vAlign w:val="center"/>
          </w:tcPr>
          <w:p w14:paraId="0377081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招标文件章节及条款号</w:t>
            </w:r>
          </w:p>
        </w:tc>
        <w:tc>
          <w:tcPr>
            <w:tcW w:w="2581" w:type="dxa"/>
            <w:vAlign w:val="center"/>
          </w:tcPr>
          <w:p w14:paraId="087D590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投标文件章节及条款号</w:t>
            </w:r>
          </w:p>
        </w:tc>
        <w:tc>
          <w:tcPr>
            <w:tcW w:w="1209" w:type="dxa"/>
            <w:vAlign w:val="center"/>
          </w:tcPr>
          <w:p w14:paraId="4BCD4E1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偏差说明</w:t>
            </w:r>
          </w:p>
        </w:tc>
      </w:tr>
      <w:tr w14:paraId="774B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0" w:type="dxa"/>
            <w:vAlign w:val="bottom"/>
          </w:tcPr>
          <w:p w14:paraId="47B0EF7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2333" w:type="dxa"/>
            <w:vAlign w:val="bottom"/>
          </w:tcPr>
          <w:p w14:paraId="69E04734">
            <w:pPr>
              <w:rPr>
                <w:rFonts w:hint="eastAsia" w:ascii="仿宋" w:hAnsi="仿宋" w:eastAsia="仿宋" w:cs="仿宋"/>
                <w:color w:val="auto"/>
                <w:sz w:val="28"/>
                <w:szCs w:val="28"/>
                <w:highlight w:val="none"/>
              </w:rPr>
            </w:pPr>
          </w:p>
        </w:tc>
        <w:tc>
          <w:tcPr>
            <w:tcW w:w="2581" w:type="dxa"/>
            <w:vAlign w:val="bottom"/>
          </w:tcPr>
          <w:p w14:paraId="5C1889F4">
            <w:pPr>
              <w:rPr>
                <w:rFonts w:hint="eastAsia" w:ascii="仿宋" w:hAnsi="仿宋" w:eastAsia="仿宋" w:cs="仿宋"/>
                <w:color w:val="auto"/>
                <w:sz w:val="28"/>
                <w:szCs w:val="28"/>
                <w:highlight w:val="none"/>
              </w:rPr>
            </w:pPr>
          </w:p>
        </w:tc>
        <w:tc>
          <w:tcPr>
            <w:tcW w:w="1209" w:type="dxa"/>
            <w:vAlign w:val="bottom"/>
          </w:tcPr>
          <w:p w14:paraId="34713D58">
            <w:pPr>
              <w:rPr>
                <w:rFonts w:hint="eastAsia" w:ascii="仿宋" w:hAnsi="仿宋" w:eastAsia="仿宋" w:cs="仿宋"/>
                <w:color w:val="auto"/>
                <w:sz w:val="28"/>
                <w:szCs w:val="28"/>
                <w:highlight w:val="none"/>
              </w:rPr>
            </w:pPr>
          </w:p>
        </w:tc>
      </w:tr>
      <w:tr w14:paraId="68F3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0" w:type="dxa"/>
            <w:vAlign w:val="bottom"/>
          </w:tcPr>
          <w:p w14:paraId="1768293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2333" w:type="dxa"/>
            <w:vAlign w:val="bottom"/>
          </w:tcPr>
          <w:p w14:paraId="120236AB">
            <w:pPr>
              <w:rPr>
                <w:rFonts w:hint="eastAsia" w:ascii="仿宋" w:hAnsi="仿宋" w:eastAsia="仿宋" w:cs="仿宋"/>
                <w:color w:val="auto"/>
                <w:sz w:val="28"/>
                <w:szCs w:val="28"/>
                <w:highlight w:val="none"/>
              </w:rPr>
            </w:pPr>
          </w:p>
        </w:tc>
        <w:tc>
          <w:tcPr>
            <w:tcW w:w="2581" w:type="dxa"/>
            <w:vAlign w:val="bottom"/>
          </w:tcPr>
          <w:p w14:paraId="79F7F21E">
            <w:pPr>
              <w:rPr>
                <w:rFonts w:hint="eastAsia" w:ascii="仿宋" w:hAnsi="仿宋" w:eastAsia="仿宋" w:cs="仿宋"/>
                <w:color w:val="auto"/>
                <w:sz w:val="28"/>
                <w:szCs w:val="28"/>
                <w:highlight w:val="none"/>
              </w:rPr>
            </w:pPr>
          </w:p>
        </w:tc>
        <w:tc>
          <w:tcPr>
            <w:tcW w:w="1209" w:type="dxa"/>
            <w:vAlign w:val="bottom"/>
          </w:tcPr>
          <w:p w14:paraId="38106B59">
            <w:pPr>
              <w:rPr>
                <w:rFonts w:hint="eastAsia" w:ascii="仿宋" w:hAnsi="仿宋" w:eastAsia="仿宋" w:cs="仿宋"/>
                <w:color w:val="auto"/>
                <w:sz w:val="28"/>
                <w:szCs w:val="28"/>
                <w:highlight w:val="none"/>
              </w:rPr>
            </w:pPr>
          </w:p>
        </w:tc>
      </w:tr>
      <w:tr w14:paraId="0229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0" w:type="dxa"/>
            <w:vAlign w:val="bottom"/>
          </w:tcPr>
          <w:p w14:paraId="50F88CE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2333" w:type="dxa"/>
            <w:vAlign w:val="bottom"/>
          </w:tcPr>
          <w:p w14:paraId="6A416914">
            <w:pPr>
              <w:rPr>
                <w:rFonts w:hint="eastAsia" w:ascii="仿宋" w:hAnsi="仿宋" w:eastAsia="仿宋" w:cs="仿宋"/>
                <w:color w:val="auto"/>
                <w:sz w:val="28"/>
                <w:szCs w:val="28"/>
                <w:highlight w:val="none"/>
              </w:rPr>
            </w:pPr>
          </w:p>
        </w:tc>
        <w:tc>
          <w:tcPr>
            <w:tcW w:w="2581" w:type="dxa"/>
            <w:vAlign w:val="bottom"/>
          </w:tcPr>
          <w:p w14:paraId="6A692032">
            <w:pPr>
              <w:rPr>
                <w:rFonts w:hint="eastAsia" w:ascii="仿宋" w:hAnsi="仿宋" w:eastAsia="仿宋" w:cs="仿宋"/>
                <w:color w:val="auto"/>
                <w:sz w:val="28"/>
                <w:szCs w:val="28"/>
                <w:highlight w:val="none"/>
              </w:rPr>
            </w:pPr>
          </w:p>
        </w:tc>
        <w:tc>
          <w:tcPr>
            <w:tcW w:w="1209" w:type="dxa"/>
            <w:vAlign w:val="bottom"/>
          </w:tcPr>
          <w:p w14:paraId="5E0508A3">
            <w:pPr>
              <w:rPr>
                <w:rFonts w:hint="eastAsia" w:ascii="仿宋" w:hAnsi="仿宋" w:eastAsia="仿宋" w:cs="仿宋"/>
                <w:color w:val="auto"/>
                <w:sz w:val="28"/>
                <w:szCs w:val="28"/>
                <w:highlight w:val="none"/>
              </w:rPr>
            </w:pPr>
          </w:p>
        </w:tc>
      </w:tr>
      <w:tr w14:paraId="7A27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0" w:type="dxa"/>
            <w:vAlign w:val="bottom"/>
          </w:tcPr>
          <w:p w14:paraId="01A2D664">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2333" w:type="dxa"/>
            <w:vAlign w:val="bottom"/>
          </w:tcPr>
          <w:p w14:paraId="5F0768A2">
            <w:pPr>
              <w:rPr>
                <w:rFonts w:hint="eastAsia" w:ascii="仿宋" w:hAnsi="仿宋" w:eastAsia="仿宋" w:cs="仿宋"/>
                <w:color w:val="auto"/>
                <w:sz w:val="28"/>
                <w:szCs w:val="28"/>
                <w:highlight w:val="none"/>
              </w:rPr>
            </w:pPr>
          </w:p>
        </w:tc>
        <w:tc>
          <w:tcPr>
            <w:tcW w:w="2581" w:type="dxa"/>
            <w:vAlign w:val="bottom"/>
          </w:tcPr>
          <w:p w14:paraId="3A46096E">
            <w:pPr>
              <w:rPr>
                <w:rFonts w:hint="eastAsia" w:ascii="仿宋" w:hAnsi="仿宋" w:eastAsia="仿宋" w:cs="仿宋"/>
                <w:color w:val="auto"/>
                <w:sz w:val="28"/>
                <w:szCs w:val="28"/>
                <w:highlight w:val="none"/>
              </w:rPr>
            </w:pPr>
          </w:p>
        </w:tc>
        <w:tc>
          <w:tcPr>
            <w:tcW w:w="1209" w:type="dxa"/>
            <w:vAlign w:val="bottom"/>
          </w:tcPr>
          <w:p w14:paraId="2BE48DFD">
            <w:pPr>
              <w:rPr>
                <w:rFonts w:hint="eastAsia" w:ascii="仿宋" w:hAnsi="仿宋" w:eastAsia="仿宋" w:cs="仿宋"/>
                <w:color w:val="auto"/>
                <w:sz w:val="28"/>
                <w:szCs w:val="28"/>
                <w:highlight w:val="none"/>
              </w:rPr>
            </w:pPr>
          </w:p>
        </w:tc>
      </w:tr>
      <w:tr w14:paraId="4B29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0" w:type="dxa"/>
            <w:vAlign w:val="bottom"/>
          </w:tcPr>
          <w:p w14:paraId="6985B58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2333" w:type="dxa"/>
            <w:vAlign w:val="bottom"/>
          </w:tcPr>
          <w:p w14:paraId="4991D715">
            <w:pPr>
              <w:rPr>
                <w:rFonts w:hint="eastAsia" w:ascii="仿宋" w:hAnsi="仿宋" w:eastAsia="仿宋" w:cs="仿宋"/>
                <w:color w:val="auto"/>
                <w:sz w:val="28"/>
                <w:szCs w:val="28"/>
                <w:highlight w:val="none"/>
              </w:rPr>
            </w:pPr>
          </w:p>
        </w:tc>
        <w:tc>
          <w:tcPr>
            <w:tcW w:w="2581" w:type="dxa"/>
            <w:vAlign w:val="bottom"/>
          </w:tcPr>
          <w:p w14:paraId="7AF50EB3">
            <w:pPr>
              <w:rPr>
                <w:rFonts w:hint="eastAsia" w:ascii="仿宋" w:hAnsi="仿宋" w:eastAsia="仿宋" w:cs="仿宋"/>
                <w:color w:val="auto"/>
                <w:sz w:val="28"/>
                <w:szCs w:val="28"/>
                <w:highlight w:val="none"/>
              </w:rPr>
            </w:pPr>
          </w:p>
        </w:tc>
        <w:tc>
          <w:tcPr>
            <w:tcW w:w="1209" w:type="dxa"/>
            <w:vAlign w:val="bottom"/>
          </w:tcPr>
          <w:p w14:paraId="2641F392">
            <w:pPr>
              <w:rPr>
                <w:rFonts w:hint="eastAsia" w:ascii="仿宋" w:hAnsi="仿宋" w:eastAsia="仿宋" w:cs="仿宋"/>
                <w:color w:val="auto"/>
                <w:sz w:val="28"/>
                <w:szCs w:val="28"/>
                <w:highlight w:val="none"/>
              </w:rPr>
            </w:pPr>
          </w:p>
        </w:tc>
      </w:tr>
      <w:tr w14:paraId="46FF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0" w:type="dxa"/>
            <w:vAlign w:val="bottom"/>
          </w:tcPr>
          <w:p w14:paraId="24C22FF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2333" w:type="dxa"/>
            <w:vAlign w:val="bottom"/>
          </w:tcPr>
          <w:p w14:paraId="48B787A0">
            <w:pPr>
              <w:rPr>
                <w:rFonts w:hint="eastAsia" w:ascii="仿宋" w:hAnsi="仿宋" w:eastAsia="仿宋" w:cs="仿宋"/>
                <w:color w:val="auto"/>
                <w:sz w:val="28"/>
                <w:szCs w:val="28"/>
                <w:highlight w:val="none"/>
              </w:rPr>
            </w:pPr>
          </w:p>
        </w:tc>
        <w:tc>
          <w:tcPr>
            <w:tcW w:w="2581" w:type="dxa"/>
            <w:vAlign w:val="bottom"/>
          </w:tcPr>
          <w:p w14:paraId="43DADDFD">
            <w:pPr>
              <w:rPr>
                <w:rFonts w:hint="eastAsia" w:ascii="仿宋" w:hAnsi="仿宋" w:eastAsia="仿宋" w:cs="仿宋"/>
                <w:color w:val="auto"/>
                <w:sz w:val="28"/>
                <w:szCs w:val="28"/>
                <w:highlight w:val="none"/>
              </w:rPr>
            </w:pPr>
          </w:p>
        </w:tc>
        <w:tc>
          <w:tcPr>
            <w:tcW w:w="1209" w:type="dxa"/>
            <w:vAlign w:val="bottom"/>
          </w:tcPr>
          <w:p w14:paraId="3E831D15">
            <w:pPr>
              <w:rPr>
                <w:rFonts w:hint="eastAsia" w:ascii="仿宋" w:hAnsi="仿宋" w:eastAsia="仿宋" w:cs="仿宋"/>
                <w:color w:val="auto"/>
                <w:sz w:val="28"/>
                <w:szCs w:val="28"/>
                <w:highlight w:val="none"/>
              </w:rPr>
            </w:pPr>
          </w:p>
        </w:tc>
      </w:tr>
    </w:tbl>
    <w:p w14:paraId="56597BC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投标人保证：除上表列出的偏差外，投标人响应招标文件的全部要求。</w:t>
      </w:r>
    </w:p>
    <w:p w14:paraId="41EEC78E">
      <w:pPr>
        <w:pStyle w:val="62"/>
        <w:spacing w:line="360" w:lineRule="auto"/>
        <w:ind w:right="480"/>
        <w:rPr>
          <w:rFonts w:hint="eastAsia" w:ascii="仿宋" w:hAnsi="仿宋" w:eastAsia="仿宋" w:cs="仿宋"/>
          <w:color w:val="auto"/>
          <w:sz w:val="28"/>
          <w:szCs w:val="28"/>
          <w:highlight w:val="none"/>
        </w:rPr>
      </w:pPr>
    </w:p>
    <w:p w14:paraId="006A5DE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企业名称（公章）：</w:t>
      </w:r>
    </w:p>
    <w:p w14:paraId="0BA0BC5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p>
    <w:p w14:paraId="3066E8AB">
      <w:pPr>
        <w:pStyle w:val="62"/>
        <w:spacing w:line="360" w:lineRule="auto"/>
        <w:ind w:right="480"/>
        <w:rPr>
          <w:rFonts w:hint="eastAsia" w:ascii="仿宋" w:hAnsi="仿宋" w:eastAsia="仿宋" w:cs="仿宋"/>
          <w:color w:val="auto"/>
          <w:sz w:val="28"/>
          <w:szCs w:val="28"/>
          <w:highlight w:val="none"/>
        </w:rPr>
      </w:pPr>
    </w:p>
    <w:p w14:paraId="44935E2E">
      <w:pPr>
        <w:pStyle w:val="62"/>
        <w:spacing w:line="360" w:lineRule="auto"/>
        <w:ind w:right="480"/>
        <w:rPr>
          <w:rFonts w:hint="eastAsia" w:ascii="仿宋" w:hAnsi="仿宋" w:eastAsia="仿宋" w:cs="仿宋"/>
          <w:color w:val="auto"/>
          <w:sz w:val="28"/>
          <w:szCs w:val="28"/>
          <w:highlight w:val="none"/>
        </w:rPr>
      </w:pPr>
    </w:p>
    <w:p w14:paraId="6490ED8A">
      <w:pPr>
        <w:pStyle w:val="62"/>
        <w:spacing w:line="360" w:lineRule="auto"/>
        <w:ind w:right="480"/>
        <w:rPr>
          <w:rFonts w:hint="eastAsia" w:ascii="仿宋" w:hAnsi="仿宋" w:eastAsia="仿宋" w:cs="仿宋"/>
          <w:color w:val="auto"/>
          <w:sz w:val="28"/>
          <w:szCs w:val="28"/>
          <w:highlight w:val="none"/>
        </w:rPr>
      </w:pPr>
    </w:p>
    <w:p w14:paraId="26F5B761">
      <w:pPr>
        <w:pStyle w:val="62"/>
        <w:spacing w:line="360" w:lineRule="auto"/>
        <w:ind w:right="480"/>
        <w:rPr>
          <w:rFonts w:hint="eastAsia" w:ascii="仿宋" w:hAnsi="仿宋" w:eastAsia="仿宋" w:cs="仿宋"/>
          <w:color w:val="auto"/>
          <w:sz w:val="28"/>
          <w:szCs w:val="28"/>
          <w:highlight w:val="none"/>
        </w:rPr>
      </w:pPr>
    </w:p>
    <w:p w14:paraId="3B88BB76">
      <w:pPr>
        <w:rPr>
          <w:rFonts w:hint="eastAsia" w:ascii="仿宋" w:hAnsi="仿宋" w:eastAsia="仿宋" w:cs="仿宋"/>
          <w:bCs/>
          <w:color w:val="auto"/>
          <w:sz w:val="28"/>
          <w:szCs w:val="28"/>
          <w:highlight w:val="none"/>
        </w:rPr>
      </w:pPr>
      <w:bookmarkStart w:id="157" w:name="_Toc18115"/>
      <w:r>
        <w:rPr>
          <w:rFonts w:hint="eastAsia" w:ascii="仿宋" w:hAnsi="仿宋" w:eastAsia="仿宋" w:cs="仿宋"/>
          <w:bCs/>
          <w:color w:val="auto"/>
          <w:sz w:val="28"/>
          <w:szCs w:val="28"/>
          <w:highlight w:val="none"/>
        </w:rPr>
        <w:br w:type="page"/>
      </w:r>
    </w:p>
    <w:p w14:paraId="440EB2E3">
      <w:pPr>
        <w:ind w:firstLine="560" w:firstLineChars="200"/>
        <w:jc w:val="center"/>
        <w:outlineLvl w:val="1"/>
        <w:rPr>
          <w:rFonts w:hint="eastAsia" w:ascii="宋体" w:hAnsi="宋体" w:eastAsia="宋体" w:cs="宋体"/>
          <w:color w:val="auto"/>
          <w:sz w:val="28"/>
          <w:szCs w:val="28"/>
          <w:highlight w:val="none"/>
        </w:rPr>
      </w:pPr>
      <w:bookmarkStart w:id="158" w:name="_Toc27010"/>
      <w:r>
        <w:rPr>
          <w:rFonts w:hint="eastAsia" w:ascii="仿宋" w:hAnsi="仿宋" w:eastAsia="仿宋" w:cs="仿宋"/>
          <w:bCs/>
          <w:color w:val="auto"/>
          <w:sz w:val="28"/>
          <w:szCs w:val="28"/>
          <w:highlight w:val="none"/>
        </w:rPr>
        <w:t>附件八：</w:t>
      </w:r>
      <w:bookmarkEnd w:id="157"/>
      <w:bookmarkStart w:id="159" w:name="_Toc26894"/>
      <w:r>
        <w:rPr>
          <w:rFonts w:hint="eastAsia" w:ascii="宋体" w:hAnsi="宋体" w:eastAsia="宋体" w:cs="宋体"/>
          <w:color w:val="auto"/>
          <w:sz w:val="28"/>
          <w:szCs w:val="28"/>
          <w:highlight w:val="none"/>
        </w:rPr>
        <w:t>中小企业声明函（货物）</w:t>
      </w:r>
      <w:bookmarkEnd w:id="158"/>
    </w:p>
    <w:p w14:paraId="020A16B6">
      <w:pPr>
        <w:ind w:firstLine="480" w:firstLineChars="200"/>
        <w:jc w:val="center"/>
        <w:rPr>
          <w:rFonts w:hint="eastAsia" w:ascii="宋体" w:hAnsi="宋体" w:eastAsia="宋体" w:cs="宋体"/>
          <w:color w:val="auto"/>
          <w:sz w:val="28"/>
          <w:szCs w:val="28"/>
          <w:highlight w:val="none"/>
        </w:rPr>
      </w:pPr>
      <w:r>
        <w:rPr>
          <w:rFonts w:hint="eastAsia" w:ascii="宋体" w:hAnsi="宋体" w:eastAsia="宋体" w:cs="宋体"/>
          <w:b w:val="0"/>
          <w:bCs/>
          <w:color w:val="auto"/>
          <w:highlight w:val="none"/>
          <w:lang w:val="en-US" w:eastAsia="zh-CN"/>
        </w:rPr>
        <w:t>（若有）</w:t>
      </w:r>
    </w:p>
    <w:p w14:paraId="08999FD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 郑重声明，根据《政府采购促进中小企业发展管理办法》（财库﹝ 2020﹞46号）的规定，本公司（联合体） 参加</w:t>
      </w:r>
      <w:r>
        <w:rPr>
          <w:rFonts w:hint="eastAsia" w:ascii="宋体" w:hAnsi="宋体" w:cs="宋体"/>
          <w:color w:val="auto"/>
          <w:sz w:val="24"/>
          <w:szCs w:val="24"/>
          <w:highlight w:val="none"/>
          <w:u w:val="single"/>
          <w:lang w:val="en-US" w:eastAsia="zh-CN"/>
        </w:rPr>
        <w:t>新疆智能装备研究院</w:t>
      </w:r>
      <w:r>
        <w:rPr>
          <w:rFonts w:hint="eastAsia" w:ascii="宋体" w:hAnsi="宋体" w:eastAsia="宋体" w:cs="宋体"/>
          <w:color w:val="auto"/>
          <w:sz w:val="24"/>
          <w:szCs w:val="24"/>
          <w:highlight w:val="none"/>
        </w:rPr>
        <w:t xml:space="preserve"> 的</w:t>
      </w:r>
      <w:r>
        <w:rPr>
          <w:rFonts w:hint="eastAsia" w:ascii="宋体" w:hAnsi="宋体" w:cs="宋体"/>
          <w:color w:val="auto"/>
          <w:sz w:val="24"/>
          <w:szCs w:val="24"/>
          <w:highlight w:val="none"/>
          <w:u w:val="single"/>
          <w:lang w:eastAsia="zh-CN"/>
        </w:rPr>
        <w:t>露天矿挖机-矿卡智能交互与协同装载关键技术研究项目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2F77356F">
      <w:pPr>
        <w:numPr>
          <w:ilvl w:val="0"/>
          <w:numId w:val="13"/>
        </w:numPr>
        <w:spacing w:line="360" w:lineRule="auto"/>
        <w:ind w:left="0" w:leftChars="0" w:firstLine="40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（标的名称 ）</w:t>
      </w:r>
      <w:r>
        <w:rPr>
          <w:rFonts w:hint="eastAsia" w:ascii="宋体" w:hAnsi="宋体" w:eastAsia="宋体" w:cs="宋体"/>
          <w:color w:val="auto"/>
          <w:sz w:val="24"/>
          <w:szCs w:val="24"/>
          <w:highlight w:val="none"/>
        </w:rPr>
        <w:t xml:space="preserve"> ，属于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（所属行业）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行业</w:t>
      </w:r>
      <w:r>
        <w:rPr>
          <w:rFonts w:hint="eastAsia" w:ascii="宋体" w:hAnsi="宋体" w:eastAsia="宋体" w:cs="宋体"/>
          <w:color w:val="auto"/>
          <w:sz w:val="24"/>
          <w:szCs w:val="24"/>
          <w:highlight w:val="none"/>
        </w:rPr>
        <w:t>；制造商为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 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 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30BB30DD">
      <w:pPr>
        <w:numPr>
          <w:ilvl w:val="0"/>
          <w:numId w:val="13"/>
        </w:numPr>
        <w:spacing w:line="360" w:lineRule="auto"/>
        <w:ind w:left="0" w:leftChars="0" w:firstLine="40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 标的名称 ）</w:t>
      </w:r>
      <w:r>
        <w:rPr>
          <w:rFonts w:hint="eastAsia" w:ascii="宋体" w:hAnsi="宋体" w:eastAsia="宋体" w:cs="宋体"/>
          <w:color w:val="auto"/>
          <w:sz w:val="24"/>
          <w:szCs w:val="24"/>
          <w:highlight w:val="none"/>
        </w:rPr>
        <w:t xml:space="preserve"> ，属于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（所属行业）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行业</w:t>
      </w:r>
      <w:r>
        <w:rPr>
          <w:rFonts w:hint="eastAsia" w:ascii="宋体" w:hAnsi="宋体" w:eastAsia="宋体" w:cs="宋体"/>
          <w:color w:val="auto"/>
          <w:sz w:val="24"/>
          <w:szCs w:val="24"/>
          <w:highlight w:val="none"/>
        </w:rPr>
        <w:t>；制造商为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 小型企业、微型企业）</w:t>
      </w:r>
      <w:r>
        <w:rPr>
          <w:rFonts w:hint="eastAsia" w:ascii="宋体" w:hAnsi="宋体" w:eastAsia="宋体" w:cs="宋体"/>
          <w:color w:val="auto"/>
          <w:sz w:val="24"/>
          <w:szCs w:val="24"/>
          <w:highlight w:val="none"/>
        </w:rPr>
        <w:t>；</w:t>
      </w:r>
    </w:p>
    <w:p w14:paraId="2E2C423F">
      <w:pPr>
        <w:spacing w:line="360" w:lineRule="auto"/>
        <w:ind w:firstLine="480" w:firstLineChars="200"/>
        <w:rPr>
          <w:rFonts w:hint="default"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w:t>
      </w:r>
    </w:p>
    <w:p w14:paraId="43514D8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 不属于大企业的分支机构， 不存在控股股东为大企业的情形， 也不存在与大企业的负责人为同一人的情形。</w:t>
      </w:r>
    </w:p>
    <w:p w14:paraId="6D05F6B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 如有虚假， 将依法承担相应责任。</w:t>
      </w:r>
    </w:p>
    <w:p w14:paraId="4C67E5DB">
      <w:pPr>
        <w:wordWrap w:val="0"/>
        <w:spacing w:line="360" w:lineRule="auto"/>
        <w:ind w:firstLine="480" w:firstLineChars="200"/>
        <w:jc w:val="right"/>
        <w:rPr>
          <w:rFonts w:hint="eastAsia" w:ascii="宋体" w:hAnsi="宋体" w:eastAsia="宋体" w:cs="宋体"/>
          <w:color w:val="auto"/>
          <w:sz w:val="24"/>
          <w:szCs w:val="24"/>
          <w:highlight w:val="none"/>
        </w:rPr>
      </w:pPr>
    </w:p>
    <w:p w14:paraId="384E3641">
      <w:pPr>
        <w:wordWrap w:val="0"/>
        <w:spacing w:line="360" w:lineRule="auto"/>
        <w:ind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企业名称（盖章）：        </w:t>
      </w:r>
    </w:p>
    <w:p w14:paraId="193D748B">
      <w:pPr>
        <w:wordWrap w:val="0"/>
        <w:spacing w:line="360" w:lineRule="auto"/>
        <w:ind w:right="480"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 期：         </w:t>
      </w:r>
    </w:p>
    <w:p w14:paraId="022C5C4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从业人员、 营业收入、 资产总额填报上一年度数据， 无上一年度数据的新成立企业可不填报。</w:t>
      </w:r>
    </w:p>
    <w:p w14:paraId="3291ECEE">
      <w:pPr>
        <w:keepNext w:val="0"/>
        <w:keepLines w:val="0"/>
        <w:pageBreakBefore w:val="0"/>
        <w:widowControl/>
        <w:suppressLineNumbers w:val="0"/>
        <w:kinsoku/>
        <w:wordWrap/>
        <w:overflowPunct/>
        <w:topLinePunct w:val="0"/>
        <w:bidi w:val="0"/>
        <w:adjustRightInd/>
        <w:snapToGrid/>
        <w:spacing w:line="500" w:lineRule="exact"/>
        <w:jc w:val="both"/>
        <w:textAlignment w:val="auto"/>
        <w:rPr>
          <w:rFonts w:hint="eastAsia" w:ascii="仿宋" w:hAnsi="仿宋" w:eastAsia="仿宋" w:cs="仿宋"/>
          <w:b/>
          <w:bCs/>
          <w:color w:val="auto"/>
          <w:spacing w:val="-2"/>
          <w:kern w:val="2"/>
          <w:sz w:val="21"/>
          <w:szCs w:val="21"/>
          <w:highlight w:val="none"/>
          <w:lang w:val="en-US" w:eastAsia="zh-CN" w:bidi="zh-CN"/>
        </w:rPr>
      </w:pPr>
      <w:r>
        <w:rPr>
          <w:rFonts w:hint="eastAsia" w:ascii="宋体" w:hAnsi="宋体" w:eastAsia="宋体" w:cs="宋体"/>
          <w:color w:val="auto"/>
          <w:sz w:val="24"/>
          <w:szCs w:val="24"/>
          <w:highlight w:val="none"/>
        </w:rPr>
        <w:t>（若投标文件中无上述文件，则在评审时不考虑对该小、微企业的相关优惠。）</w:t>
      </w:r>
    </w:p>
    <w:p w14:paraId="6CDFEE19">
      <w:pPr>
        <w:pStyle w:val="63"/>
        <w:outlineLvl w:val="1"/>
        <w:rPr>
          <w:rFonts w:hint="eastAsia" w:ascii="仿宋" w:hAnsi="仿宋" w:eastAsia="仿宋" w:cs="仿宋"/>
          <w:color w:val="auto"/>
          <w:spacing w:val="6"/>
          <w:sz w:val="28"/>
          <w:szCs w:val="28"/>
          <w:highlight w:val="none"/>
        </w:rPr>
      </w:pPr>
      <w:r>
        <w:rPr>
          <w:rFonts w:hint="eastAsia" w:ascii="宋体" w:hAnsi="宋体" w:eastAsia="宋体" w:cs="宋体"/>
          <w:bCs/>
          <w:color w:val="auto"/>
          <w:szCs w:val="32"/>
          <w:highlight w:val="none"/>
          <w:lang w:val="en-US" w:eastAsia="zh-CN"/>
        </w:rPr>
        <w:br w:type="page"/>
      </w:r>
      <w:bookmarkStart w:id="160" w:name="_Toc22325"/>
      <w:r>
        <w:rPr>
          <w:rFonts w:hint="eastAsia" w:ascii="仿宋" w:hAnsi="仿宋" w:eastAsia="仿宋" w:cs="仿宋"/>
          <w:bCs/>
          <w:color w:val="auto"/>
          <w:sz w:val="28"/>
          <w:szCs w:val="28"/>
          <w:highlight w:val="none"/>
        </w:rPr>
        <w:t>附件九：</w:t>
      </w:r>
      <w:r>
        <w:rPr>
          <w:rFonts w:hint="eastAsia" w:ascii="仿宋" w:hAnsi="仿宋" w:eastAsia="仿宋" w:cs="仿宋"/>
          <w:b w:val="0"/>
          <w:bCs/>
          <w:color w:val="auto"/>
          <w:sz w:val="28"/>
          <w:szCs w:val="28"/>
          <w:highlight w:val="none"/>
        </w:rPr>
        <w:t>残疾人福利性单位声明函</w:t>
      </w:r>
      <w:bookmarkEnd w:id="159"/>
      <w:r>
        <w:rPr>
          <w:rFonts w:hint="eastAsia" w:ascii="仿宋" w:hAnsi="仿宋" w:eastAsia="仿宋" w:cs="仿宋"/>
          <w:b w:val="0"/>
          <w:bCs/>
          <w:color w:val="auto"/>
          <w:sz w:val="28"/>
          <w:szCs w:val="28"/>
          <w:highlight w:val="none"/>
        </w:rPr>
        <w:t>（若有）</w:t>
      </w:r>
      <w:bookmarkEnd w:id="160"/>
    </w:p>
    <w:p w14:paraId="65BE2074">
      <w:pPr>
        <w:ind w:firstLine="420" w:firstLine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项目采购活动提供本单位制造的服务或产品（由本单位承担工程/提供服务），或者提供其他残疾人福利性单位制造的服务或产品（不包括使用非残疾人福利性单位注册商标的服务或产品）。</w:t>
      </w:r>
    </w:p>
    <w:p w14:paraId="49EFE738">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本单位在本次政府采购活动中提供的残疾人福利单位产品报价合计为人民币（大写）</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圆整（￥：     ）。</w:t>
      </w:r>
    </w:p>
    <w:p w14:paraId="13862A7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本单位对上述声明的真实性负责。如有虚假，将依法承担相应责任。</w:t>
      </w:r>
    </w:p>
    <w:p w14:paraId="1D179F8D">
      <w:pPr>
        <w:rPr>
          <w:rFonts w:hint="eastAsia" w:ascii="仿宋" w:hAnsi="仿宋" w:eastAsia="仿宋" w:cs="仿宋"/>
          <w:color w:val="auto"/>
          <w:sz w:val="28"/>
          <w:szCs w:val="28"/>
          <w:highlight w:val="none"/>
        </w:rPr>
      </w:pPr>
    </w:p>
    <w:p w14:paraId="2E509DE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（备注：1、供应商如不提供此声明函，价格将不做相应扣除。2、中标供应商为残疾人福利单位的，此声明函将随中标结果同时公告，接受社会监督）</w:t>
      </w:r>
    </w:p>
    <w:p w14:paraId="65C714F7">
      <w:pPr>
        <w:rPr>
          <w:rFonts w:hint="eastAsia" w:ascii="仿宋" w:hAnsi="仿宋" w:eastAsia="仿宋" w:cs="仿宋"/>
          <w:color w:val="auto"/>
          <w:sz w:val="28"/>
          <w:szCs w:val="28"/>
          <w:highlight w:val="none"/>
        </w:rPr>
      </w:pPr>
    </w:p>
    <w:p w14:paraId="217C2458">
      <w:pPr>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 xml:space="preserve">             </w:t>
      </w:r>
      <w:r>
        <w:rPr>
          <w:rFonts w:hint="eastAsia" w:ascii="仿宋" w:hAnsi="仿宋" w:eastAsia="仿宋" w:cs="仿宋"/>
          <w:color w:val="auto"/>
          <w:sz w:val="28"/>
          <w:szCs w:val="28"/>
          <w:highlight w:val="none"/>
        </w:rPr>
        <w:t xml:space="preserve">              企业名称（公章）：</w:t>
      </w:r>
    </w:p>
    <w:p w14:paraId="328B0AED">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p>
    <w:p w14:paraId="75318AF3">
      <w:pPr>
        <w:pStyle w:val="28"/>
        <w:ind w:left="0" w:leftChars="0" w:firstLine="548" w:firstLineChars="196"/>
        <w:jc w:val="center"/>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bookmarkStart w:id="161" w:name="_Toc11880"/>
      <w:r>
        <w:rPr>
          <w:rFonts w:hint="eastAsia" w:ascii="仿宋" w:hAnsi="仿宋" w:eastAsia="仿宋" w:cs="仿宋"/>
          <w:color w:val="auto"/>
          <w:sz w:val="28"/>
          <w:szCs w:val="28"/>
          <w:highlight w:val="none"/>
        </w:rPr>
        <w:t>附件十：政府采购诚信承诺书</w:t>
      </w:r>
      <w:bookmarkEnd w:id="161"/>
    </w:p>
    <w:p w14:paraId="08AC958D">
      <w:pPr>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（采购人） ：</w:t>
      </w:r>
    </w:p>
    <w:p w14:paraId="5FF1ECB5">
      <w:pPr>
        <w:keepNext w:val="0"/>
        <w:keepLines w:val="0"/>
        <w:pageBreakBefore w:val="0"/>
        <w:widowControl w:val="0"/>
        <w:kinsoku/>
        <w:wordWrap/>
        <w:overflowPunct/>
        <w:topLinePunct w:val="0"/>
        <w:autoSpaceDE w:val="0"/>
        <w:autoSpaceDN w:val="0"/>
        <w:bidi w:val="0"/>
        <w:adjustRightInd w:val="0"/>
        <w:snapToGrid w:val="0"/>
        <w:ind w:firstLine="420" w:firstLineChars="0"/>
        <w:textAlignment w:val="auto"/>
        <w:rPr>
          <w:rFonts w:hint="eastAsia" w:ascii="仿宋" w:hAnsi="仿宋" w:eastAsia="仿宋" w:cs="仿宋"/>
          <w:color w:val="auto"/>
          <w:sz w:val="28"/>
          <w:szCs w:val="28"/>
          <w:highlight w:val="none"/>
        </w:rPr>
      </w:pPr>
      <w:r>
        <w:rPr>
          <w:rStyle w:val="64"/>
          <w:rFonts w:hint="eastAsia" w:ascii="仿宋" w:hAnsi="仿宋" w:eastAsia="仿宋" w:cs="仿宋"/>
          <w:color w:val="auto"/>
          <w:sz w:val="28"/>
          <w:szCs w:val="28"/>
          <w:highlight w:val="none"/>
        </w:rPr>
        <w:t>我公司</w:t>
      </w:r>
      <w:r>
        <w:rPr>
          <w:rFonts w:hint="eastAsia" w:ascii="仿宋" w:hAnsi="仿宋" w:eastAsia="仿宋" w:cs="仿宋"/>
          <w:color w:val="auto"/>
          <w:sz w:val="28"/>
          <w:szCs w:val="28"/>
          <w:highlight w:val="none"/>
          <w:u w:val="single"/>
        </w:rPr>
        <w:t xml:space="preserve">               </w:t>
      </w:r>
      <w:r>
        <w:rPr>
          <w:rStyle w:val="64"/>
          <w:rFonts w:hint="eastAsia" w:ascii="仿宋" w:hAnsi="仿宋" w:eastAsia="仿宋" w:cs="仿宋"/>
          <w:color w:val="auto"/>
          <w:sz w:val="28"/>
          <w:szCs w:val="28"/>
          <w:highlight w:val="none"/>
        </w:rPr>
        <w:t>（供应商名称）已详细阅读了</w:t>
      </w:r>
      <w:r>
        <w:rPr>
          <w:rFonts w:hint="eastAsia" w:ascii="仿宋" w:hAnsi="仿宋" w:eastAsia="仿宋" w:cs="仿宋"/>
          <w:color w:val="auto"/>
          <w:sz w:val="28"/>
          <w:szCs w:val="28"/>
          <w:highlight w:val="none"/>
          <w:u w:val="single"/>
        </w:rPr>
        <w:t xml:space="preserve">             </w:t>
      </w:r>
      <w:r>
        <w:rPr>
          <w:rStyle w:val="64"/>
          <w:rFonts w:hint="eastAsia" w:ascii="仿宋" w:hAnsi="仿宋" w:eastAsia="仿宋" w:cs="仿宋"/>
          <w:color w:val="auto"/>
          <w:sz w:val="28"/>
          <w:szCs w:val="28"/>
          <w:highlight w:val="none"/>
        </w:rPr>
        <w:t>项目（项目编号：</w:t>
      </w:r>
      <w:r>
        <w:rPr>
          <w:rFonts w:hint="eastAsia" w:ascii="仿宋" w:hAnsi="仿宋" w:eastAsia="仿宋" w:cs="仿宋"/>
          <w:color w:val="auto"/>
          <w:sz w:val="28"/>
          <w:szCs w:val="28"/>
          <w:highlight w:val="none"/>
          <w:u w:val="single"/>
        </w:rPr>
        <w:t xml:space="preserve">          </w:t>
      </w:r>
      <w:r>
        <w:rPr>
          <w:rStyle w:val="64"/>
          <w:rFonts w:hint="eastAsia" w:ascii="仿宋" w:hAnsi="仿宋" w:eastAsia="仿宋" w:cs="仿宋"/>
          <w:color w:val="auto"/>
          <w:sz w:val="28"/>
          <w:szCs w:val="28"/>
          <w:highlight w:val="none"/>
        </w:rPr>
        <w:t>）招标文件，自愿参加本次投标，现就有关事项做出郑重承诺如下：</w:t>
      </w:r>
    </w:p>
    <w:p w14:paraId="5F12B537">
      <w:pPr>
        <w:keepNext w:val="0"/>
        <w:keepLines w:val="0"/>
        <w:pageBreakBefore w:val="0"/>
        <w:widowControl w:val="0"/>
        <w:kinsoku/>
        <w:wordWrap/>
        <w:overflowPunct/>
        <w:topLinePunct w:val="0"/>
        <w:autoSpaceDE w:val="0"/>
        <w:autoSpaceDN w:val="0"/>
        <w:bidi w:val="0"/>
        <w:adjustRightInd w:val="0"/>
        <w:snapToGrid w:val="0"/>
        <w:ind w:firstLine="420" w:firstLineChars="0"/>
        <w:textAlignment w:val="auto"/>
        <w:rPr>
          <w:rStyle w:val="64"/>
          <w:rFonts w:hint="eastAsia" w:ascii="仿宋" w:hAnsi="仿宋" w:eastAsia="仿宋" w:cs="仿宋"/>
          <w:color w:val="auto"/>
          <w:sz w:val="28"/>
          <w:szCs w:val="28"/>
          <w:highlight w:val="none"/>
        </w:rPr>
      </w:pPr>
      <w:r>
        <w:rPr>
          <w:rStyle w:val="64"/>
          <w:rFonts w:hint="eastAsia" w:ascii="仿宋" w:hAnsi="仿宋" w:eastAsia="仿宋" w:cs="仿宋"/>
          <w:color w:val="auto"/>
          <w:sz w:val="28"/>
          <w:szCs w:val="28"/>
          <w:highlight w:val="none"/>
        </w:rPr>
        <w:t>一、诚信投标，材料真实。我公司保证所提供的全部材料、投标内容均真实、合法、有效，保证不出借或者借用其他企业资质，不以他人名义投标，不弄虚作假；</w:t>
      </w:r>
    </w:p>
    <w:p w14:paraId="6BBEFA89">
      <w:pPr>
        <w:keepNext w:val="0"/>
        <w:keepLines w:val="0"/>
        <w:pageBreakBefore w:val="0"/>
        <w:widowControl w:val="0"/>
        <w:kinsoku/>
        <w:wordWrap/>
        <w:overflowPunct/>
        <w:topLinePunct w:val="0"/>
        <w:autoSpaceDE w:val="0"/>
        <w:autoSpaceDN w:val="0"/>
        <w:bidi w:val="0"/>
        <w:adjustRightInd w:val="0"/>
        <w:snapToGrid w:val="0"/>
        <w:ind w:firstLine="420" w:firstLineChars="0"/>
        <w:textAlignment w:val="auto"/>
        <w:rPr>
          <w:rStyle w:val="64"/>
          <w:rFonts w:hint="eastAsia" w:ascii="仿宋" w:hAnsi="仿宋" w:eastAsia="仿宋" w:cs="仿宋"/>
          <w:color w:val="auto"/>
          <w:sz w:val="28"/>
          <w:szCs w:val="28"/>
          <w:highlight w:val="none"/>
        </w:rPr>
      </w:pPr>
      <w:r>
        <w:rPr>
          <w:rStyle w:val="64"/>
          <w:rFonts w:hint="eastAsia" w:ascii="仿宋" w:hAnsi="仿宋" w:eastAsia="仿宋" w:cs="仿宋"/>
          <w:color w:val="auto"/>
          <w:sz w:val="28"/>
          <w:szCs w:val="28"/>
          <w:highlight w:val="none"/>
        </w:rPr>
        <w:t>二、遵纪守法，公平竞争。不与其他供应商相互串通、哄抬价格，不排挤其他供应商，不损害采购人的合法权益；不向评标委员会、采购人提供利益以牟取中标。</w:t>
      </w:r>
    </w:p>
    <w:p w14:paraId="189E47C4">
      <w:pPr>
        <w:keepNext w:val="0"/>
        <w:keepLines w:val="0"/>
        <w:pageBreakBefore w:val="0"/>
        <w:widowControl w:val="0"/>
        <w:kinsoku/>
        <w:wordWrap/>
        <w:overflowPunct/>
        <w:topLinePunct w:val="0"/>
        <w:autoSpaceDE w:val="0"/>
        <w:autoSpaceDN w:val="0"/>
        <w:bidi w:val="0"/>
        <w:adjustRightInd w:val="0"/>
        <w:snapToGrid w:val="0"/>
        <w:ind w:firstLine="420" w:firstLineChars="0"/>
        <w:textAlignment w:val="auto"/>
        <w:rPr>
          <w:rStyle w:val="64"/>
          <w:rFonts w:hint="eastAsia" w:ascii="仿宋" w:hAnsi="仿宋" w:eastAsia="仿宋" w:cs="仿宋"/>
          <w:color w:val="auto"/>
          <w:sz w:val="28"/>
          <w:szCs w:val="28"/>
          <w:highlight w:val="none"/>
        </w:rPr>
      </w:pPr>
      <w:r>
        <w:rPr>
          <w:rStyle w:val="64"/>
          <w:rFonts w:hint="eastAsia" w:ascii="仿宋" w:hAnsi="仿宋" w:eastAsia="仿宋" w:cs="仿宋"/>
          <w:color w:val="auto"/>
          <w:sz w:val="28"/>
          <w:szCs w:val="28"/>
          <w:highlight w:val="none"/>
        </w:rPr>
        <w:t>三、若中标后，将按照规定及时与采购人签订政府采购合同，不与采购人订立有悖于采购结果的合同或协议；严格履行政府采购合同，不降低合同约定的产品质量和服务，不擅自变更、中止、终止合同，或者拒绝履行合同义务；</w:t>
      </w:r>
    </w:p>
    <w:p w14:paraId="0B33F68F">
      <w:pPr>
        <w:keepNext w:val="0"/>
        <w:keepLines w:val="0"/>
        <w:pageBreakBefore w:val="0"/>
        <w:widowControl w:val="0"/>
        <w:kinsoku/>
        <w:wordWrap/>
        <w:overflowPunct/>
        <w:topLinePunct w:val="0"/>
        <w:autoSpaceDE w:val="0"/>
        <w:autoSpaceDN w:val="0"/>
        <w:bidi w:val="0"/>
        <w:adjustRightInd w:val="0"/>
        <w:snapToGrid w:val="0"/>
        <w:ind w:firstLine="420" w:firstLineChars="0"/>
        <w:textAlignment w:val="auto"/>
        <w:rPr>
          <w:rStyle w:val="64"/>
          <w:rFonts w:hint="eastAsia" w:ascii="仿宋" w:hAnsi="仿宋" w:eastAsia="仿宋" w:cs="仿宋"/>
          <w:color w:val="auto"/>
          <w:sz w:val="28"/>
          <w:szCs w:val="28"/>
          <w:highlight w:val="none"/>
        </w:rPr>
      </w:pPr>
      <w:r>
        <w:rPr>
          <w:rStyle w:val="64"/>
          <w:rFonts w:hint="eastAsia" w:ascii="仿宋" w:hAnsi="仿宋" w:eastAsia="仿宋" w:cs="仿宋"/>
          <w:color w:val="auto"/>
          <w:sz w:val="28"/>
          <w:szCs w:val="28"/>
          <w:highlight w:val="none"/>
        </w:rPr>
        <w:t>四、近三年阿克苏地区采购项目实施中,近三年来的财务状况和近三个月来的缴纳税收和社会保障金记录良好。如本承诺内容不真实，我公司愿承担由此产生的一切后果和法律责任（被废标、被列入政府采购失信名单或承担由此造成利益相关方经济损失的赔偿责任）。</w:t>
      </w:r>
    </w:p>
    <w:p w14:paraId="638682F2">
      <w:pPr>
        <w:keepNext w:val="0"/>
        <w:keepLines w:val="0"/>
        <w:pageBreakBefore w:val="0"/>
        <w:widowControl w:val="0"/>
        <w:kinsoku/>
        <w:wordWrap/>
        <w:overflowPunct/>
        <w:topLinePunct w:val="0"/>
        <w:autoSpaceDE w:val="0"/>
        <w:autoSpaceDN w:val="0"/>
        <w:bidi w:val="0"/>
        <w:adjustRightInd w:val="0"/>
        <w:snapToGrid w:val="0"/>
        <w:ind w:firstLine="420" w:firstLineChars="0"/>
        <w:textAlignment w:val="auto"/>
        <w:rPr>
          <w:rStyle w:val="64"/>
          <w:rFonts w:hint="eastAsia" w:ascii="仿宋" w:hAnsi="仿宋" w:eastAsia="仿宋" w:cs="仿宋"/>
          <w:color w:val="auto"/>
          <w:sz w:val="28"/>
          <w:szCs w:val="28"/>
          <w:highlight w:val="none"/>
        </w:rPr>
      </w:pPr>
      <w:r>
        <w:rPr>
          <w:rStyle w:val="64"/>
          <w:rFonts w:hint="eastAsia" w:ascii="仿宋" w:hAnsi="仿宋" w:eastAsia="仿宋" w:cs="仿宋"/>
          <w:color w:val="auto"/>
          <w:sz w:val="28"/>
          <w:szCs w:val="28"/>
          <w:highlight w:val="none"/>
        </w:rPr>
        <w:t>若有违反以上承诺内容的行为，我公司自愿接受取消投标资格、记入信用档案、没收投标保证金、媒体通报、1-3年内禁止参与政府采购等处罚；如已中标的，自动放弃中标资格，并承担全部法律责任；给采购人造成损失的，依法承担赔偿责任。</w:t>
      </w:r>
    </w:p>
    <w:p w14:paraId="3A5A6431">
      <w:pPr>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p>
    <w:p w14:paraId="45E3639E">
      <w:pPr>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p>
    <w:p w14:paraId="38C28351">
      <w:pPr>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19349A43">
      <w:pPr>
        <w:pStyle w:val="39"/>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p>
    <w:p w14:paraId="287CB8DB">
      <w:pPr>
        <w:pStyle w:val="39"/>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p>
    <w:p w14:paraId="120EBC08">
      <w:pPr>
        <w:pStyle w:val="39"/>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（签字或盖章）</w:t>
      </w:r>
    </w:p>
    <w:p w14:paraId="5A504184">
      <w:pPr>
        <w:pStyle w:val="39"/>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p>
    <w:p w14:paraId="53EE5126">
      <w:pPr>
        <w:pStyle w:val="39"/>
        <w:keepNext w:val="0"/>
        <w:keepLines w:val="0"/>
        <w:pageBreakBefore w:val="0"/>
        <w:widowControl w:val="0"/>
        <w:kinsoku/>
        <w:wordWrap/>
        <w:overflowPunct/>
        <w:topLinePunct w:val="0"/>
        <w:autoSpaceDE w:val="0"/>
        <w:autoSpaceDN w:val="0"/>
        <w:bidi w:val="0"/>
        <w:adjustRightInd w:val="0"/>
        <w:snapToGrid w:val="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日期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日</w:t>
      </w:r>
    </w:p>
    <w:p w14:paraId="78AC03BB">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7A181078">
      <w:pPr>
        <w:outlineLvl w:val="1"/>
        <w:rPr>
          <w:rFonts w:hint="eastAsia" w:ascii="仿宋" w:hAnsi="仿宋" w:eastAsia="仿宋" w:cs="仿宋"/>
          <w:color w:val="auto"/>
          <w:sz w:val="28"/>
          <w:szCs w:val="28"/>
          <w:highlight w:val="none"/>
        </w:rPr>
      </w:pPr>
      <w:bookmarkStart w:id="162" w:name="_Toc12637"/>
      <w:r>
        <w:rPr>
          <w:rFonts w:hint="eastAsia" w:ascii="仿宋" w:hAnsi="仿宋" w:eastAsia="仿宋" w:cs="仿宋"/>
          <w:b/>
          <w:bCs/>
          <w:color w:val="auto"/>
          <w:sz w:val="28"/>
          <w:szCs w:val="28"/>
          <w:highlight w:val="none"/>
        </w:rPr>
        <w:t>附件十一：</w:t>
      </w:r>
      <w:r>
        <w:rPr>
          <w:rFonts w:hint="eastAsia" w:ascii="仿宋" w:hAnsi="仿宋" w:eastAsia="仿宋" w:cs="仿宋"/>
          <w:color w:val="auto"/>
          <w:sz w:val="28"/>
          <w:szCs w:val="28"/>
          <w:highlight w:val="none"/>
        </w:rPr>
        <w:t>供应商认为有必要提供的其他相关文件</w:t>
      </w:r>
      <w:bookmarkEnd w:id="162"/>
    </w:p>
    <w:p w14:paraId="083CCF65">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（格式自拟）</w:t>
      </w:r>
    </w:p>
    <w:p w14:paraId="1FED1CA7">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6670E6AB">
      <w:pPr>
        <w:widowControl/>
        <w:kinsoku w:val="0"/>
        <w:snapToGrid w:val="0"/>
        <w:spacing w:before="249" w:line="440" w:lineRule="exact"/>
        <w:jc w:val="center"/>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pacing w:val="12"/>
          <w:sz w:val="28"/>
          <w:szCs w:val="28"/>
          <w:highlight w:val="none"/>
        </w:rPr>
        <w:t>代理服务费支付承诺书</w:t>
      </w:r>
    </w:p>
    <w:p w14:paraId="144E0A36">
      <w:pPr>
        <w:widowControl/>
        <w:kinsoku w:val="0"/>
        <w:snapToGrid w:val="0"/>
        <w:spacing w:before="131" w:line="400" w:lineRule="exact"/>
        <w:ind w:left="14" w:right="12" w:firstLine="381"/>
        <w:textAlignment w:val="baseline"/>
        <w:rPr>
          <w:rFonts w:hint="eastAsia" w:ascii="仿宋" w:hAnsi="仿宋" w:eastAsia="仿宋" w:cs="仿宋"/>
          <w:color w:val="auto"/>
          <w:spacing w:val="2"/>
          <w:sz w:val="28"/>
          <w:szCs w:val="28"/>
          <w:highlight w:val="none"/>
        </w:rPr>
      </w:pPr>
    </w:p>
    <w:p w14:paraId="10EA762A">
      <w:pPr>
        <w:widowControl/>
        <w:kinsoku w:val="0"/>
        <w:snapToGrid w:val="0"/>
        <w:spacing w:before="131" w:line="400" w:lineRule="exact"/>
        <w:ind w:right="12"/>
        <w:textAlignment w:val="baseline"/>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致：新疆泽一项目管理有限公司</w:t>
      </w:r>
    </w:p>
    <w:p w14:paraId="0DC3D3BF">
      <w:pPr>
        <w:widowControl/>
        <w:kinsoku w:val="0"/>
        <w:snapToGrid w:val="0"/>
        <w:spacing w:before="131" w:line="400" w:lineRule="exact"/>
        <w:ind w:left="14" w:right="12" w:firstLine="381"/>
        <w:textAlignment w:val="baseline"/>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如果我方在贵公司组织的</w:t>
      </w:r>
      <w:r>
        <w:rPr>
          <w:rFonts w:hint="eastAsia" w:ascii="仿宋" w:hAnsi="仿宋" w:eastAsia="仿宋" w:cs="仿宋"/>
          <w:color w:val="auto"/>
          <w:spacing w:val="2"/>
          <w:sz w:val="28"/>
          <w:szCs w:val="28"/>
          <w:highlight w:val="none"/>
          <w:u w:val="single"/>
        </w:rPr>
        <w:t xml:space="preserve"> （采购项目名称、采购项目编号） </w:t>
      </w:r>
      <w:r>
        <w:rPr>
          <w:rFonts w:hint="eastAsia" w:ascii="仿宋" w:hAnsi="仿宋" w:eastAsia="仿宋" w:cs="仿宋"/>
          <w:color w:val="auto"/>
          <w:spacing w:val="2"/>
          <w:sz w:val="28"/>
          <w:szCs w:val="28"/>
          <w:highlight w:val="none"/>
        </w:rPr>
        <w:t>招标中中标，我方保证在收到该项目中标通知书</w:t>
      </w:r>
      <w:r>
        <w:rPr>
          <w:rFonts w:hint="eastAsia" w:ascii="仿宋" w:hAnsi="仿宋" w:eastAsia="仿宋" w:cs="仿宋"/>
          <w:color w:val="auto"/>
          <w:spacing w:val="2"/>
          <w:sz w:val="28"/>
          <w:szCs w:val="28"/>
          <w:highlight w:val="none"/>
          <w:lang w:val="en-US" w:eastAsia="zh-CN"/>
        </w:rPr>
        <w:t>后</w:t>
      </w:r>
      <w:r>
        <w:rPr>
          <w:rFonts w:hint="eastAsia" w:ascii="仿宋" w:hAnsi="仿宋" w:eastAsia="仿宋" w:cs="仿宋"/>
          <w:color w:val="auto"/>
          <w:spacing w:val="2"/>
          <w:sz w:val="28"/>
          <w:szCs w:val="28"/>
          <w:highlight w:val="none"/>
        </w:rPr>
        <w:t>3日内向采购代理机构足额缴纳</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按照本项目招标文件对代理服务费支付方式的约定，承担本项目的代理服务费。</w:t>
      </w:r>
    </w:p>
    <w:p w14:paraId="69D6059A">
      <w:pPr>
        <w:widowControl/>
        <w:kinsoku w:val="0"/>
        <w:snapToGrid w:val="0"/>
        <w:spacing w:before="131" w:line="400" w:lineRule="exact"/>
        <w:ind w:left="14" w:right="12" w:firstLine="381"/>
        <w:textAlignment w:val="baseline"/>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特此承诺！</w:t>
      </w:r>
    </w:p>
    <w:p w14:paraId="52A1D2F0">
      <w:pPr>
        <w:widowControl/>
        <w:kinsoku w:val="0"/>
        <w:snapToGrid w:val="0"/>
        <w:spacing w:before="156" w:line="440" w:lineRule="exact"/>
        <w:textAlignment w:val="baseline"/>
        <w:rPr>
          <w:rFonts w:hint="eastAsia" w:ascii="仿宋" w:hAnsi="仿宋" w:eastAsia="仿宋" w:cs="仿宋"/>
          <w:color w:val="auto"/>
          <w:spacing w:val="2"/>
          <w:sz w:val="28"/>
          <w:szCs w:val="28"/>
          <w:highlight w:val="none"/>
        </w:rPr>
      </w:pPr>
    </w:p>
    <w:p w14:paraId="252633E8">
      <w:pPr>
        <w:widowControl/>
        <w:kinsoku w:val="0"/>
        <w:snapToGrid w:val="0"/>
        <w:spacing w:before="156" w:line="440" w:lineRule="exact"/>
        <w:jc w:val="right"/>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投标人</w:t>
      </w:r>
      <w:r>
        <w:rPr>
          <w:rFonts w:hint="eastAsia" w:ascii="仿宋" w:hAnsi="仿宋" w:eastAsia="仿宋" w:cs="仿宋"/>
          <w:color w:val="auto"/>
          <w:spacing w:val="1"/>
          <w:sz w:val="28"/>
          <w:szCs w:val="28"/>
          <w:highlight w:val="none"/>
        </w:rPr>
        <w:t>名称(公章)：_____________________</w:t>
      </w:r>
    </w:p>
    <w:p w14:paraId="45A20247">
      <w:pPr>
        <w:widowControl/>
        <w:kinsoku w:val="0"/>
        <w:snapToGrid w:val="0"/>
        <w:spacing w:before="2" w:line="440" w:lineRule="exact"/>
        <w:jc w:val="right"/>
        <w:textAlignment w:val="baseline"/>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 xml:space="preserve">    法定代表人或授权委托人</w:t>
      </w:r>
      <w:r>
        <w:rPr>
          <w:rFonts w:hint="eastAsia" w:ascii="仿宋" w:hAnsi="仿宋" w:eastAsia="仿宋" w:cs="仿宋"/>
          <w:color w:val="auto"/>
          <w:spacing w:val="1"/>
          <w:sz w:val="28"/>
          <w:szCs w:val="28"/>
          <w:highlight w:val="none"/>
        </w:rPr>
        <w:t>(签字或盖章)：___</w:t>
      </w:r>
    </w:p>
    <w:p w14:paraId="733E4411">
      <w:pPr>
        <w:widowControl/>
        <w:kinsoku w:val="0"/>
        <w:snapToGrid w:val="0"/>
        <w:spacing w:before="156" w:line="440" w:lineRule="exact"/>
        <w:ind w:left="420" w:firstLine="2925" w:firstLineChars="1030"/>
        <w:jc w:val="both"/>
        <w:textAlignment w:val="baseline"/>
        <w:rPr>
          <w:rFonts w:hint="eastAsia" w:ascii="仿宋" w:hAnsi="仿宋" w:eastAsia="仿宋" w:cs="仿宋"/>
          <w:color w:val="auto"/>
          <w:sz w:val="28"/>
          <w:szCs w:val="28"/>
          <w:highlight w:val="none"/>
          <w:u w:val="single"/>
        </w:rPr>
      </w:pPr>
      <w:r>
        <w:rPr>
          <w:rFonts w:hint="eastAsia" w:ascii="仿宋" w:hAnsi="仿宋" w:eastAsia="仿宋" w:cs="仿宋"/>
          <w:color w:val="auto"/>
          <w:spacing w:val="2"/>
          <w:sz w:val="28"/>
          <w:szCs w:val="28"/>
          <w:highlight w:val="none"/>
        </w:rPr>
        <w:t>地址：</w:t>
      </w:r>
      <w:r>
        <w:rPr>
          <w:rFonts w:hint="eastAsia" w:ascii="仿宋" w:hAnsi="仿宋" w:eastAsia="仿宋" w:cs="仿宋"/>
          <w:color w:val="auto"/>
          <w:spacing w:val="2"/>
          <w:sz w:val="28"/>
          <w:szCs w:val="28"/>
          <w:highlight w:val="none"/>
          <w:u w:val="single"/>
        </w:rPr>
        <w:t xml:space="preserve">                     </w:t>
      </w:r>
    </w:p>
    <w:p w14:paraId="36C63E0E">
      <w:pPr>
        <w:widowControl/>
        <w:kinsoku w:val="0"/>
        <w:snapToGrid w:val="0"/>
        <w:spacing w:before="2" w:line="44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 xml:space="preserve">                电话：________</w:t>
      </w:r>
      <w:r>
        <w:rPr>
          <w:rFonts w:hint="eastAsia" w:ascii="仿宋" w:hAnsi="仿宋" w:eastAsia="仿宋" w:cs="仿宋"/>
          <w:color w:val="auto"/>
          <w:sz w:val="28"/>
          <w:szCs w:val="28"/>
          <w:highlight w:val="none"/>
        </w:rPr>
        <w:t>_____________</w:t>
      </w:r>
    </w:p>
    <w:p w14:paraId="6E477EEB">
      <w:pPr>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 xml:space="preserve">                       </w:t>
      </w:r>
      <w:r>
        <w:rPr>
          <w:rFonts w:hint="eastAsia" w:ascii="仿宋" w:hAnsi="仿宋" w:eastAsia="仿宋" w:cs="仿宋"/>
          <w:color w:val="auto"/>
          <w:spacing w:val="1"/>
          <w:sz w:val="28"/>
          <w:szCs w:val="28"/>
          <w:highlight w:val="none"/>
        </w:rPr>
        <w:tab/>
      </w:r>
      <w:r>
        <w:rPr>
          <w:rFonts w:hint="eastAsia" w:ascii="仿宋" w:hAnsi="仿宋" w:eastAsia="仿宋" w:cs="仿宋"/>
          <w:color w:val="auto"/>
          <w:spacing w:val="1"/>
          <w:sz w:val="28"/>
          <w:szCs w:val="28"/>
          <w:highlight w:val="none"/>
        </w:rPr>
        <w:t>日期：________________</w:t>
      </w:r>
    </w:p>
    <w:p w14:paraId="36ECBBC6">
      <w:pPr>
        <w:rPr>
          <w:rFonts w:hint="eastAsia" w:ascii="等线 Light" w:hAnsi="等线 Light" w:eastAsia="宋体" w:cs="Times New Roman"/>
          <w:b/>
          <w:bCs/>
          <w:color w:val="auto"/>
          <w:kern w:val="2"/>
          <w:sz w:val="32"/>
          <w:szCs w:val="32"/>
          <w:highlight w:val="none"/>
          <w:lang w:val="en-US" w:eastAsia="zh-CN" w:bidi="ar-SA"/>
        </w:rPr>
      </w:pPr>
      <w:r>
        <w:rPr>
          <w:rFonts w:hint="eastAsia" w:ascii="等线 Light" w:hAnsi="等线 Light" w:eastAsia="宋体" w:cs="Times New Roman"/>
          <w:b/>
          <w:bCs/>
          <w:color w:val="auto"/>
          <w:kern w:val="2"/>
          <w:sz w:val="32"/>
          <w:szCs w:val="32"/>
          <w:highlight w:val="none"/>
          <w:lang w:val="en-US" w:eastAsia="zh-CN" w:bidi="ar-SA"/>
        </w:rPr>
        <w:br w:type="page"/>
      </w:r>
    </w:p>
    <w:p w14:paraId="7D5A9BB8">
      <w:pPr>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outlineLvl w:val="1"/>
        <w:rPr>
          <w:rFonts w:hint="eastAsia" w:ascii="等线 Light" w:hAnsi="等线 Light" w:eastAsia="宋体" w:cs="Times New Roman"/>
          <w:b/>
          <w:bCs/>
          <w:color w:val="auto"/>
          <w:kern w:val="2"/>
          <w:sz w:val="32"/>
          <w:szCs w:val="32"/>
          <w:highlight w:val="none"/>
          <w:lang w:val="en-US" w:eastAsia="zh-CN" w:bidi="ar-SA"/>
        </w:rPr>
      </w:pPr>
      <w:r>
        <w:rPr>
          <w:rFonts w:hint="eastAsia" w:ascii="等线 Light" w:hAnsi="等线 Light" w:eastAsia="宋体" w:cs="Times New Roman"/>
          <w:b/>
          <w:bCs/>
          <w:color w:val="auto"/>
          <w:kern w:val="2"/>
          <w:sz w:val="32"/>
          <w:szCs w:val="32"/>
          <w:highlight w:val="none"/>
          <w:lang w:val="en-US" w:eastAsia="zh-CN" w:bidi="ar-SA"/>
        </w:rPr>
        <w:t>关于符合本国产品标准的声明函或财政部规定的其他</w:t>
      </w:r>
    </w:p>
    <w:p w14:paraId="5A94BA62">
      <w:pPr>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outlineLvl w:val="1"/>
        <w:rPr>
          <w:rFonts w:hint="eastAsia" w:ascii="等线 Light" w:hAnsi="等线 Light" w:eastAsia="宋体" w:cs="Times New Roman"/>
          <w:b/>
          <w:bCs/>
          <w:color w:val="auto"/>
          <w:kern w:val="2"/>
          <w:sz w:val="32"/>
          <w:szCs w:val="32"/>
          <w:highlight w:val="none"/>
          <w:lang w:val="en-US" w:eastAsia="zh-CN" w:bidi="ar-SA"/>
        </w:rPr>
      </w:pPr>
      <w:bookmarkStart w:id="163" w:name="_Toc22884"/>
      <w:r>
        <w:rPr>
          <w:rFonts w:hint="eastAsia" w:ascii="等线 Light" w:hAnsi="等线 Light" w:eastAsia="宋体" w:cs="Times New Roman"/>
          <w:b/>
          <w:bCs/>
          <w:color w:val="auto"/>
          <w:kern w:val="2"/>
          <w:sz w:val="32"/>
          <w:szCs w:val="32"/>
          <w:highlight w:val="none"/>
          <w:lang w:val="en-US" w:eastAsia="zh-CN" w:bidi="ar-SA"/>
        </w:rPr>
        <w:t>证明文件</w:t>
      </w:r>
      <w:bookmarkEnd w:id="163"/>
    </w:p>
    <w:p w14:paraId="50CA65D0">
      <w:pPr>
        <w:autoSpaceDE/>
        <w:autoSpaceDN/>
        <w:adjustRightInd/>
        <w:spacing w:line="360" w:lineRule="auto"/>
        <w:rPr>
          <w:rFonts w:hint="default" w:ascii="宋体" w:hAnsi="宋体" w:eastAsia="宋体" w:cs="宋体"/>
          <w:color w:val="auto"/>
          <w:spacing w:val="6"/>
          <w:kern w:val="2"/>
          <w:sz w:val="21"/>
          <w:szCs w:val="21"/>
          <w:highlight w:val="none"/>
          <w:lang w:val="en-US" w:eastAsia="zh-CN"/>
        </w:rPr>
      </w:pPr>
      <w:r>
        <w:rPr>
          <w:rFonts w:hint="eastAsia" w:ascii="宋体" w:hAnsi="宋体" w:eastAsia="宋体" w:cs="宋体"/>
          <w:color w:val="auto"/>
          <w:spacing w:val="6"/>
          <w:kern w:val="2"/>
          <w:sz w:val="21"/>
          <w:szCs w:val="21"/>
          <w:highlight w:val="none"/>
          <w:lang w:val="en-US" w:eastAsia="zh-CN"/>
        </w:rPr>
        <w:t>附件1</w:t>
      </w:r>
    </w:p>
    <w:p w14:paraId="224D1822">
      <w:pPr>
        <w:keepNext w:val="0"/>
        <w:keepLines w:val="0"/>
        <w:widowControl/>
        <w:suppressLineNumbers w:val="0"/>
        <w:autoSpaceDE/>
        <w:autoSpaceDN/>
        <w:adjustRightInd/>
        <w:spacing w:line="360" w:lineRule="auto"/>
        <w:ind w:firstLine="482" w:firstLineChars="20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（一）关于符合本国产品标准的声明函</w:t>
      </w:r>
    </w:p>
    <w:p w14:paraId="5F63DC8F">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本公司（单位）郑重声明，根据《国务院办公厅关于在政府采购中实施本国产品标准及相关政策的通知》（国办发〔2025〕34号）的规定，本公司（单位）提供的以下产品属于本国产品。具体情况如下：</w:t>
      </w:r>
    </w:p>
    <w:p w14:paraId="7CBD52D6">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u w:val="single"/>
          <w:lang w:val="en-US" w:eastAsia="zh-CN" w:bidi="ar"/>
        </w:rPr>
        <w:t>（产品名称1）</w:t>
      </w:r>
      <w:r>
        <w:rPr>
          <w:rFonts w:hint="eastAsia" w:ascii="宋体" w:hAnsi="宋体" w:eastAsia="宋体" w:cs="宋体"/>
          <w:color w:val="auto"/>
          <w:kern w:val="0"/>
          <w:sz w:val="21"/>
          <w:szCs w:val="21"/>
          <w:highlight w:val="none"/>
          <w:lang w:val="en-US" w:eastAsia="zh-CN" w:bidi="ar"/>
        </w:rPr>
        <w:t>1，生产厂为</w:t>
      </w:r>
      <w:r>
        <w:rPr>
          <w:rFonts w:hint="eastAsia" w:ascii="宋体" w:hAnsi="宋体" w:eastAsia="宋体" w:cs="宋体"/>
          <w:color w:val="auto"/>
          <w:kern w:val="0"/>
          <w:sz w:val="21"/>
          <w:szCs w:val="21"/>
          <w:highlight w:val="none"/>
          <w:u w:val="single"/>
          <w:lang w:val="en-US" w:eastAsia="zh-CN" w:bidi="ar"/>
        </w:rPr>
        <w:t>（厂名）</w:t>
      </w:r>
      <w:r>
        <w:rPr>
          <w:rFonts w:hint="eastAsia" w:ascii="宋体" w:hAnsi="宋体" w:eastAsia="宋体" w:cs="宋体"/>
          <w:color w:val="auto"/>
          <w:kern w:val="0"/>
          <w:sz w:val="21"/>
          <w:szCs w:val="21"/>
          <w:highlight w:val="none"/>
          <w:lang w:val="en-US" w:eastAsia="zh-CN" w:bidi="ar"/>
        </w:rPr>
        <w:t>2，厂址为</w:t>
      </w:r>
      <w:r>
        <w:rPr>
          <w:rFonts w:hint="eastAsia" w:ascii="宋体" w:hAnsi="宋体" w:eastAsia="宋体" w:cs="宋体"/>
          <w:color w:val="auto"/>
          <w:kern w:val="0"/>
          <w:sz w:val="21"/>
          <w:szCs w:val="21"/>
          <w:highlight w:val="none"/>
          <w:u w:val="single"/>
          <w:lang w:val="en-US" w:eastAsia="zh-CN" w:bidi="ar"/>
        </w:rPr>
        <w:t>（生产厂址）</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（产品名称1）</w:t>
      </w:r>
      <w:r>
        <w:rPr>
          <w:rFonts w:hint="eastAsia" w:ascii="宋体" w:hAnsi="宋体" w:eastAsia="宋体" w:cs="宋体"/>
          <w:color w:val="auto"/>
          <w:kern w:val="0"/>
          <w:sz w:val="21"/>
          <w:szCs w:val="21"/>
          <w:highlight w:val="none"/>
          <w:lang w:val="en-US" w:eastAsia="zh-CN" w:bidi="ar"/>
        </w:rPr>
        <w:t>的中国境内生产的组件成本占比≥</w:t>
      </w:r>
      <w:r>
        <w:rPr>
          <w:rFonts w:hint="eastAsia" w:ascii="宋体" w:hAnsi="宋体" w:eastAsia="宋体" w:cs="宋体"/>
          <w:color w:val="auto"/>
          <w:kern w:val="0"/>
          <w:sz w:val="21"/>
          <w:szCs w:val="21"/>
          <w:highlight w:val="none"/>
          <w:u w:val="single"/>
          <w:lang w:val="en-US" w:eastAsia="zh-CN" w:bidi="ar"/>
        </w:rPr>
        <w:t>（规定比例）</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u w:val="single"/>
          <w:lang w:val="en-US" w:eastAsia="zh-CN" w:bidi="ar"/>
        </w:rPr>
        <w:t>（产品名称1）</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（关键组件）</w:t>
      </w:r>
      <w:r>
        <w:rPr>
          <w:rFonts w:hint="eastAsia" w:ascii="宋体" w:hAnsi="宋体" w:eastAsia="宋体" w:cs="宋体"/>
          <w:color w:val="auto"/>
          <w:kern w:val="0"/>
          <w:sz w:val="21"/>
          <w:szCs w:val="21"/>
          <w:highlight w:val="none"/>
          <w:lang w:val="en-US" w:eastAsia="zh-CN" w:bidi="ar"/>
        </w:rPr>
        <w:t>4在中国境内生产。</w:t>
      </w:r>
      <w:r>
        <w:rPr>
          <w:rFonts w:hint="eastAsia" w:ascii="宋体" w:hAnsi="宋体" w:eastAsia="宋体" w:cs="宋体"/>
          <w:color w:val="auto"/>
          <w:kern w:val="0"/>
          <w:sz w:val="21"/>
          <w:szCs w:val="21"/>
          <w:highlight w:val="none"/>
          <w:u w:val="single"/>
          <w:lang w:val="en-US" w:eastAsia="zh-CN" w:bidi="ar"/>
        </w:rPr>
        <w:t>（产品名称1）</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（关键工序）</w:t>
      </w:r>
      <w:r>
        <w:rPr>
          <w:rFonts w:hint="eastAsia" w:ascii="宋体" w:hAnsi="宋体" w:eastAsia="宋体" w:cs="宋体"/>
          <w:color w:val="auto"/>
          <w:kern w:val="0"/>
          <w:sz w:val="21"/>
          <w:szCs w:val="21"/>
          <w:highlight w:val="none"/>
          <w:lang w:val="en-US" w:eastAsia="zh-CN" w:bidi="ar"/>
        </w:rPr>
        <w:t>5在中国境内完成。</w:t>
      </w:r>
    </w:p>
    <w:p w14:paraId="28286748">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u w:val="single"/>
          <w:lang w:val="en-US" w:eastAsia="zh-CN" w:bidi="ar"/>
        </w:rPr>
        <w:t>（产品名称2）</w:t>
      </w:r>
      <w:r>
        <w:rPr>
          <w:rFonts w:hint="eastAsia" w:ascii="宋体" w:hAnsi="宋体" w:eastAsia="宋体" w:cs="宋体"/>
          <w:color w:val="auto"/>
          <w:kern w:val="0"/>
          <w:sz w:val="21"/>
          <w:szCs w:val="21"/>
          <w:highlight w:val="none"/>
          <w:lang w:val="en-US" w:eastAsia="zh-CN" w:bidi="ar"/>
        </w:rPr>
        <w:t>，生产厂为</w:t>
      </w:r>
      <w:r>
        <w:rPr>
          <w:rFonts w:hint="eastAsia" w:ascii="宋体" w:hAnsi="宋体" w:eastAsia="宋体" w:cs="宋体"/>
          <w:color w:val="auto"/>
          <w:kern w:val="0"/>
          <w:sz w:val="21"/>
          <w:szCs w:val="21"/>
          <w:highlight w:val="none"/>
          <w:u w:val="single"/>
          <w:lang w:val="en-US" w:eastAsia="zh-CN" w:bidi="ar"/>
        </w:rPr>
        <w:t>（厂名）</w:t>
      </w:r>
      <w:r>
        <w:rPr>
          <w:rFonts w:hint="eastAsia" w:ascii="宋体" w:hAnsi="宋体" w:eastAsia="宋体" w:cs="宋体"/>
          <w:color w:val="auto"/>
          <w:kern w:val="0"/>
          <w:sz w:val="21"/>
          <w:szCs w:val="21"/>
          <w:highlight w:val="none"/>
          <w:lang w:val="en-US" w:eastAsia="zh-CN" w:bidi="ar"/>
        </w:rPr>
        <w:t>，厂址为</w:t>
      </w:r>
      <w:r>
        <w:rPr>
          <w:rFonts w:hint="eastAsia" w:ascii="宋体" w:hAnsi="宋体" w:eastAsia="宋体" w:cs="宋体"/>
          <w:color w:val="auto"/>
          <w:kern w:val="0"/>
          <w:sz w:val="21"/>
          <w:szCs w:val="21"/>
          <w:highlight w:val="none"/>
          <w:u w:val="single"/>
          <w:lang w:val="en-US" w:eastAsia="zh-CN" w:bidi="ar"/>
        </w:rPr>
        <w:t>（生产厂址）</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（产品名称2）</w:t>
      </w:r>
      <w:r>
        <w:rPr>
          <w:rFonts w:hint="eastAsia" w:ascii="宋体" w:hAnsi="宋体" w:eastAsia="宋体" w:cs="宋体"/>
          <w:color w:val="auto"/>
          <w:kern w:val="0"/>
          <w:sz w:val="21"/>
          <w:szCs w:val="21"/>
          <w:highlight w:val="none"/>
          <w:lang w:val="en-US" w:eastAsia="zh-CN" w:bidi="ar"/>
        </w:rPr>
        <w:t>的中国境内生产的组件成本占比≥</w:t>
      </w:r>
      <w:r>
        <w:rPr>
          <w:rFonts w:hint="eastAsia" w:ascii="宋体" w:hAnsi="宋体" w:eastAsia="宋体" w:cs="宋体"/>
          <w:color w:val="auto"/>
          <w:kern w:val="0"/>
          <w:sz w:val="21"/>
          <w:szCs w:val="21"/>
          <w:highlight w:val="none"/>
          <w:u w:val="single"/>
          <w:lang w:val="en-US" w:eastAsia="zh-CN" w:bidi="ar"/>
        </w:rPr>
        <w:t>（规定比例）</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（产品名称2）</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（关键组件）</w:t>
      </w:r>
      <w:r>
        <w:rPr>
          <w:rFonts w:hint="eastAsia" w:ascii="宋体" w:hAnsi="宋体" w:eastAsia="宋体" w:cs="宋体"/>
          <w:color w:val="auto"/>
          <w:kern w:val="0"/>
          <w:sz w:val="21"/>
          <w:szCs w:val="21"/>
          <w:highlight w:val="none"/>
          <w:lang w:val="en-US" w:eastAsia="zh-CN" w:bidi="ar"/>
        </w:rPr>
        <w:t>在中国境内生产。</w:t>
      </w:r>
      <w:r>
        <w:rPr>
          <w:rFonts w:hint="eastAsia" w:ascii="宋体" w:hAnsi="宋体" w:eastAsia="宋体" w:cs="宋体"/>
          <w:color w:val="auto"/>
          <w:kern w:val="0"/>
          <w:sz w:val="21"/>
          <w:szCs w:val="21"/>
          <w:highlight w:val="none"/>
          <w:u w:val="single"/>
          <w:lang w:val="en-US" w:eastAsia="zh-CN" w:bidi="ar"/>
        </w:rPr>
        <w:t>（产品名称2）</w:t>
      </w:r>
      <w:r>
        <w:rPr>
          <w:rFonts w:hint="eastAsia" w:ascii="宋体" w:hAnsi="宋体" w:eastAsia="宋体" w:cs="宋体"/>
          <w:color w:val="auto"/>
          <w:kern w:val="0"/>
          <w:sz w:val="21"/>
          <w:szCs w:val="21"/>
          <w:highlight w:val="none"/>
          <w:lang w:val="en-US" w:eastAsia="zh-CN" w:bidi="ar"/>
        </w:rPr>
        <w:t>的（关键工序）在中国境内完成。</w:t>
      </w:r>
    </w:p>
    <w:p w14:paraId="145DF46B">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p>
    <w:p w14:paraId="744EFAF0">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本公司（单位）对上述声明内容的真实性负责。如有虚假，愿承担相应法律责任。</w:t>
      </w:r>
    </w:p>
    <w:p w14:paraId="444A395C">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55768D2C">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公司（单位）名称（盖章）：　        </w:t>
      </w:r>
    </w:p>
    <w:p w14:paraId="0E8001EC">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日期：　     年　  月　  日         </w:t>
      </w:r>
    </w:p>
    <w:p w14:paraId="4569F5B1">
      <w:pPr>
        <w:keepNext w:val="0"/>
        <w:keepLines w:val="0"/>
        <w:widowControl/>
        <w:suppressLineNumbers w:val="0"/>
        <w:autoSpaceDE/>
        <w:autoSpaceDN/>
        <w:adjustRightInd/>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p>
    <w:p w14:paraId="67EA05AB">
      <w:pPr>
        <w:keepNext w:val="0"/>
        <w:keepLines w:val="0"/>
        <w:widowControl/>
        <w:suppressLineNumbers w:val="0"/>
        <w:autoSpaceDE/>
        <w:autoSpaceDN/>
        <w:adjustRightInd/>
        <w:spacing w:line="360" w:lineRule="auto"/>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注：</w:t>
      </w:r>
      <w:r>
        <w:rPr>
          <w:rFonts w:hint="eastAsia" w:ascii="宋体" w:hAnsi="宋体" w:eastAsia="宋体" w:cs="宋体"/>
          <w:color w:val="auto"/>
          <w:kern w:val="0"/>
          <w:sz w:val="21"/>
          <w:szCs w:val="21"/>
          <w:highlight w:val="none"/>
          <w:lang w:val="en-US" w:eastAsia="zh-CN" w:bidi="ar"/>
        </w:rPr>
        <w:t>1.产品如有型号，请在“产品名称”栏一并填写。</w:t>
      </w:r>
    </w:p>
    <w:p w14:paraId="551B5796">
      <w:pPr>
        <w:keepNext w:val="0"/>
        <w:keepLines w:val="0"/>
        <w:widowControl/>
        <w:suppressLineNumbers w:val="0"/>
        <w:autoSpaceDE/>
        <w:autoSpaceDN/>
        <w:adjustRightInd/>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2.生产厂名与厂址应与生产厂营业执照载明的相关信息保持一致。</w:t>
      </w:r>
    </w:p>
    <w:p w14:paraId="7AB8032A">
      <w:pPr>
        <w:keepNext w:val="0"/>
        <w:keepLines w:val="0"/>
        <w:widowControl/>
        <w:suppressLineNumbers w:val="0"/>
        <w:autoSpaceDE/>
        <w:autoSpaceDN/>
        <w:adjustRightInd/>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3.该产品的中国境内生产的组件成本占比相关要求实施前，“规定比例”栏可不填，下同。</w:t>
      </w:r>
    </w:p>
    <w:p w14:paraId="32D9578E">
      <w:pPr>
        <w:keepNext w:val="0"/>
        <w:keepLines w:val="0"/>
        <w:widowControl/>
        <w:suppressLineNumbers w:val="0"/>
        <w:autoSpaceDE/>
        <w:autoSpaceDN/>
        <w:adjustRightInd/>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4.该产品的关键组件要求实施前，“关键组件”栏可不填，下同。</w:t>
      </w:r>
    </w:p>
    <w:p w14:paraId="28AB328C">
      <w:pPr>
        <w:keepNext w:val="0"/>
        <w:keepLines w:val="0"/>
        <w:widowControl/>
        <w:suppressLineNumbers w:val="0"/>
        <w:autoSpaceDE/>
        <w:autoSpaceDN/>
        <w:adjustRightInd/>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5.该产品的关键工序要求实施前，“关键工序”栏可不填，下同。</w:t>
      </w:r>
    </w:p>
    <w:p w14:paraId="60E3911D">
      <w:pPr>
        <w:autoSpaceDE/>
        <w:autoSpaceDN/>
        <w:adjustRightInd/>
        <w:spacing w:line="360" w:lineRule="auto"/>
        <w:rPr>
          <w:rFonts w:hint="eastAsia" w:ascii="宋体" w:hAnsi="宋体" w:eastAsia="宋体" w:cs="宋体"/>
          <w:b w:val="0"/>
          <w:bCs w:val="0"/>
          <w:i w:val="0"/>
          <w:iCs w:val="0"/>
          <w:color w:val="auto"/>
          <w:kern w:val="0"/>
          <w:sz w:val="21"/>
          <w:szCs w:val="21"/>
          <w:highlight w:val="none"/>
          <w:lang w:val="en-US" w:eastAsia="zh-CN" w:bidi="ar"/>
        </w:rPr>
      </w:pPr>
      <w:r>
        <w:rPr>
          <w:rFonts w:hint="eastAsia" w:ascii="宋体" w:hAnsi="宋体" w:eastAsia="宋体" w:cs="宋体"/>
          <w:b w:val="0"/>
          <w:bCs w:val="0"/>
          <w:i w:val="0"/>
          <w:iCs w:val="0"/>
          <w:color w:val="auto"/>
          <w:kern w:val="0"/>
          <w:sz w:val="21"/>
          <w:szCs w:val="21"/>
          <w:highlight w:val="none"/>
          <w:lang w:val="en-US" w:eastAsia="zh-CN" w:bidi="ar"/>
        </w:rPr>
        <w:br w:type="page"/>
      </w:r>
    </w:p>
    <w:p w14:paraId="1A8CB1FE">
      <w:pPr>
        <w:autoSpaceDE/>
        <w:autoSpaceDN/>
        <w:adjustRightInd/>
        <w:spacing w:line="360" w:lineRule="auto"/>
        <w:rPr>
          <w:rFonts w:hint="default" w:ascii="宋体" w:hAnsi="宋体" w:eastAsia="宋体" w:cs="宋体"/>
          <w:color w:val="auto"/>
          <w:spacing w:val="6"/>
          <w:kern w:val="2"/>
          <w:sz w:val="21"/>
          <w:szCs w:val="21"/>
          <w:highlight w:val="none"/>
          <w:lang w:val="en-US" w:eastAsia="zh-CN"/>
        </w:rPr>
      </w:pPr>
      <w:r>
        <w:rPr>
          <w:rFonts w:hint="eastAsia" w:ascii="宋体" w:hAnsi="宋体" w:eastAsia="宋体" w:cs="宋体"/>
          <w:color w:val="auto"/>
          <w:spacing w:val="6"/>
          <w:kern w:val="2"/>
          <w:sz w:val="21"/>
          <w:szCs w:val="21"/>
          <w:highlight w:val="none"/>
          <w:lang w:val="en-US" w:eastAsia="zh-CN"/>
        </w:rPr>
        <w:t>附件2</w:t>
      </w:r>
    </w:p>
    <w:p w14:paraId="1BC4454B">
      <w:pPr>
        <w:autoSpaceDE/>
        <w:autoSpaceDN/>
        <w:adjustRightInd/>
        <w:spacing w:line="360" w:lineRule="auto"/>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（二）本国产品成本占比承诺函</w:t>
      </w:r>
    </w:p>
    <w:p w14:paraId="39221A2D">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宋体" w:hAnsi="宋体" w:eastAsia="宋体" w:cs="Times New Roman"/>
          <w:color w:val="auto"/>
          <w:kern w:val="2"/>
          <w:sz w:val="24"/>
          <w:szCs w:val="24"/>
          <w:highlight w:val="none"/>
        </w:rPr>
      </w:pPr>
    </w:p>
    <w:p w14:paraId="603F1A62">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致:[采购人/采购代理机构名称]</w:t>
      </w:r>
    </w:p>
    <w:p w14:paraId="460039EE">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本单位就参与[项目名称      、编号      ]政府采购项目，郑重承诺如下:</w:t>
      </w:r>
    </w:p>
    <w:p w14:paraId="20E2C1B7">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本单位为该项目(或采购包)提供的符合本国产品标准的产品成本之和，占所提供全部产品成本之和的比例为</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%。本承诺内容真实有效，若存在虚假承诺，愿意承担相应法律责任，放弃中标(成交)资格，并接受政府采购监管部门处罚。</w:t>
      </w:r>
    </w:p>
    <w:p w14:paraId="77428BAD">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32537AD1">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承诺人(供应商公章):</w:t>
      </w:r>
    </w:p>
    <w:p w14:paraId="7FAFAA0B">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法定代表人或授权代表签字:</w:t>
      </w:r>
    </w:p>
    <w:p w14:paraId="27306C94">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日期:  年  月  日</w:t>
      </w:r>
    </w:p>
    <w:p w14:paraId="7AC19D37">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0D04C5B8">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17A6D0F7">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546868FD">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50141B86">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10B691E6">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323BA7E9">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0AF28CF8">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6FCC1640">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0A32EFB8">
      <w:pPr>
        <w:keepNext w:val="0"/>
        <w:keepLines w:val="0"/>
        <w:widowControl/>
        <w:suppressLineNumbers w:val="0"/>
        <w:autoSpaceDE/>
        <w:autoSpaceDN/>
        <w:adjustRightInd/>
        <w:spacing w:line="360" w:lineRule="auto"/>
        <w:ind w:firstLine="420" w:firstLineChars="200"/>
        <w:jc w:val="both"/>
        <w:rPr>
          <w:rFonts w:hint="eastAsia" w:ascii="宋体" w:hAnsi="宋体" w:eastAsia="宋体" w:cs="宋体"/>
          <w:color w:val="auto"/>
          <w:kern w:val="0"/>
          <w:sz w:val="21"/>
          <w:szCs w:val="21"/>
          <w:highlight w:val="none"/>
          <w:lang w:val="en-US" w:eastAsia="zh-CN" w:bidi="ar"/>
        </w:rPr>
      </w:pPr>
    </w:p>
    <w:p w14:paraId="5C99B994">
      <w:pPr>
        <w:keepNext w:val="0"/>
        <w:keepLines w:val="0"/>
        <w:widowControl/>
        <w:suppressLineNumbers w:val="0"/>
        <w:jc w:val="both"/>
        <w:rPr>
          <w:rFonts w:hint="eastAsia" w:ascii="仿宋" w:hAnsi="仿宋" w:eastAsia="仿宋" w:cs="仿宋"/>
          <w:color w:val="auto"/>
          <w:spacing w:val="1"/>
          <w:sz w:val="28"/>
          <w:szCs w:val="28"/>
          <w:highlight w:val="none"/>
        </w:rPr>
      </w:pPr>
      <w:r>
        <w:rPr>
          <w:rFonts w:hint="eastAsia" w:ascii="宋体" w:hAnsi="宋体" w:eastAsia="宋体" w:cs="宋体"/>
          <w:b/>
          <w:bCs/>
          <w:strike w:val="0"/>
          <w:dstrike w:val="0"/>
          <w:color w:val="auto"/>
          <w:kern w:val="0"/>
          <w:sz w:val="21"/>
          <w:szCs w:val="21"/>
          <w:highlight w:val="none"/>
          <w:lang w:val="en-US" w:eastAsia="zh-CN" w:bidi="ar"/>
        </w:rPr>
        <w:t>注：</w:t>
      </w:r>
      <w:r>
        <w:rPr>
          <w:rFonts w:hint="eastAsia" w:ascii="宋体" w:hAnsi="宋体" w:eastAsia="宋体" w:cs="宋体"/>
          <w:strike w:val="0"/>
          <w:dstrike w:val="0"/>
          <w:color w:val="auto"/>
          <w:kern w:val="0"/>
          <w:sz w:val="21"/>
          <w:szCs w:val="21"/>
          <w:highlight w:val="none"/>
          <w:lang w:val="en-US" w:eastAsia="zh-CN" w:bidi="ar"/>
        </w:rPr>
        <w:t>若供应商所投产品均符合本国产品标准，且已提供《声明函》，可不填写《承诺函》</w:t>
      </w:r>
    </w:p>
    <w:sectPr>
      <w:footerReference r:id="rId12" w:type="first"/>
      <w:headerReference r:id="rId10" w:type="default"/>
      <w:footerReference r:id="rId11" w:type="default"/>
      <w:pgSz w:w="11906" w:h="16838"/>
      <w:pgMar w:top="1440" w:right="1797" w:bottom="1440" w:left="1797" w:header="851" w:footer="992" w:gutter="0"/>
      <w:pgNumType w:fmt="decimal"/>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6D6C495-DE43-4AFF-9C95-78AB45854684}"/>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20C59D8D-ED89-4CCA-9BE9-6DCAA1B7F5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6716CE02-6E20-41BA-81DA-BDBAAF5EF429}"/>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embedRegular r:id="rId4" w:fontKey="{9C1192AE-B04D-48FC-8970-D9D7D2A5ABD6}"/>
  </w:font>
  <w:font w:name="仿宋">
    <w:panose1 w:val="02010609060101010101"/>
    <w:charset w:val="86"/>
    <w:family w:val="modern"/>
    <w:pitch w:val="default"/>
    <w:sig w:usb0="800002BF" w:usb1="38CF7CFA" w:usb2="00000016" w:usb3="00000000" w:csb0="00040001" w:csb1="00000000"/>
    <w:embedRegular r:id="rId5" w:fontKey="{674C7E34-D173-41B9-8E9C-674BE3BE6D1C}"/>
  </w:font>
  <w:font w:name="仿宋_GB2312">
    <w:altName w:val="仿宋"/>
    <w:panose1 w:val="02010609030101010101"/>
    <w:charset w:val="86"/>
    <w:family w:val="modern"/>
    <w:pitch w:val="default"/>
    <w:sig w:usb0="00000000" w:usb1="00000000" w:usb2="00000000" w:usb3="00000000" w:csb0="00040000" w:csb1="00000000"/>
    <w:embedRegular r:id="rId6" w:fontKey="{8ABA0281-294C-4751-8C23-A414CF5E9BAD}"/>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Bahnschrift SemiBold">
    <w:panose1 w:val="020B0502040204020203"/>
    <w:charset w:val="00"/>
    <w:family w:val="swiss"/>
    <w:pitch w:val="default"/>
    <w:sig w:usb0="A00002C7" w:usb1="00000002" w:usb2="00000000" w:usb3="00000000" w:csb0="2000019F" w:csb1="00000000"/>
  </w:font>
  <w:font w:name="华文中宋">
    <w:panose1 w:val="02010600040101010101"/>
    <w:charset w:val="86"/>
    <w:family w:val="auto"/>
    <w:pitch w:val="default"/>
    <w:sig w:usb0="00000287" w:usb1="080F0000" w:usb2="00000000" w:usb3="00000000" w:csb0="0004009F" w:csb1="DFD70000"/>
    <w:embedRegular r:id="rId7" w:fontKey="{38CD744A-1457-4412-A93E-DEEDA2033604}"/>
  </w:font>
  <w:font w:name="Helvetica">
    <w:altName w:val="Arial"/>
    <w:panose1 w:val="020B0504020202020204"/>
    <w:charset w:val="00"/>
    <w:family w:val="swiss"/>
    <w:pitch w:val="default"/>
    <w:sig w:usb0="00000000" w:usb1="00000000" w:usb2="00000000" w:usb3="00000000" w:csb0="00000001" w:csb1="00000000"/>
    <w:embedRegular r:id="rId8" w:fontKey="{113BC635-E001-4B91-B780-9A30EF9A2A5A}"/>
  </w:font>
  <w:font w:name="等线 Light">
    <w:panose1 w:val="02010600030101010101"/>
    <w:charset w:val="86"/>
    <w:family w:val="auto"/>
    <w:pitch w:val="default"/>
    <w:sig w:usb0="A00002BF" w:usb1="38CF7CFA" w:usb2="00000016" w:usb3="00000000" w:csb0="0004000F" w:csb1="00000000"/>
    <w:embedRegular r:id="rId9" w:fontKey="{C2EB4B59-8270-4735-9184-26AD246740EA}"/>
  </w:font>
  <w:font w:name="WPSEMBED1">
    <w:panose1 w:val="02010600040101010101"/>
    <w:charset w:val="86"/>
    <w:family w:val="auto"/>
    <w:pitch w:val="default"/>
    <w:sig w:usb0="00000287" w:usb1="080F0000" w:usb2="00000000" w:usb3="00000000" w:csb0="0004009F" w:csb1="DFD70000"/>
  </w:font>
  <w:font w:name="WPSEMBED2">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4474">
    <w:pPr>
      <w:pStyle w:val="16"/>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CC98A3">
                          <w:pPr>
                            <w:pStyle w:val="16"/>
                            <w:rPr>
                              <w:rFonts w:hint="eastAsia"/>
                            </w:rPr>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BCC98A3">
                    <w:pPr>
                      <w:pStyle w:val="16"/>
                      <w:rPr>
                        <w:rFonts w:hint="eastAsia"/>
                      </w:rPr>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E5567">
    <w:pPr>
      <w:pStyle w:val="16"/>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2A86E">
                          <w:pPr>
                            <w:pStyle w:val="16"/>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272A86E">
                    <w:pPr>
                      <w:pStyle w:val="16"/>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p w14:paraId="5FEF1294">
    <w:pPr>
      <w:pStyle w:val="1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63ED">
    <w:pPr>
      <w:pStyle w:val="16"/>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2EB9C">
                          <w:pPr>
                            <w:pStyle w:val="16"/>
                            <w:rPr>
                              <w:rFonts w:hint="eastAsia"/>
                            </w:rPr>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872EB9C">
                    <w:pPr>
                      <w:pStyle w:val="16"/>
                      <w:rPr>
                        <w:rFonts w:hint="eastAsia"/>
                      </w:rPr>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51F9">
    <w:pPr>
      <w:pStyle w:val="16"/>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0E722C">
                          <w:pPr>
                            <w:pStyle w:val="16"/>
                            <w:rPr>
                              <w:rFonts w:hint="eastAsia"/>
                            </w:rPr>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420E722C">
                    <w:pPr>
                      <w:pStyle w:val="16"/>
                      <w:rPr>
                        <w:rFonts w:hint="eastAsia"/>
                      </w:rPr>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8ED2D">
    <w:pPr>
      <w:pStyle w:val="17"/>
    </w:pPr>
    <w:r>
      <w:rPr>
        <w:sz w:val="18"/>
      </w:rP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5274310" cy="3911600"/>
          <wp:effectExtent l="0" t="0" r="2540" b="12700"/>
          <wp:wrapNone/>
          <wp:docPr id="1" name="WordPictureWatermark39208" descr="7e3f218c517a4b937759a73a8edc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39208" descr="7e3f218c517a4b937759a73a8edc7496"/>
                  <pic:cNvPicPr>
                    <a:picLocks noChangeAspect="1"/>
                  </pic:cNvPicPr>
                </pic:nvPicPr>
                <pic:blipFill>
                  <a:blip r:embed="rId1">
                    <a:lum bright="69998" contrast="-70001"/>
                  </a:blip>
                  <a:stretch>
                    <a:fillRect/>
                  </a:stretch>
                </pic:blipFill>
                <pic:spPr>
                  <a:xfrm>
                    <a:off x="0" y="0"/>
                    <a:ext cx="5274310" cy="39116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8EF42">
    <w:pPr>
      <w:pStyle w:val="17"/>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4310" cy="3911600"/>
          <wp:effectExtent l="0" t="0" r="2540" b="12700"/>
          <wp:wrapNone/>
          <wp:docPr id="8" name="WordPictureWatermark39208" descr="7e3f218c517a4b937759a73a8edc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39208" descr="7e3f218c517a4b937759a73a8edc7496"/>
                  <pic:cNvPicPr>
                    <a:picLocks noChangeAspect="1"/>
                  </pic:cNvPicPr>
                </pic:nvPicPr>
                <pic:blipFill>
                  <a:blip r:embed="rId1">
                    <a:lum bright="69998" contrast="-70001"/>
                  </a:blip>
                  <a:stretch>
                    <a:fillRect/>
                  </a:stretch>
                </pic:blipFill>
                <pic:spPr>
                  <a:xfrm>
                    <a:off x="0" y="0"/>
                    <a:ext cx="5274310" cy="391160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664C8">
    <w:pPr>
      <w:pStyle w:val="17"/>
      <w:rPr>
        <w:rFonts w:hint="eastAsia"/>
      </w:rPr>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4310" cy="3911600"/>
          <wp:effectExtent l="0" t="0" r="2540" b="12700"/>
          <wp:wrapNone/>
          <wp:docPr id="3" name="WordPictureWatermark39208" descr="7e3f218c517a4b937759a73a8edc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9208" descr="7e3f218c517a4b937759a73a8edc7496"/>
                  <pic:cNvPicPr>
                    <a:picLocks noChangeAspect="1"/>
                  </pic:cNvPicPr>
                </pic:nvPicPr>
                <pic:blipFill>
                  <a:blip r:embed="rId1">
                    <a:lum bright="69998" contrast="-70001"/>
                  </a:blip>
                  <a:stretch>
                    <a:fillRect/>
                  </a:stretch>
                </pic:blipFill>
                <pic:spPr>
                  <a:xfrm>
                    <a:off x="0" y="0"/>
                    <a:ext cx="5274310" cy="391160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31218">
    <w:pPr>
      <w:pStyle w:val="17"/>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4310" cy="3911600"/>
          <wp:effectExtent l="0" t="0" r="2540" b="12700"/>
          <wp:wrapNone/>
          <wp:docPr id="9" name="WordPictureWatermark39208" descr="7e3f218c517a4b937759a73a8edc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39208" descr="7e3f218c517a4b937759a73a8edc7496"/>
                  <pic:cNvPicPr>
                    <a:picLocks noChangeAspect="1"/>
                  </pic:cNvPicPr>
                </pic:nvPicPr>
                <pic:blipFill>
                  <a:blip r:embed="rId1">
                    <a:lum bright="69998" contrast="-70001"/>
                  </a:blip>
                  <a:stretch>
                    <a:fillRect/>
                  </a:stretch>
                </pic:blipFill>
                <pic:spPr>
                  <a:xfrm>
                    <a:off x="0" y="0"/>
                    <a:ext cx="5274310" cy="39116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C58DB3"/>
    <w:multiLevelType w:val="singleLevel"/>
    <w:tmpl w:val="FFC58DB3"/>
    <w:lvl w:ilvl="0" w:tentative="0">
      <w:start w:val="1"/>
      <w:numFmt w:val="decimal"/>
      <w:suff w:val="nothing"/>
      <w:lvlText w:val="%1．"/>
      <w:lvlJc w:val="left"/>
      <w:pPr>
        <w:ind w:left="0" w:firstLine="400"/>
      </w:pPr>
      <w:rPr>
        <w:rFonts w:hint="default"/>
      </w:rPr>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1E959DD6"/>
    <w:multiLevelType w:val="singleLevel"/>
    <w:tmpl w:val="1E959DD6"/>
    <w:lvl w:ilvl="0" w:tentative="0">
      <w:start w:val="1"/>
      <w:numFmt w:val="decimal"/>
      <w:lvlText w:val="%1."/>
      <w:lvlJc w:val="left"/>
      <w:pPr>
        <w:tabs>
          <w:tab w:val="left" w:pos="312"/>
        </w:tabs>
      </w:pPr>
    </w:lvl>
  </w:abstractNum>
  <w:abstractNum w:abstractNumId="8">
    <w:nsid w:val="33AE28E9"/>
    <w:multiLevelType w:val="singleLevel"/>
    <w:tmpl w:val="33AE28E9"/>
    <w:lvl w:ilvl="0" w:tentative="0">
      <w:start w:val="3"/>
      <w:numFmt w:val="chineseCounting"/>
      <w:suff w:val="space"/>
      <w:lvlText w:val="第%1部分"/>
      <w:lvlJc w:val="left"/>
      <w:rPr>
        <w:rFonts w:hint="eastAsia"/>
      </w:rPr>
    </w:lvl>
  </w:abstractNum>
  <w:abstractNum w:abstractNumId="9">
    <w:nsid w:val="49181758"/>
    <w:multiLevelType w:val="singleLevel"/>
    <w:tmpl w:val="49181758"/>
    <w:lvl w:ilvl="0" w:tentative="0">
      <w:start w:val="1"/>
      <w:numFmt w:val="decimal"/>
      <w:pStyle w:val="21"/>
      <w:lvlText w:val="%1."/>
      <w:lvlJc w:val="left"/>
      <w:pPr>
        <w:tabs>
          <w:tab w:val="left" w:pos="2040"/>
        </w:tabs>
        <w:ind w:left="2040" w:hanging="360"/>
      </w:pPr>
    </w:lvl>
  </w:abstractNum>
  <w:abstractNum w:abstractNumId="10">
    <w:nsid w:val="656D6133"/>
    <w:multiLevelType w:val="multilevel"/>
    <w:tmpl w:val="656D6133"/>
    <w:lvl w:ilvl="0" w:tentative="0">
      <w:start w:val="1"/>
      <w:numFmt w:val="chineseCountingThousand"/>
      <w:suff w:val="nothing"/>
      <w:lvlText w:val="第%1部分"/>
      <w:lvlJc w:val="center"/>
      <w:pPr>
        <w:ind w:left="0" w:firstLine="288"/>
      </w:pPr>
      <w:rPr>
        <w:rFonts w:hint="eastAsia"/>
        <w:sz w:val="28"/>
        <w:szCs w:val="28"/>
      </w:rPr>
    </w:lvl>
    <w:lvl w:ilvl="1" w:tentative="0">
      <w:start w:val="1"/>
      <w:numFmt w:val="chineseCountingThousand"/>
      <w:pStyle w:val="3"/>
      <w:suff w:val="nothing"/>
      <w:lvlText w:val="%2、"/>
      <w:lvlJc w:val="left"/>
      <w:pPr>
        <w:ind w:left="240" w:firstLine="0"/>
      </w:pPr>
      <w:rPr>
        <w:rFonts w:hint="eastAsia" w:ascii="宋体" w:hAnsi="宋体" w:eastAsia="宋体"/>
        <w:sz w:val="24"/>
        <w:szCs w:val="24"/>
        <w:lang w:val="en-US"/>
      </w:rPr>
    </w:lvl>
    <w:lvl w:ilvl="2" w:tentative="0">
      <w:start w:val="1"/>
      <w:numFmt w:val="chineseCountingThousand"/>
      <w:pStyle w:val="4"/>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5"/>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pStyle w:val="6"/>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1">
    <w:nsid w:val="6D0E5F0A"/>
    <w:multiLevelType w:val="singleLevel"/>
    <w:tmpl w:val="6D0E5F0A"/>
    <w:lvl w:ilvl="0" w:tentative="0">
      <w:start w:val="5"/>
      <w:numFmt w:val="chineseCounting"/>
      <w:suff w:val="space"/>
      <w:lvlText w:val="第%1章"/>
      <w:lvlJc w:val="left"/>
      <w:rPr>
        <w:rFonts w:hint="eastAsia"/>
      </w:rPr>
    </w:lvl>
  </w:abstractNum>
  <w:abstractNum w:abstractNumId="12">
    <w:nsid w:val="7A0F6431"/>
    <w:multiLevelType w:val="singleLevel"/>
    <w:tmpl w:val="7A0F6431"/>
    <w:lvl w:ilvl="0" w:tentative="0">
      <w:start w:val="1"/>
      <w:numFmt w:val="decimal"/>
      <w:suff w:val="space"/>
      <w:lvlText w:val="%1."/>
      <w:lvlJc w:val="left"/>
    </w:lvl>
  </w:abstractNum>
  <w:num w:numId="1">
    <w:abstractNumId w:val="10"/>
  </w:num>
  <w:num w:numId="2">
    <w:abstractNumId w:val="9"/>
  </w:num>
  <w:num w:numId="3">
    <w:abstractNumId w:val="8"/>
  </w:num>
  <w:num w:numId="4">
    <w:abstractNumId w:val="11"/>
  </w:num>
  <w:num w:numId="5">
    <w:abstractNumId w:val="12"/>
  </w:num>
  <w:num w:numId="6">
    <w:abstractNumId w:val="1"/>
  </w:num>
  <w:num w:numId="7">
    <w:abstractNumId w:val="6"/>
  </w:num>
  <w:num w:numId="8">
    <w:abstractNumId w:val="3"/>
  </w:num>
  <w:num w:numId="9">
    <w:abstractNumId w:val="2"/>
  </w:num>
  <w:num w:numId="10">
    <w:abstractNumId w:val="0"/>
  </w:num>
  <w:num w:numId="11">
    <w:abstractNumId w:val="4"/>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formatting="1"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lZGVjYjM0NDdmMWIyZDVkNmRjMGZhMzIyOTljN2IifQ=="/>
    <w:docVar w:name="KSO_WPS_MARK_KEY" w:val="5c0e8c10-19c6-4b22-8388-4e7a9c621745"/>
  </w:docVars>
  <w:rsids>
    <w:rsidRoot w:val="0042245F"/>
    <w:rsid w:val="0000350B"/>
    <w:rsid w:val="0000505F"/>
    <w:rsid w:val="00024A00"/>
    <w:rsid w:val="00031F73"/>
    <w:rsid w:val="00054203"/>
    <w:rsid w:val="000A0255"/>
    <w:rsid w:val="000A6306"/>
    <w:rsid w:val="000B1124"/>
    <w:rsid w:val="000D3773"/>
    <w:rsid w:val="000F03F8"/>
    <w:rsid w:val="001046F8"/>
    <w:rsid w:val="0011153F"/>
    <w:rsid w:val="00111770"/>
    <w:rsid w:val="00171703"/>
    <w:rsid w:val="00175384"/>
    <w:rsid w:val="00186EF1"/>
    <w:rsid w:val="001A2968"/>
    <w:rsid w:val="001C139A"/>
    <w:rsid w:val="001C234C"/>
    <w:rsid w:val="00220B44"/>
    <w:rsid w:val="002830F5"/>
    <w:rsid w:val="002A721F"/>
    <w:rsid w:val="002E79F1"/>
    <w:rsid w:val="00313887"/>
    <w:rsid w:val="00356BA3"/>
    <w:rsid w:val="00381040"/>
    <w:rsid w:val="0042245F"/>
    <w:rsid w:val="00461DD1"/>
    <w:rsid w:val="00470413"/>
    <w:rsid w:val="00523788"/>
    <w:rsid w:val="00561B99"/>
    <w:rsid w:val="005667E1"/>
    <w:rsid w:val="00577A14"/>
    <w:rsid w:val="00651158"/>
    <w:rsid w:val="006D20E1"/>
    <w:rsid w:val="006E185F"/>
    <w:rsid w:val="00715D95"/>
    <w:rsid w:val="0078487F"/>
    <w:rsid w:val="007E01D1"/>
    <w:rsid w:val="00817A7A"/>
    <w:rsid w:val="0082113C"/>
    <w:rsid w:val="00821534"/>
    <w:rsid w:val="00822CE6"/>
    <w:rsid w:val="0085713B"/>
    <w:rsid w:val="008C448C"/>
    <w:rsid w:val="008D300E"/>
    <w:rsid w:val="009715CF"/>
    <w:rsid w:val="009A0D34"/>
    <w:rsid w:val="00A14F77"/>
    <w:rsid w:val="00A73221"/>
    <w:rsid w:val="00AA2F24"/>
    <w:rsid w:val="00B03A0E"/>
    <w:rsid w:val="00B14DE3"/>
    <w:rsid w:val="00B210C5"/>
    <w:rsid w:val="00B25401"/>
    <w:rsid w:val="00B3511C"/>
    <w:rsid w:val="00B57A77"/>
    <w:rsid w:val="00B83870"/>
    <w:rsid w:val="00BA7848"/>
    <w:rsid w:val="00BE0CC6"/>
    <w:rsid w:val="00C06A2D"/>
    <w:rsid w:val="00C314A5"/>
    <w:rsid w:val="00C54AE4"/>
    <w:rsid w:val="00C809A5"/>
    <w:rsid w:val="00CA4E7A"/>
    <w:rsid w:val="00CF00E4"/>
    <w:rsid w:val="00CF2DEA"/>
    <w:rsid w:val="00D03BB0"/>
    <w:rsid w:val="00D66DED"/>
    <w:rsid w:val="00DA15B5"/>
    <w:rsid w:val="00E0251E"/>
    <w:rsid w:val="00E31F66"/>
    <w:rsid w:val="00E551E7"/>
    <w:rsid w:val="00E73258"/>
    <w:rsid w:val="00EA1979"/>
    <w:rsid w:val="00EF5EBD"/>
    <w:rsid w:val="00F5322F"/>
    <w:rsid w:val="00F74665"/>
    <w:rsid w:val="00F7500C"/>
    <w:rsid w:val="00FC3E45"/>
    <w:rsid w:val="01057174"/>
    <w:rsid w:val="01396E1E"/>
    <w:rsid w:val="01500973"/>
    <w:rsid w:val="017165B7"/>
    <w:rsid w:val="01814321"/>
    <w:rsid w:val="01954327"/>
    <w:rsid w:val="01CF1921"/>
    <w:rsid w:val="01F01BD2"/>
    <w:rsid w:val="01FB2325"/>
    <w:rsid w:val="01FD7A56"/>
    <w:rsid w:val="021A6C4F"/>
    <w:rsid w:val="022E6257"/>
    <w:rsid w:val="024A787F"/>
    <w:rsid w:val="025D08EA"/>
    <w:rsid w:val="026E7482"/>
    <w:rsid w:val="027163FC"/>
    <w:rsid w:val="02963E5C"/>
    <w:rsid w:val="029C5CB6"/>
    <w:rsid w:val="02EB05EB"/>
    <w:rsid w:val="02F8253A"/>
    <w:rsid w:val="03215DBB"/>
    <w:rsid w:val="03236F11"/>
    <w:rsid w:val="034B0D89"/>
    <w:rsid w:val="03563804"/>
    <w:rsid w:val="035F0A80"/>
    <w:rsid w:val="035F2138"/>
    <w:rsid w:val="03695DB1"/>
    <w:rsid w:val="03C175CB"/>
    <w:rsid w:val="03EC5F64"/>
    <w:rsid w:val="040D5F58"/>
    <w:rsid w:val="041A1188"/>
    <w:rsid w:val="042240ED"/>
    <w:rsid w:val="04387860"/>
    <w:rsid w:val="043B61A7"/>
    <w:rsid w:val="044E0E32"/>
    <w:rsid w:val="045A77D7"/>
    <w:rsid w:val="04AB3B8E"/>
    <w:rsid w:val="04C45982"/>
    <w:rsid w:val="04D550AF"/>
    <w:rsid w:val="04D87B8C"/>
    <w:rsid w:val="051200B1"/>
    <w:rsid w:val="05373674"/>
    <w:rsid w:val="054B711F"/>
    <w:rsid w:val="056A57F8"/>
    <w:rsid w:val="05B465C0"/>
    <w:rsid w:val="05DE56F0"/>
    <w:rsid w:val="05E73405"/>
    <w:rsid w:val="05EB7459"/>
    <w:rsid w:val="06023126"/>
    <w:rsid w:val="0607234F"/>
    <w:rsid w:val="062C4A63"/>
    <w:rsid w:val="06530982"/>
    <w:rsid w:val="06856661"/>
    <w:rsid w:val="06B06658"/>
    <w:rsid w:val="06B52BB6"/>
    <w:rsid w:val="071A324D"/>
    <w:rsid w:val="07393C2F"/>
    <w:rsid w:val="074D2C9A"/>
    <w:rsid w:val="07853973"/>
    <w:rsid w:val="079E5C2C"/>
    <w:rsid w:val="07AA637F"/>
    <w:rsid w:val="07D3436F"/>
    <w:rsid w:val="07D63618"/>
    <w:rsid w:val="07E92CA1"/>
    <w:rsid w:val="08154ABF"/>
    <w:rsid w:val="08517143"/>
    <w:rsid w:val="087A784A"/>
    <w:rsid w:val="08962DA7"/>
    <w:rsid w:val="08D15B8E"/>
    <w:rsid w:val="08DB6A3A"/>
    <w:rsid w:val="08F94F3C"/>
    <w:rsid w:val="09012917"/>
    <w:rsid w:val="090F12DD"/>
    <w:rsid w:val="09181A0E"/>
    <w:rsid w:val="091C779C"/>
    <w:rsid w:val="0936781C"/>
    <w:rsid w:val="093C56FD"/>
    <w:rsid w:val="094C32E9"/>
    <w:rsid w:val="09A01AE0"/>
    <w:rsid w:val="09D4427C"/>
    <w:rsid w:val="09FD300E"/>
    <w:rsid w:val="0A0106F5"/>
    <w:rsid w:val="0A042706"/>
    <w:rsid w:val="0A1905D6"/>
    <w:rsid w:val="0A27015B"/>
    <w:rsid w:val="0A634F0B"/>
    <w:rsid w:val="0A8A06EA"/>
    <w:rsid w:val="0AA12FEE"/>
    <w:rsid w:val="0AA90B70"/>
    <w:rsid w:val="0AB053E0"/>
    <w:rsid w:val="0AB85257"/>
    <w:rsid w:val="0ACD488B"/>
    <w:rsid w:val="0AD100C7"/>
    <w:rsid w:val="0ADF51A0"/>
    <w:rsid w:val="0AE86A79"/>
    <w:rsid w:val="0AF4355F"/>
    <w:rsid w:val="0B04591C"/>
    <w:rsid w:val="0B302F90"/>
    <w:rsid w:val="0B444D3D"/>
    <w:rsid w:val="0B7F43AB"/>
    <w:rsid w:val="0BB23197"/>
    <w:rsid w:val="0BF02A7B"/>
    <w:rsid w:val="0BFF4450"/>
    <w:rsid w:val="0C410CB5"/>
    <w:rsid w:val="0C6D355B"/>
    <w:rsid w:val="0C765747"/>
    <w:rsid w:val="0C7927C4"/>
    <w:rsid w:val="0C7E427E"/>
    <w:rsid w:val="0CB50674"/>
    <w:rsid w:val="0CE9324B"/>
    <w:rsid w:val="0CF91BC5"/>
    <w:rsid w:val="0D29243C"/>
    <w:rsid w:val="0D411534"/>
    <w:rsid w:val="0D6C7D92"/>
    <w:rsid w:val="0D9E32C1"/>
    <w:rsid w:val="0DAD5587"/>
    <w:rsid w:val="0DB8731C"/>
    <w:rsid w:val="0DDC74AE"/>
    <w:rsid w:val="0DF07695"/>
    <w:rsid w:val="0DFB06D3"/>
    <w:rsid w:val="0E245572"/>
    <w:rsid w:val="0E484B44"/>
    <w:rsid w:val="0E643771"/>
    <w:rsid w:val="0E866FDA"/>
    <w:rsid w:val="0E8D07A9"/>
    <w:rsid w:val="0E925DBF"/>
    <w:rsid w:val="0EA33B28"/>
    <w:rsid w:val="0EB45D35"/>
    <w:rsid w:val="0EBB3568"/>
    <w:rsid w:val="0EE2186A"/>
    <w:rsid w:val="0EEE109C"/>
    <w:rsid w:val="0F566DED"/>
    <w:rsid w:val="0F6C5534"/>
    <w:rsid w:val="0F726251"/>
    <w:rsid w:val="0FA22032"/>
    <w:rsid w:val="0FA91612"/>
    <w:rsid w:val="0FC22A4B"/>
    <w:rsid w:val="0FE15B38"/>
    <w:rsid w:val="0FE60171"/>
    <w:rsid w:val="100F3B6B"/>
    <w:rsid w:val="10417A9D"/>
    <w:rsid w:val="107064F7"/>
    <w:rsid w:val="10803007"/>
    <w:rsid w:val="10C06C14"/>
    <w:rsid w:val="10C52416"/>
    <w:rsid w:val="10FC5772"/>
    <w:rsid w:val="112F3D99"/>
    <w:rsid w:val="119D5E30"/>
    <w:rsid w:val="11CB5043"/>
    <w:rsid w:val="11F42D58"/>
    <w:rsid w:val="11FF376C"/>
    <w:rsid w:val="12103BCB"/>
    <w:rsid w:val="122964D7"/>
    <w:rsid w:val="12456492"/>
    <w:rsid w:val="12555A81"/>
    <w:rsid w:val="125735A8"/>
    <w:rsid w:val="128919DE"/>
    <w:rsid w:val="129B3083"/>
    <w:rsid w:val="12B04416"/>
    <w:rsid w:val="12BF3A5C"/>
    <w:rsid w:val="12CA49C8"/>
    <w:rsid w:val="12F860D3"/>
    <w:rsid w:val="130C25E4"/>
    <w:rsid w:val="13201BEB"/>
    <w:rsid w:val="13505086"/>
    <w:rsid w:val="13A75E69"/>
    <w:rsid w:val="13A91BE1"/>
    <w:rsid w:val="13D824C6"/>
    <w:rsid w:val="13F53078"/>
    <w:rsid w:val="14111B6C"/>
    <w:rsid w:val="143E4A1F"/>
    <w:rsid w:val="14914F12"/>
    <w:rsid w:val="14C447F8"/>
    <w:rsid w:val="14FD6C55"/>
    <w:rsid w:val="15051099"/>
    <w:rsid w:val="150E72DA"/>
    <w:rsid w:val="15342AB5"/>
    <w:rsid w:val="153C59D4"/>
    <w:rsid w:val="155F7CC8"/>
    <w:rsid w:val="15612653"/>
    <w:rsid w:val="156F511F"/>
    <w:rsid w:val="15981F0D"/>
    <w:rsid w:val="15984490"/>
    <w:rsid w:val="15C77DB6"/>
    <w:rsid w:val="169F376F"/>
    <w:rsid w:val="16AE02D7"/>
    <w:rsid w:val="16CB4564"/>
    <w:rsid w:val="16D76A65"/>
    <w:rsid w:val="17771FF6"/>
    <w:rsid w:val="177E15D6"/>
    <w:rsid w:val="178A2855"/>
    <w:rsid w:val="17F0059F"/>
    <w:rsid w:val="17F469EE"/>
    <w:rsid w:val="18415F94"/>
    <w:rsid w:val="18612040"/>
    <w:rsid w:val="188974B4"/>
    <w:rsid w:val="18ED431E"/>
    <w:rsid w:val="18FA5DE9"/>
    <w:rsid w:val="191A5E40"/>
    <w:rsid w:val="19433B76"/>
    <w:rsid w:val="19C239FC"/>
    <w:rsid w:val="19E96AEF"/>
    <w:rsid w:val="1A1E565A"/>
    <w:rsid w:val="1A2D2691"/>
    <w:rsid w:val="1AA4176A"/>
    <w:rsid w:val="1AA80E44"/>
    <w:rsid w:val="1AB104D7"/>
    <w:rsid w:val="1AD734D7"/>
    <w:rsid w:val="1AE81DCD"/>
    <w:rsid w:val="1AE856E5"/>
    <w:rsid w:val="1AF51BB0"/>
    <w:rsid w:val="1B0D0CA7"/>
    <w:rsid w:val="1B0D6EF9"/>
    <w:rsid w:val="1B2B3823"/>
    <w:rsid w:val="1B6805D3"/>
    <w:rsid w:val="1BA9149D"/>
    <w:rsid w:val="1BE063BC"/>
    <w:rsid w:val="1BE7599C"/>
    <w:rsid w:val="1BFB4B48"/>
    <w:rsid w:val="1C073948"/>
    <w:rsid w:val="1C224C26"/>
    <w:rsid w:val="1C850D11"/>
    <w:rsid w:val="1CA218C3"/>
    <w:rsid w:val="1CC53F61"/>
    <w:rsid w:val="1CC61A56"/>
    <w:rsid w:val="1CE06F2B"/>
    <w:rsid w:val="1CED4AC0"/>
    <w:rsid w:val="1CF05B60"/>
    <w:rsid w:val="1D043A4B"/>
    <w:rsid w:val="1D881ACC"/>
    <w:rsid w:val="1DA5160B"/>
    <w:rsid w:val="1DD43CFE"/>
    <w:rsid w:val="1DEC54EC"/>
    <w:rsid w:val="1E2B7AED"/>
    <w:rsid w:val="1E7B4D93"/>
    <w:rsid w:val="1EA80E3B"/>
    <w:rsid w:val="1F176598"/>
    <w:rsid w:val="1F21439F"/>
    <w:rsid w:val="1FB64FEF"/>
    <w:rsid w:val="1FF4436A"/>
    <w:rsid w:val="204F57EE"/>
    <w:rsid w:val="205D1F61"/>
    <w:rsid w:val="205E01F7"/>
    <w:rsid w:val="20AC1080"/>
    <w:rsid w:val="2120725A"/>
    <w:rsid w:val="2125173A"/>
    <w:rsid w:val="21613AFB"/>
    <w:rsid w:val="21C4408A"/>
    <w:rsid w:val="22347461"/>
    <w:rsid w:val="226805CE"/>
    <w:rsid w:val="22B61C24"/>
    <w:rsid w:val="22C00DD4"/>
    <w:rsid w:val="22CD56C7"/>
    <w:rsid w:val="22D4654E"/>
    <w:rsid w:val="2335523F"/>
    <w:rsid w:val="23514A4A"/>
    <w:rsid w:val="23775858"/>
    <w:rsid w:val="237F295E"/>
    <w:rsid w:val="238D2A8D"/>
    <w:rsid w:val="239A32F4"/>
    <w:rsid w:val="23B75C54"/>
    <w:rsid w:val="23BB2FD4"/>
    <w:rsid w:val="242332EA"/>
    <w:rsid w:val="24280900"/>
    <w:rsid w:val="242E1C8E"/>
    <w:rsid w:val="243279D1"/>
    <w:rsid w:val="243E0123"/>
    <w:rsid w:val="244D083E"/>
    <w:rsid w:val="24545B99"/>
    <w:rsid w:val="245D02C1"/>
    <w:rsid w:val="246B7B0F"/>
    <w:rsid w:val="24AD7057"/>
    <w:rsid w:val="24C9636D"/>
    <w:rsid w:val="24F8533E"/>
    <w:rsid w:val="24FA318E"/>
    <w:rsid w:val="25232C4D"/>
    <w:rsid w:val="25956E06"/>
    <w:rsid w:val="259B071B"/>
    <w:rsid w:val="25BC57A4"/>
    <w:rsid w:val="25C632AB"/>
    <w:rsid w:val="25C97EC1"/>
    <w:rsid w:val="25EF43A4"/>
    <w:rsid w:val="264C2830"/>
    <w:rsid w:val="265743F9"/>
    <w:rsid w:val="26655FAB"/>
    <w:rsid w:val="26D1527F"/>
    <w:rsid w:val="273B094A"/>
    <w:rsid w:val="2784578A"/>
    <w:rsid w:val="27895B59"/>
    <w:rsid w:val="27961958"/>
    <w:rsid w:val="27993AC7"/>
    <w:rsid w:val="27D9621D"/>
    <w:rsid w:val="2804717C"/>
    <w:rsid w:val="28173165"/>
    <w:rsid w:val="281915EC"/>
    <w:rsid w:val="283060B8"/>
    <w:rsid w:val="28477F7A"/>
    <w:rsid w:val="28BB5E7D"/>
    <w:rsid w:val="28E31299"/>
    <w:rsid w:val="28ED2118"/>
    <w:rsid w:val="2925291B"/>
    <w:rsid w:val="293569E0"/>
    <w:rsid w:val="2937372F"/>
    <w:rsid w:val="2940228E"/>
    <w:rsid w:val="295126A7"/>
    <w:rsid w:val="296F028F"/>
    <w:rsid w:val="297B7724"/>
    <w:rsid w:val="29BE50DB"/>
    <w:rsid w:val="29F229CB"/>
    <w:rsid w:val="2A0911D4"/>
    <w:rsid w:val="2A13795C"/>
    <w:rsid w:val="2A295D63"/>
    <w:rsid w:val="2A30050E"/>
    <w:rsid w:val="2A4633C5"/>
    <w:rsid w:val="2AAC0E3D"/>
    <w:rsid w:val="2ABA5B3D"/>
    <w:rsid w:val="2AC3462E"/>
    <w:rsid w:val="2AD510B6"/>
    <w:rsid w:val="2ADC56BC"/>
    <w:rsid w:val="2B093FE1"/>
    <w:rsid w:val="2B0B4AD7"/>
    <w:rsid w:val="2B1E2A5D"/>
    <w:rsid w:val="2B3E199F"/>
    <w:rsid w:val="2B4019A6"/>
    <w:rsid w:val="2BB138D1"/>
    <w:rsid w:val="2C0C79D5"/>
    <w:rsid w:val="2C1D4AC2"/>
    <w:rsid w:val="2C365B84"/>
    <w:rsid w:val="2C3E5DEA"/>
    <w:rsid w:val="2C5073C7"/>
    <w:rsid w:val="2C7C7A3B"/>
    <w:rsid w:val="2C804767"/>
    <w:rsid w:val="2C8C7C6D"/>
    <w:rsid w:val="2C953C10"/>
    <w:rsid w:val="2CDF7FCA"/>
    <w:rsid w:val="2CF53FF2"/>
    <w:rsid w:val="2D0614D8"/>
    <w:rsid w:val="2D0636EB"/>
    <w:rsid w:val="2D0F08AF"/>
    <w:rsid w:val="2D2F71A3"/>
    <w:rsid w:val="2D365339"/>
    <w:rsid w:val="2D377E06"/>
    <w:rsid w:val="2D404B49"/>
    <w:rsid w:val="2D464EC6"/>
    <w:rsid w:val="2DB41456"/>
    <w:rsid w:val="2DC328F8"/>
    <w:rsid w:val="2E1B0FCF"/>
    <w:rsid w:val="2E3C7C12"/>
    <w:rsid w:val="2E6F7A7E"/>
    <w:rsid w:val="2E8004EB"/>
    <w:rsid w:val="2E8225E9"/>
    <w:rsid w:val="2E8802BE"/>
    <w:rsid w:val="2E9C5E85"/>
    <w:rsid w:val="2EEE2746"/>
    <w:rsid w:val="2EFF6701"/>
    <w:rsid w:val="2F171C9D"/>
    <w:rsid w:val="2F176AF3"/>
    <w:rsid w:val="2F6D181D"/>
    <w:rsid w:val="2F9A3429"/>
    <w:rsid w:val="304A705A"/>
    <w:rsid w:val="304E7940"/>
    <w:rsid w:val="305A4537"/>
    <w:rsid w:val="30640F12"/>
    <w:rsid w:val="309E36EF"/>
    <w:rsid w:val="30D37E45"/>
    <w:rsid w:val="31102E48"/>
    <w:rsid w:val="31413001"/>
    <w:rsid w:val="31570E00"/>
    <w:rsid w:val="318E65D4"/>
    <w:rsid w:val="32071D44"/>
    <w:rsid w:val="320F75A3"/>
    <w:rsid w:val="321F055F"/>
    <w:rsid w:val="324671E4"/>
    <w:rsid w:val="32543208"/>
    <w:rsid w:val="32726881"/>
    <w:rsid w:val="32B9580A"/>
    <w:rsid w:val="33653E81"/>
    <w:rsid w:val="33A930DF"/>
    <w:rsid w:val="33AE06F6"/>
    <w:rsid w:val="33C20894"/>
    <w:rsid w:val="33D404D4"/>
    <w:rsid w:val="33DC265F"/>
    <w:rsid w:val="33E52369"/>
    <w:rsid w:val="33FC76B3"/>
    <w:rsid w:val="340547BA"/>
    <w:rsid w:val="34061DC5"/>
    <w:rsid w:val="340E3279"/>
    <w:rsid w:val="340F5638"/>
    <w:rsid w:val="344572AC"/>
    <w:rsid w:val="34B65AB4"/>
    <w:rsid w:val="34B85CD0"/>
    <w:rsid w:val="34F7133E"/>
    <w:rsid w:val="34FE6D8E"/>
    <w:rsid w:val="34FF38FF"/>
    <w:rsid w:val="35164541"/>
    <w:rsid w:val="35284C04"/>
    <w:rsid w:val="353510CF"/>
    <w:rsid w:val="354B08F2"/>
    <w:rsid w:val="35757512"/>
    <w:rsid w:val="357A11D7"/>
    <w:rsid w:val="3582339D"/>
    <w:rsid w:val="35AC5CF3"/>
    <w:rsid w:val="36030220"/>
    <w:rsid w:val="364201ED"/>
    <w:rsid w:val="364610BA"/>
    <w:rsid w:val="365729F6"/>
    <w:rsid w:val="367B5207"/>
    <w:rsid w:val="367D051D"/>
    <w:rsid w:val="36AC6EFB"/>
    <w:rsid w:val="36DB4514"/>
    <w:rsid w:val="37074CED"/>
    <w:rsid w:val="37492C0F"/>
    <w:rsid w:val="37643EED"/>
    <w:rsid w:val="37706F8E"/>
    <w:rsid w:val="37A60062"/>
    <w:rsid w:val="37AE7B45"/>
    <w:rsid w:val="37CB5AEA"/>
    <w:rsid w:val="37D3697D"/>
    <w:rsid w:val="37D905A0"/>
    <w:rsid w:val="37E23C98"/>
    <w:rsid w:val="37EA2644"/>
    <w:rsid w:val="38003299"/>
    <w:rsid w:val="38325D99"/>
    <w:rsid w:val="383E64EC"/>
    <w:rsid w:val="387B329C"/>
    <w:rsid w:val="388D5C8B"/>
    <w:rsid w:val="3894435E"/>
    <w:rsid w:val="38B92017"/>
    <w:rsid w:val="38BE13DB"/>
    <w:rsid w:val="38D06819"/>
    <w:rsid w:val="38E97A95"/>
    <w:rsid w:val="38F94DAC"/>
    <w:rsid w:val="38FE6C6B"/>
    <w:rsid w:val="3968011D"/>
    <w:rsid w:val="39693A3D"/>
    <w:rsid w:val="396E1053"/>
    <w:rsid w:val="3983274D"/>
    <w:rsid w:val="39BF540B"/>
    <w:rsid w:val="39CA30F6"/>
    <w:rsid w:val="39CD5E3D"/>
    <w:rsid w:val="3A13735F"/>
    <w:rsid w:val="3A176FF5"/>
    <w:rsid w:val="3A26387D"/>
    <w:rsid w:val="3A2833CA"/>
    <w:rsid w:val="3A296D28"/>
    <w:rsid w:val="3A2A4E46"/>
    <w:rsid w:val="3A3B7187"/>
    <w:rsid w:val="3A70528A"/>
    <w:rsid w:val="3A766411"/>
    <w:rsid w:val="3A98136A"/>
    <w:rsid w:val="3AC16F61"/>
    <w:rsid w:val="3AF4151B"/>
    <w:rsid w:val="3B382483"/>
    <w:rsid w:val="3B7837BF"/>
    <w:rsid w:val="3BB94DF3"/>
    <w:rsid w:val="3BD80A06"/>
    <w:rsid w:val="3BF176BB"/>
    <w:rsid w:val="3C0E6915"/>
    <w:rsid w:val="3C125179"/>
    <w:rsid w:val="3C153CA2"/>
    <w:rsid w:val="3C24699D"/>
    <w:rsid w:val="3C3A346E"/>
    <w:rsid w:val="3C552351"/>
    <w:rsid w:val="3C834E15"/>
    <w:rsid w:val="3C9C5ED7"/>
    <w:rsid w:val="3CF4361D"/>
    <w:rsid w:val="3D075683"/>
    <w:rsid w:val="3D171320"/>
    <w:rsid w:val="3D2E0D32"/>
    <w:rsid w:val="3D361E88"/>
    <w:rsid w:val="3D695DB9"/>
    <w:rsid w:val="3D8D5CF8"/>
    <w:rsid w:val="3DAE1A1E"/>
    <w:rsid w:val="3DC2608D"/>
    <w:rsid w:val="3E4A775C"/>
    <w:rsid w:val="3E817133"/>
    <w:rsid w:val="3E9118EE"/>
    <w:rsid w:val="3EB76FF8"/>
    <w:rsid w:val="3EE85404"/>
    <w:rsid w:val="3EEC1C82"/>
    <w:rsid w:val="3EF0069C"/>
    <w:rsid w:val="3F127D5A"/>
    <w:rsid w:val="3F4C14EF"/>
    <w:rsid w:val="3F8D5BDC"/>
    <w:rsid w:val="40001CED"/>
    <w:rsid w:val="400B48FE"/>
    <w:rsid w:val="402C1320"/>
    <w:rsid w:val="403F1A83"/>
    <w:rsid w:val="40610FCA"/>
    <w:rsid w:val="407C5E04"/>
    <w:rsid w:val="40C003E6"/>
    <w:rsid w:val="40E374CC"/>
    <w:rsid w:val="40FF7BF5"/>
    <w:rsid w:val="412E0E49"/>
    <w:rsid w:val="41425D99"/>
    <w:rsid w:val="41452699"/>
    <w:rsid w:val="41517290"/>
    <w:rsid w:val="41862567"/>
    <w:rsid w:val="41AA2BCE"/>
    <w:rsid w:val="41CA2B9F"/>
    <w:rsid w:val="41CA2F83"/>
    <w:rsid w:val="41CE268F"/>
    <w:rsid w:val="41D34149"/>
    <w:rsid w:val="4217493A"/>
    <w:rsid w:val="42454447"/>
    <w:rsid w:val="426F3B88"/>
    <w:rsid w:val="428E1E1E"/>
    <w:rsid w:val="42A72EE0"/>
    <w:rsid w:val="434D1CD9"/>
    <w:rsid w:val="43520CE4"/>
    <w:rsid w:val="43593176"/>
    <w:rsid w:val="43784FA8"/>
    <w:rsid w:val="43AC3512"/>
    <w:rsid w:val="43B34232"/>
    <w:rsid w:val="43B6787E"/>
    <w:rsid w:val="43BF5BF2"/>
    <w:rsid w:val="43CB7A7E"/>
    <w:rsid w:val="43D533EF"/>
    <w:rsid w:val="43D57920"/>
    <w:rsid w:val="43E11683"/>
    <w:rsid w:val="442A1346"/>
    <w:rsid w:val="442B58CE"/>
    <w:rsid w:val="443454A0"/>
    <w:rsid w:val="447F4114"/>
    <w:rsid w:val="449340EA"/>
    <w:rsid w:val="44B97B9B"/>
    <w:rsid w:val="44BC2EC0"/>
    <w:rsid w:val="44D57998"/>
    <w:rsid w:val="455436D4"/>
    <w:rsid w:val="459B31D0"/>
    <w:rsid w:val="45B20519"/>
    <w:rsid w:val="45C864B7"/>
    <w:rsid w:val="45CD0EAF"/>
    <w:rsid w:val="45DC6FC6"/>
    <w:rsid w:val="46133710"/>
    <w:rsid w:val="463F386C"/>
    <w:rsid w:val="465D2233"/>
    <w:rsid w:val="46653981"/>
    <w:rsid w:val="466871EB"/>
    <w:rsid w:val="46A2053D"/>
    <w:rsid w:val="46B53E1D"/>
    <w:rsid w:val="46BA1434"/>
    <w:rsid w:val="46F54B62"/>
    <w:rsid w:val="47002071"/>
    <w:rsid w:val="470D35C2"/>
    <w:rsid w:val="476F5BB5"/>
    <w:rsid w:val="47950B76"/>
    <w:rsid w:val="47CC3CB4"/>
    <w:rsid w:val="47DA0F41"/>
    <w:rsid w:val="47EE15B3"/>
    <w:rsid w:val="47F40975"/>
    <w:rsid w:val="48003DDC"/>
    <w:rsid w:val="48057087"/>
    <w:rsid w:val="480F351D"/>
    <w:rsid w:val="481B6B97"/>
    <w:rsid w:val="483E7E42"/>
    <w:rsid w:val="48403BBB"/>
    <w:rsid w:val="48480CC1"/>
    <w:rsid w:val="48BD520B"/>
    <w:rsid w:val="48CF3FAF"/>
    <w:rsid w:val="48D060F0"/>
    <w:rsid w:val="48FF113E"/>
    <w:rsid w:val="491C4628"/>
    <w:rsid w:val="49680E6A"/>
    <w:rsid w:val="497E0E3E"/>
    <w:rsid w:val="49EE7713"/>
    <w:rsid w:val="49F14DC3"/>
    <w:rsid w:val="4A0B3920"/>
    <w:rsid w:val="4A797E1C"/>
    <w:rsid w:val="4A9E3C74"/>
    <w:rsid w:val="4AC74344"/>
    <w:rsid w:val="4B052CF9"/>
    <w:rsid w:val="4B0720CF"/>
    <w:rsid w:val="4B7757A2"/>
    <w:rsid w:val="4B7F19DC"/>
    <w:rsid w:val="4B7F19FC"/>
    <w:rsid w:val="4B9C1869"/>
    <w:rsid w:val="4BA22B49"/>
    <w:rsid w:val="4BB8769F"/>
    <w:rsid w:val="4BBA1ED6"/>
    <w:rsid w:val="4C115F9A"/>
    <w:rsid w:val="4C4725DA"/>
    <w:rsid w:val="4C612351"/>
    <w:rsid w:val="4C635EDA"/>
    <w:rsid w:val="4CCF550D"/>
    <w:rsid w:val="4D1C1598"/>
    <w:rsid w:val="4D3F6B37"/>
    <w:rsid w:val="4D4E41D6"/>
    <w:rsid w:val="4D5F5532"/>
    <w:rsid w:val="4D6552A8"/>
    <w:rsid w:val="4D7C38E7"/>
    <w:rsid w:val="4D7F6F33"/>
    <w:rsid w:val="4D9C7AE5"/>
    <w:rsid w:val="4DAF7B35"/>
    <w:rsid w:val="4DB633AE"/>
    <w:rsid w:val="4DCE6C7E"/>
    <w:rsid w:val="4DE4323A"/>
    <w:rsid w:val="4DFF0074"/>
    <w:rsid w:val="4E13108B"/>
    <w:rsid w:val="4E18390F"/>
    <w:rsid w:val="4E353A96"/>
    <w:rsid w:val="4E3917D8"/>
    <w:rsid w:val="4E6F4A98"/>
    <w:rsid w:val="4E8925E8"/>
    <w:rsid w:val="4E9B5FEF"/>
    <w:rsid w:val="4ED212E5"/>
    <w:rsid w:val="4EE23C1E"/>
    <w:rsid w:val="4EEF633A"/>
    <w:rsid w:val="4F16249F"/>
    <w:rsid w:val="4F337FD5"/>
    <w:rsid w:val="4F5252CE"/>
    <w:rsid w:val="4FA47125"/>
    <w:rsid w:val="4FA7672F"/>
    <w:rsid w:val="4FAB3D2B"/>
    <w:rsid w:val="4FF43C08"/>
    <w:rsid w:val="4FFA4F97"/>
    <w:rsid w:val="4FFB1701"/>
    <w:rsid w:val="50085E26"/>
    <w:rsid w:val="50096F88"/>
    <w:rsid w:val="50656BC3"/>
    <w:rsid w:val="5085324A"/>
    <w:rsid w:val="50AC44E3"/>
    <w:rsid w:val="50D07A59"/>
    <w:rsid w:val="50D15CF8"/>
    <w:rsid w:val="50D2381E"/>
    <w:rsid w:val="50E92634"/>
    <w:rsid w:val="510D2AA8"/>
    <w:rsid w:val="512E4EF8"/>
    <w:rsid w:val="51404C2B"/>
    <w:rsid w:val="515406D7"/>
    <w:rsid w:val="515F1555"/>
    <w:rsid w:val="51683C12"/>
    <w:rsid w:val="517B2107"/>
    <w:rsid w:val="517B7CC7"/>
    <w:rsid w:val="517C6304"/>
    <w:rsid w:val="518C07B2"/>
    <w:rsid w:val="51B82AB2"/>
    <w:rsid w:val="51D125B8"/>
    <w:rsid w:val="521D4F6D"/>
    <w:rsid w:val="523E212F"/>
    <w:rsid w:val="524E3378"/>
    <w:rsid w:val="52E2243E"/>
    <w:rsid w:val="533B55DB"/>
    <w:rsid w:val="53760DD8"/>
    <w:rsid w:val="53A315ED"/>
    <w:rsid w:val="53BB2CC8"/>
    <w:rsid w:val="53C411A0"/>
    <w:rsid w:val="53D0673A"/>
    <w:rsid w:val="54016201"/>
    <w:rsid w:val="55086C2C"/>
    <w:rsid w:val="55515659"/>
    <w:rsid w:val="55556EC8"/>
    <w:rsid w:val="5561615B"/>
    <w:rsid w:val="55800363"/>
    <w:rsid w:val="55914219"/>
    <w:rsid w:val="55971CB6"/>
    <w:rsid w:val="5597469E"/>
    <w:rsid w:val="559F2695"/>
    <w:rsid w:val="55A46E9E"/>
    <w:rsid w:val="55BE3295"/>
    <w:rsid w:val="55D35033"/>
    <w:rsid w:val="56095F34"/>
    <w:rsid w:val="562C1C22"/>
    <w:rsid w:val="566E0654"/>
    <w:rsid w:val="567A0BDF"/>
    <w:rsid w:val="56893E7C"/>
    <w:rsid w:val="56B20379"/>
    <w:rsid w:val="56D4209E"/>
    <w:rsid w:val="57096E69"/>
    <w:rsid w:val="573E3ADC"/>
    <w:rsid w:val="5753390A"/>
    <w:rsid w:val="575D4EFF"/>
    <w:rsid w:val="57AF2B0B"/>
    <w:rsid w:val="57D47180"/>
    <w:rsid w:val="57E80A26"/>
    <w:rsid w:val="57EB1BF3"/>
    <w:rsid w:val="58021D28"/>
    <w:rsid w:val="58044F40"/>
    <w:rsid w:val="581522E2"/>
    <w:rsid w:val="581668CA"/>
    <w:rsid w:val="58302B56"/>
    <w:rsid w:val="58340899"/>
    <w:rsid w:val="585039A6"/>
    <w:rsid w:val="58BA52C3"/>
    <w:rsid w:val="5900361E"/>
    <w:rsid w:val="591C4BCC"/>
    <w:rsid w:val="592F747A"/>
    <w:rsid w:val="59570D64"/>
    <w:rsid w:val="596B480F"/>
    <w:rsid w:val="59B12B6A"/>
    <w:rsid w:val="59C75184"/>
    <w:rsid w:val="59EF1E82"/>
    <w:rsid w:val="5A0C7DA1"/>
    <w:rsid w:val="5A0D79FC"/>
    <w:rsid w:val="5A403EEE"/>
    <w:rsid w:val="5A425CDC"/>
    <w:rsid w:val="5A802D4D"/>
    <w:rsid w:val="5A8143FA"/>
    <w:rsid w:val="5A87602F"/>
    <w:rsid w:val="5A893249"/>
    <w:rsid w:val="5A9A6ED4"/>
    <w:rsid w:val="5A9C7376"/>
    <w:rsid w:val="5AB65481"/>
    <w:rsid w:val="5AC73CC7"/>
    <w:rsid w:val="5AD84DE7"/>
    <w:rsid w:val="5B182775"/>
    <w:rsid w:val="5B1F3C1E"/>
    <w:rsid w:val="5B3F5F54"/>
    <w:rsid w:val="5B502BAE"/>
    <w:rsid w:val="5B7B51DE"/>
    <w:rsid w:val="5B977B3E"/>
    <w:rsid w:val="5BA504AD"/>
    <w:rsid w:val="5BBE2A18"/>
    <w:rsid w:val="5BC77917"/>
    <w:rsid w:val="5BE26B53"/>
    <w:rsid w:val="5BF67459"/>
    <w:rsid w:val="5C0E6052"/>
    <w:rsid w:val="5C28387E"/>
    <w:rsid w:val="5C7C1A15"/>
    <w:rsid w:val="5C806824"/>
    <w:rsid w:val="5CD828E7"/>
    <w:rsid w:val="5D0D04AA"/>
    <w:rsid w:val="5D1256CE"/>
    <w:rsid w:val="5D286359"/>
    <w:rsid w:val="5D3A61B7"/>
    <w:rsid w:val="5D460A99"/>
    <w:rsid w:val="5D571B83"/>
    <w:rsid w:val="5D5F6DFB"/>
    <w:rsid w:val="5D6611F1"/>
    <w:rsid w:val="5D664F1C"/>
    <w:rsid w:val="5D7E7207"/>
    <w:rsid w:val="5D8B2044"/>
    <w:rsid w:val="5DE8335F"/>
    <w:rsid w:val="5DE9697D"/>
    <w:rsid w:val="5DEC0CDE"/>
    <w:rsid w:val="5E0444D6"/>
    <w:rsid w:val="5E075281"/>
    <w:rsid w:val="5E27164D"/>
    <w:rsid w:val="5E2D20AD"/>
    <w:rsid w:val="5E784937"/>
    <w:rsid w:val="5E800D5D"/>
    <w:rsid w:val="5E927105"/>
    <w:rsid w:val="5EE94A7E"/>
    <w:rsid w:val="5F0B6E09"/>
    <w:rsid w:val="5F2810D7"/>
    <w:rsid w:val="5F37745D"/>
    <w:rsid w:val="5F390F57"/>
    <w:rsid w:val="5F5D4E0A"/>
    <w:rsid w:val="5F5F230A"/>
    <w:rsid w:val="5F685031"/>
    <w:rsid w:val="5F6A2D06"/>
    <w:rsid w:val="5F900B8B"/>
    <w:rsid w:val="601B0D3D"/>
    <w:rsid w:val="60A44594"/>
    <w:rsid w:val="60A46F85"/>
    <w:rsid w:val="61495440"/>
    <w:rsid w:val="617E184A"/>
    <w:rsid w:val="618D5C6B"/>
    <w:rsid w:val="61A73162"/>
    <w:rsid w:val="61AB75D1"/>
    <w:rsid w:val="622455FD"/>
    <w:rsid w:val="623C3CCB"/>
    <w:rsid w:val="624C1682"/>
    <w:rsid w:val="62606146"/>
    <w:rsid w:val="62CF7BBD"/>
    <w:rsid w:val="62E37F41"/>
    <w:rsid w:val="62EF0175"/>
    <w:rsid w:val="631101D6"/>
    <w:rsid w:val="63312626"/>
    <w:rsid w:val="63313B7B"/>
    <w:rsid w:val="63442A1D"/>
    <w:rsid w:val="636522D0"/>
    <w:rsid w:val="637116FE"/>
    <w:rsid w:val="63A70B3A"/>
    <w:rsid w:val="63E10CB0"/>
    <w:rsid w:val="63E4481E"/>
    <w:rsid w:val="644548A4"/>
    <w:rsid w:val="64632CB3"/>
    <w:rsid w:val="646412DD"/>
    <w:rsid w:val="648A6492"/>
    <w:rsid w:val="64A82DBC"/>
    <w:rsid w:val="64B13A1E"/>
    <w:rsid w:val="64CF575C"/>
    <w:rsid w:val="64D7337C"/>
    <w:rsid w:val="64DB0A9B"/>
    <w:rsid w:val="64E9765C"/>
    <w:rsid w:val="65044496"/>
    <w:rsid w:val="652F5AA9"/>
    <w:rsid w:val="65332685"/>
    <w:rsid w:val="65383F7E"/>
    <w:rsid w:val="654C77B3"/>
    <w:rsid w:val="65554CF2"/>
    <w:rsid w:val="659770B8"/>
    <w:rsid w:val="65DF7C7C"/>
    <w:rsid w:val="65EB2F60"/>
    <w:rsid w:val="65FA13F5"/>
    <w:rsid w:val="6604409C"/>
    <w:rsid w:val="6610763E"/>
    <w:rsid w:val="6635242D"/>
    <w:rsid w:val="665A6E26"/>
    <w:rsid w:val="668C5DDE"/>
    <w:rsid w:val="668F1B3D"/>
    <w:rsid w:val="66994B0C"/>
    <w:rsid w:val="66FC0AB7"/>
    <w:rsid w:val="6701290B"/>
    <w:rsid w:val="671D183F"/>
    <w:rsid w:val="67340937"/>
    <w:rsid w:val="67473665"/>
    <w:rsid w:val="675226EA"/>
    <w:rsid w:val="679E5954"/>
    <w:rsid w:val="67A4786A"/>
    <w:rsid w:val="67AF38F8"/>
    <w:rsid w:val="67B6759E"/>
    <w:rsid w:val="67C80734"/>
    <w:rsid w:val="67DA14DE"/>
    <w:rsid w:val="67FC1454"/>
    <w:rsid w:val="68101025"/>
    <w:rsid w:val="68210EBB"/>
    <w:rsid w:val="683230C8"/>
    <w:rsid w:val="683E759B"/>
    <w:rsid w:val="687E16B7"/>
    <w:rsid w:val="68B97345"/>
    <w:rsid w:val="68C83A2C"/>
    <w:rsid w:val="68F00364"/>
    <w:rsid w:val="68F0088D"/>
    <w:rsid w:val="68F760C0"/>
    <w:rsid w:val="69124D56"/>
    <w:rsid w:val="693E784B"/>
    <w:rsid w:val="695B2024"/>
    <w:rsid w:val="69735746"/>
    <w:rsid w:val="697D4817"/>
    <w:rsid w:val="698B3EE9"/>
    <w:rsid w:val="69921FD4"/>
    <w:rsid w:val="69941325"/>
    <w:rsid w:val="699F653B"/>
    <w:rsid w:val="69C67F6C"/>
    <w:rsid w:val="6A130DDE"/>
    <w:rsid w:val="6A2F775A"/>
    <w:rsid w:val="6A3771C5"/>
    <w:rsid w:val="6A3C1377"/>
    <w:rsid w:val="6A8250A7"/>
    <w:rsid w:val="6AB204F0"/>
    <w:rsid w:val="6AE508C6"/>
    <w:rsid w:val="6AF02DC7"/>
    <w:rsid w:val="6B064398"/>
    <w:rsid w:val="6B0B5AC5"/>
    <w:rsid w:val="6B3B681F"/>
    <w:rsid w:val="6B8005EE"/>
    <w:rsid w:val="6BBF4CB6"/>
    <w:rsid w:val="6BE01F61"/>
    <w:rsid w:val="6BE95B0C"/>
    <w:rsid w:val="6C260BD2"/>
    <w:rsid w:val="6C757151"/>
    <w:rsid w:val="6CB11F55"/>
    <w:rsid w:val="6CD67A79"/>
    <w:rsid w:val="6CF748E0"/>
    <w:rsid w:val="6D286848"/>
    <w:rsid w:val="6D65184A"/>
    <w:rsid w:val="6D6612D7"/>
    <w:rsid w:val="6D736923"/>
    <w:rsid w:val="6D8B2194"/>
    <w:rsid w:val="6D8E3F8F"/>
    <w:rsid w:val="6DAB2DB5"/>
    <w:rsid w:val="6DAC1994"/>
    <w:rsid w:val="6DAD4F9F"/>
    <w:rsid w:val="6DB97DE8"/>
    <w:rsid w:val="6DC2140E"/>
    <w:rsid w:val="6DCF760B"/>
    <w:rsid w:val="6DF13844"/>
    <w:rsid w:val="6E0F2B7F"/>
    <w:rsid w:val="6E250FD9"/>
    <w:rsid w:val="6E625A93"/>
    <w:rsid w:val="6EBB47B9"/>
    <w:rsid w:val="6ECE341F"/>
    <w:rsid w:val="6EF11072"/>
    <w:rsid w:val="6F2614AD"/>
    <w:rsid w:val="6F2807C7"/>
    <w:rsid w:val="6F410095"/>
    <w:rsid w:val="6F726602"/>
    <w:rsid w:val="6F885CC3"/>
    <w:rsid w:val="6F9208F0"/>
    <w:rsid w:val="6FD55A74"/>
    <w:rsid w:val="6FD86CE6"/>
    <w:rsid w:val="6FFB1BBF"/>
    <w:rsid w:val="700E52F1"/>
    <w:rsid w:val="70102E02"/>
    <w:rsid w:val="70117F14"/>
    <w:rsid w:val="703D6436"/>
    <w:rsid w:val="705D1EB4"/>
    <w:rsid w:val="70862203"/>
    <w:rsid w:val="70B30371"/>
    <w:rsid w:val="70B977CB"/>
    <w:rsid w:val="70C96594"/>
    <w:rsid w:val="70D25448"/>
    <w:rsid w:val="70F938D9"/>
    <w:rsid w:val="7101444E"/>
    <w:rsid w:val="71063344"/>
    <w:rsid w:val="71453E6C"/>
    <w:rsid w:val="714A2837"/>
    <w:rsid w:val="71663DE2"/>
    <w:rsid w:val="71A9285C"/>
    <w:rsid w:val="71CA25C3"/>
    <w:rsid w:val="722B40F1"/>
    <w:rsid w:val="723D66E9"/>
    <w:rsid w:val="726F091C"/>
    <w:rsid w:val="72703A82"/>
    <w:rsid w:val="7275645D"/>
    <w:rsid w:val="727E6F0A"/>
    <w:rsid w:val="72813F13"/>
    <w:rsid w:val="72BA43E6"/>
    <w:rsid w:val="7309547B"/>
    <w:rsid w:val="734B41C9"/>
    <w:rsid w:val="73814F04"/>
    <w:rsid w:val="73937A05"/>
    <w:rsid w:val="73970283"/>
    <w:rsid w:val="739B4217"/>
    <w:rsid w:val="73C82B32"/>
    <w:rsid w:val="73F456D6"/>
    <w:rsid w:val="73F92CEC"/>
    <w:rsid w:val="73FD1C82"/>
    <w:rsid w:val="74090599"/>
    <w:rsid w:val="742E508B"/>
    <w:rsid w:val="747607E0"/>
    <w:rsid w:val="747C0FF3"/>
    <w:rsid w:val="74890514"/>
    <w:rsid w:val="75383CE8"/>
    <w:rsid w:val="754461E9"/>
    <w:rsid w:val="75502DDF"/>
    <w:rsid w:val="759E4985"/>
    <w:rsid w:val="75B55338"/>
    <w:rsid w:val="75D23701"/>
    <w:rsid w:val="75EB31C6"/>
    <w:rsid w:val="75F40623"/>
    <w:rsid w:val="76363E3B"/>
    <w:rsid w:val="763E03DC"/>
    <w:rsid w:val="76650B0D"/>
    <w:rsid w:val="769A2913"/>
    <w:rsid w:val="769D5F3D"/>
    <w:rsid w:val="76CD17F4"/>
    <w:rsid w:val="76E23F0B"/>
    <w:rsid w:val="76F0487A"/>
    <w:rsid w:val="76FF686B"/>
    <w:rsid w:val="770E7D88"/>
    <w:rsid w:val="77163BB5"/>
    <w:rsid w:val="775070C7"/>
    <w:rsid w:val="77884AB3"/>
    <w:rsid w:val="77955421"/>
    <w:rsid w:val="77974671"/>
    <w:rsid w:val="77B551B2"/>
    <w:rsid w:val="77F70504"/>
    <w:rsid w:val="7803238B"/>
    <w:rsid w:val="78252301"/>
    <w:rsid w:val="7841118C"/>
    <w:rsid w:val="7847671C"/>
    <w:rsid w:val="7899391C"/>
    <w:rsid w:val="78D45AD6"/>
    <w:rsid w:val="790B4983"/>
    <w:rsid w:val="79110AD8"/>
    <w:rsid w:val="79403C25"/>
    <w:rsid w:val="79517126"/>
    <w:rsid w:val="799D05BD"/>
    <w:rsid w:val="79E40215"/>
    <w:rsid w:val="7A0364CA"/>
    <w:rsid w:val="7A3A3056"/>
    <w:rsid w:val="7A442E3D"/>
    <w:rsid w:val="7A4F64D1"/>
    <w:rsid w:val="7A8D23E0"/>
    <w:rsid w:val="7A992B33"/>
    <w:rsid w:val="7AA3118D"/>
    <w:rsid w:val="7AB46B3B"/>
    <w:rsid w:val="7ABB7CD0"/>
    <w:rsid w:val="7B346CFF"/>
    <w:rsid w:val="7B4707E1"/>
    <w:rsid w:val="7B477DF0"/>
    <w:rsid w:val="7B8721B4"/>
    <w:rsid w:val="7BAD1706"/>
    <w:rsid w:val="7C414A1B"/>
    <w:rsid w:val="7C5F3F95"/>
    <w:rsid w:val="7C6E11D8"/>
    <w:rsid w:val="7C8376E8"/>
    <w:rsid w:val="7C9B2DC4"/>
    <w:rsid w:val="7C9C3859"/>
    <w:rsid w:val="7CB73744"/>
    <w:rsid w:val="7D080444"/>
    <w:rsid w:val="7D0C268E"/>
    <w:rsid w:val="7D1B3CD3"/>
    <w:rsid w:val="7D1D3EEF"/>
    <w:rsid w:val="7D24363D"/>
    <w:rsid w:val="7D450D50"/>
    <w:rsid w:val="7D8F060E"/>
    <w:rsid w:val="7DDA3B8E"/>
    <w:rsid w:val="7E2929E7"/>
    <w:rsid w:val="7E7F1020"/>
    <w:rsid w:val="7E81225C"/>
    <w:rsid w:val="7E8D404B"/>
    <w:rsid w:val="7EB554BC"/>
    <w:rsid w:val="7EE63C40"/>
    <w:rsid w:val="7F4514DB"/>
    <w:rsid w:val="7F565496"/>
    <w:rsid w:val="7F823D97"/>
    <w:rsid w:val="7FA52CB0"/>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spacing w:line="276" w:lineRule="auto"/>
    </w:pPr>
    <w:rPr>
      <w:rFonts w:ascii="微软雅黑" w:hAnsi="微软雅黑" w:eastAsia="微软雅黑" w:cs="微软雅黑"/>
      <w:sz w:val="24"/>
      <w:szCs w:val="24"/>
      <w:lang w:val="en-US" w:eastAsia="zh-CN" w:bidi="ar-SA"/>
    </w:rPr>
  </w:style>
  <w:style w:type="paragraph" w:styleId="2">
    <w:name w:val="heading 1"/>
    <w:basedOn w:val="1"/>
    <w:next w:val="1"/>
    <w:qFormat/>
    <w:uiPriority w:val="0"/>
    <w:pPr>
      <w:keepNext/>
      <w:keepLines/>
      <w:tabs>
        <w:tab w:val="left" w:pos="0"/>
      </w:tabs>
      <w:spacing w:line="240" w:lineRule="atLeast"/>
      <w:ind w:left="-15"/>
      <w:jc w:val="center"/>
      <w:textAlignment w:val="center"/>
      <w:outlineLvl w:val="0"/>
    </w:pPr>
    <w:rPr>
      <w:bCs/>
      <w:kern w:val="44"/>
      <w:sz w:val="44"/>
      <w:szCs w:val="44"/>
    </w:rPr>
  </w:style>
  <w:style w:type="paragraph" w:styleId="3">
    <w:name w:val="heading 2"/>
    <w:basedOn w:val="1"/>
    <w:next w:val="1"/>
    <w:link w:val="81"/>
    <w:qFormat/>
    <w:uiPriority w:val="0"/>
    <w:pPr>
      <w:keepNext/>
      <w:keepLines/>
      <w:numPr>
        <w:ilvl w:val="1"/>
        <w:numId w:val="1"/>
      </w:numPr>
      <w:spacing w:before="260" w:after="260" w:line="416" w:lineRule="atLeast"/>
      <w:textAlignment w:val="baseline"/>
      <w:outlineLvl w:val="1"/>
    </w:pPr>
    <w:rPr>
      <w:rFonts w:ascii="Arial" w:hAnsi="Arial" w:eastAsia="黑体"/>
      <w:b/>
      <w:bCs/>
      <w:sz w:val="32"/>
      <w:szCs w:val="32"/>
    </w:rPr>
  </w:style>
  <w:style w:type="paragraph" w:styleId="4">
    <w:name w:val="heading 3"/>
    <w:basedOn w:val="1"/>
    <w:next w:val="1"/>
    <w:qFormat/>
    <w:uiPriority w:val="0"/>
    <w:pPr>
      <w:keepNext/>
      <w:keepLines/>
      <w:numPr>
        <w:ilvl w:val="2"/>
        <w:numId w:val="1"/>
      </w:numPr>
      <w:spacing w:before="260" w:after="260" w:line="416" w:lineRule="atLeast"/>
      <w:textAlignment w:val="baseline"/>
      <w:outlineLvl w:val="2"/>
    </w:pPr>
    <w:rPr>
      <w:b/>
      <w:bCs/>
      <w:sz w:val="32"/>
      <w:szCs w:val="32"/>
    </w:rPr>
  </w:style>
  <w:style w:type="paragraph" w:styleId="5">
    <w:name w:val="heading 4"/>
    <w:basedOn w:val="1"/>
    <w:next w:val="1"/>
    <w:qFormat/>
    <w:uiPriority w:val="0"/>
    <w:pPr>
      <w:keepNext/>
      <w:keepLines/>
      <w:numPr>
        <w:ilvl w:val="3"/>
        <w:numId w:val="1"/>
      </w:numPr>
      <w:spacing w:before="280" w:after="290" w:line="376" w:lineRule="atLeast"/>
      <w:textAlignment w:val="baseline"/>
      <w:outlineLvl w:val="3"/>
    </w:pPr>
    <w:rPr>
      <w:rFonts w:ascii="Arial" w:hAnsi="Arial" w:eastAsia="黑体"/>
      <w:b/>
      <w:bCs/>
      <w:sz w:val="28"/>
      <w:szCs w:val="28"/>
    </w:rPr>
  </w:style>
  <w:style w:type="paragraph" w:styleId="6">
    <w:name w:val="heading 6"/>
    <w:basedOn w:val="1"/>
    <w:next w:val="1"/>
    <w:qFormat/>
    <w:uiPriority w:val="0"/>
    <w:pPr>
      <w:keepNext/>
      <w:keepLines/>
      <w:numPr>
        <w:ilvl w:val="5"/>
        <w:numId w:val="1"/>
      </w:numPr>
      <w:spacing w:before="240" w:after="64" w:line="320" w:lineRule="atLeast"/>
      <w:textAlignment w:val="baseline"/>
      <w:outlineLvl w:val="5"/>
    </w:pPr>
    <w:rPr>
      <w:rFonts w:ascii="Arial" w:hAnsi="Arial" w:eastAsia="黑体"/>
      <w:b/>
      <w:bC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7">
    <w:name w:val="table of authorities"/>
    <w:basedOn w:val="1"/>
    <w:next w:val="1"/>
    <w:qFormat/>
    <w:uiPriority w:val="99"/>
    <w:pPr>
      <w:ind w:left="420" w:leftChars="200"/>
    </w:pPr>
  </w:style>
  <w:style w:type="paragraph" w:styleId="8">
    <w:name w:val="index 8"/>
    <w:basedOn w:val="1"/>
    <w:next w:val="1"/>
    <w:unhideWhenUsed/>
    <w:qFormat/>
    <w:uiPriority w:val="99"/>
    <w:pPr>
      <w:ind w:left="1400" w:leftChars="1400"/>
    </w:pPr>
  </w:style>
  <w:style w:type="paragraph" w:styleId="9">
    <w:name w:val="Normal Indent"/>
    <w:basedOn w:val="1"/>
    <w:unhideWhenUsed/>
    <w:qFormat/>
    <w:uiPriority w:val="0"/>
    <w:pPr>
      <w:ind w:firstLine="420" w:firstLineChars="200"/>
    </w:pPr>
    <w:rPr>
      <w:rFonts w:ascii="Calibri" w:hAnsi="Calibri"/>
    </w:rPr>
  </w:style>
  <w:style w:type="paragraph" w:styleId="10">
    <w:name w:val="annotation text"/>
    <w:basedOn w:val="1"/>
    <w:qFormat/>
    <w:uiPriority w:val="0"/>
  </w:style>
  <w:style w:type="paragraph" w:styleId="11">
    <w:name w:val="Body Text"/>
    <w:basedOn w:val="1"/>
    <w:next w:val="1"/>
    <w:qFormat/>
    <w:uiPriority w:val="0"/>
    <w:pPr>
      <w:spacing w:after="120"/>
    </w:pPr>
  </w:style>
  <w:style w:type="paragraph" w:styleId="12">
    <w:name w:val="Body Text Indent"/>
    <w:basedOn w:val="1"/>
    <w:qFormat/>
    <w:uiPriority w:val="0"/>
    <w:pPr>
      <w:spacing w:line="500" w:lineRule="exact"/>
      <w:ind w:left="1588" w:leftChars="832" w:firstLine="433" w:firstLineChars="196"/>
    </w:pPr>
  </w:style>
  <w:style w:type="paragraph" w:styleId="13">
    <w:name w:val="List 2"/>
    <w:basedOn w:val="1"/>
    <w:qFormat/>
    <w:uiPriority w:val="0"/>
    <w:pPr>
      <w:ind w:left="100" w:leftChars="200" w:hanging="200" w:hangingChars="200"/>
    </w:pPr>
  </w:style>
  <w:style w:type="paragraph" w:styleId="14">
    <w:name w:val="toc 3"/>
    <w:basedOn w:val="1"/>
    <w:next w:val="1"/>
    <w:qFormat/>
    <w:uiPriority w:val="39"/>
    <w:pPr>
      <w:ind w:left="840" w:leftChars="400"/>
    </w:pPr>
  </w:style>
  <w:style w:type="paragraph" w:styleId="15">
    <w:name w:val="Plain Text"/>
    <w:basedOn w:val="1"/>
    <w:link w:val="76"/>
    <w:qFormat/>
    <w:uiPriority w:val="99"/>
    <w:rPr>
      <w:rFonts w:ascii="宋体" w:hAnsi="Courier New"/>
      <w:szCs w:val="21"/>
    </w:rPr>
  </w:style>
  <w:style w:type="paragraph" w:styleId="16">
    <w:name w:val="footer"/>
    <w:basedOn w:val="1"/>
    <w:qFormat/>
    <w:uiPriority w:val="99"/>
    <w:pPr>
      <w:tabs>
        <w:tab w:val="center" w:pos="4153"/>
        <w:tab w:val="right" w:pos="8306"/>
      </w:tabs>
      <w:snapToGrid w:val="0"/>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tabs>
        <w:tab w:val="right" w:leader="dot" w:pos="8302"/>
      </w:tabs>
    </w:pPr>
  </w:style>
  <w:style w:type="paragraph" w:styleId="19">
    <w:name w:val="toc 4"/>
    <w:basedOn w:val="1"/>
    <w:next w:val="1"/>
    <w:qFormat/>
    <w:uiPriority w:val="0"/>
    <w:pPr>
      <w:ind w:left="720"/>
    </w:pPr>
    <w:rPr>
      <w:rFonts w:ascii="Calibri" w:hAnsi="Calibri"/>
      <w:sz w:val="18"/>
      <w:szCs w:val="18"/>
    </w:rPr>
  </w:style>
  <w:style w:type="paragraph" w:styleId="20">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21">
    <w:name w:val="List Number 5"/>
    <w:basedOn w:val="1"/>
    <w:qFormat/>
    <w:uiPriority w:val="0"/>
    <w:pPr>
      <w:numPr>
        <w:ilvl w:val="0"/>
        <w:numId w:val="2"/>
      </w:numPr>
    </w:pPr>
  </w:style>
  <w:style w:type="paragraph" w:styleId="22">
    <w:name w:val="toc 6"/>
    <w:basedOn w:val="1"/>
    <w:next w:val="1"/>
    <w:qFormat/>
    <w:uiPriority w:val="0"/>
    <w:pPr>
      <w:ind w:left="1050"/>
    </w:pPr>
    <w:rPr>
      <w:sz w:val="18"/>
      <w:szCs w:val="18"/>
    </w:rPr>
  </w:style>
  <w:style w:type="paragraph" w:styleId="23">
    <w:name w:val="toc 2"/>
    <w:basedOn w:val="1"/>
    <w:next w:val="1"/>
    <w:qFormat/>
    <w:uiPriority w:val="0"/>
    <w:pPr>
      <w:ind w:left="420" w:leftChars="200"/>
    </w:pPr>
  </w:style>
  <w:style w:type="paragraph" w:styleId="24">
    <w:name w:val="Body Text 2"/>
    <w:basedOn w:val="1"/>
    <w:qFormat/>
    <w:uiPriority w:val="0"/>
    <w:pPr>
      <w:spacing w:after="120" w:line="480" w:lineRule="auto"/>
    </w:pPr>
  </w:style>
  <w:style w:type="paragraph" w:styleId="25">
    <w:name w:val="Normal (Web)"/>
    <w:basedOn w:val="1"/>
    <w:next w:val="8"/>
    <w:qFormat/>
    <w:uiPriority w:val="0"/>
  </w:style>
  <w:style w:type="paragraph" w:styleId="26">
    <w:name w:val="Title"/>
    <w:basedOn w:val="1"/>
    <w:next w:val="1"/>
    <w:qFormat/>
    <w:uiPriority w:val="10"/>
    <w:pPr>
      <w:spacing w:before="240" w:after="60"/>
      <w:jc w:val="center"/>
      <w:outlineLvl w:val="0"/>
    </w:pPr>
    <w:rPr>
      <w:rFonts w:asciiTheme="majorHAnsi" w:hAnsiTheme="majorHAnsi" w:cstheme="majorBidi"/>
      <w:b/>
      <w:bCs/>
      <w:sz w:val="32"/>
      <w:szCs w:val="32"/>
    </w:rPr>
  </w:style>
  <w:style w:type="paragraph" w:styleId="27">
    <w:name w:val="Body Text First Indent"/>
    <w:basedOn w:val="11"/>
    <w:next w:val="1"/>
    <w:qFormat/>
    <w:uiPriority w:val="0"/>
    <w:pPr>
      <w:ind w:firstLine="420" w:firstLineChars="100"/>
    </w:pPr>
    <w:rPr>
      <w:rFonts w:ascii="Arial" w:hAnsi="Arial"/>
    </w:rPr>
  </w:style>
  <w:style w:type="paragraph" w:styleId="28">
    <w:name w:val="Body Text First Indent 2"/>
    <w:basedOn w:val="12"/>
    <w:qFormat/>
    <w:uiPriority w:val="0"/>
    <w:pPr>
      <w:ind w:left="0" w:leftChars="0" w:firstLine="210"/>
    </w:pPr>
    <w:rPr>
      <w:szCs w:val="20"/>
    </w:r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rPr>
  </w:style>
  <w:style w:type="character" w:styleId="33">
    <w:name w:val="Hyperlink"/>
    <w:basedOn w:val="31"/>
    <w:qFormat/>
    <w:uiPriority w:val="0"/>
    <w:rPr>
      <w:color w:val="0000FF"/>
      <w:u w:val="single"/>
    </w:rPr>
  </w:style>
  <w:style w:type="character" w:styleId="34">
    <w:name w:val="HTML Sample"/>
    <w:basedOn w:val="31"/>
    <w:qFormat/>
    <w:uiPriority w:val="0"/>
    <w:rPr>
      <w:rFonts w:ascii="Courier New" w:hAnsi="Courier New"/>
    </w:rPr>
  </w:style>
  <w:style w:type="paragraph" w:customStyle="1" w:styleId="35">
    <w:name w:val="Default"/>
    <w:basedOn w:val="2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7">
    <w:name w:val="BodyText"/>
    <w:basedOn w:val="1"/>
    <w:next w:val="38"/>
    <w:qFormat/>
    <w:uiPriority w:val="0"/>
    <w:pPr>
      <w:spacing w:line="300" w:lineRule="auto"/>
      <w:jc w:val="center"/>
      <w:textAlignment w:val="baseline"/>
    </w:pPr>
    <w:rPr>
      <w:rFonts w:ascii="宋体" w:hAnsi="宋体"/>
    </w:rPr>
  </w:style>
  <w:style w:type="paragraph" w:customStyle="1" w:styleId="38">
    <w:name w:val="TOC2"/>
    <w:basedOn w:val="1"/>
    <w:next w:val="1"/>
    <w:qFormat/>
    <w:uiPriority w:val="0"/>
    <w:pPr>
      <w:spacing w:line="413" w:lineRule="auto"/>
      <w:ind w:left="240" w:leftChars="100"/>
      <w:textAlignment w:val="baseline"/>
    </w:pPr>
    <w:rPr>
      <w:rFonts w:ascii="Calibri" w:hAnsi="Calibri" w:eastAsia="仿宋"/>
    </w:rPr>
  </w:style>
  <w:style w:type="paragraph" w:styleId="39">
    <w:name w:val="No Spacing"/>
    <w:basedOn w:val="1"/>
    <w:qFormat/>
    <w:uiPriority w:val="0"/>
  </w:style>
  <w:style w:type="paragraph" w:customStyle="1" w:styleId="40">
    <w:name w:val="样式 标题 4 + 段前: 5 磅 段后: 5 磅 行距: 单倍行距"/>
    <w:basedOn w:val="5"/>
    <w:qFormat/>
    <w:uiPriority w:val="0"/>
    <w:pPr>
      <w:spacing w:before="100" w:after="100" w:line="240" w:lineRule="auto"/>
    </w:pPr>
    <w:rPr>
      <w:rFonts w:cs="宋体"/>
      <w:szCs w:val="20"/>
    </w:rPr>
  </w:style>
  <w:style w:type="paragraph" w:styleId="41">
    <w:name w:val="List Paragraph"/>
    <w:basedOn w:val="1"/>
    <w:qFormat/>
    <w:uiPriority w:val="99"/>
    <w:pPr>
      <w:ind w:firstLine="420" w:firstLineChars="200"/>
    </w:pPr>
    <w:rPr>
      <w:rFonts w:ascii="Calibri" w:hAnsi="Calibri"/>
    </w:rPr>
  </w:style>
  <w:style w:type="paragraph" w:customStyle="1" w:styleId="42">
    <w:name w:val="Table Paragraph"/>
    <w:basedOn w:val="43"/>
    <w:qFormat/>
    <w:uiPriority w:val="1"/>
    <w:rPr>
      <w:rFonts w:ascii="宋体" w:hAnsi="宋体" w:eastAsia="宋体" w:cs="宋体"/>
      <w:lang w:val="zh-CN" w:bidi="zh-CN"/>
    </w:rPr>
  </w:style>
  <w:style w:type="paragraph" w:customStyle="1" w:styleId="43">
    <w:name w:val="Normal_3"/>
    <w:next w:val="44"/>
    <w:qFormat/>
    <w:uiPriority w:val="0"/>
    <w:rPr>
      <w:rFonts w:ascii="黑体" w:hAnsi="黑体" w:eastAsia="黑体" w:cs="Times New Roman"/>
      <w:b/>
      <w:sz w:val="32"/>
      <w:szCs w:val="24"/>
      <w:lang w:val="en-US" w:eastAsia="zh-CN" w:bidi="ar-SA"/>
    </w:rPr>
  </w:style>
  <w:style w:type="paragraph" w:customStyle="1" w:styleId="44">
    <w:name w:val="页眉1"/>
    <w:basedOn w:val="43"/>
    <w:qFormat/>
    <w:uiPriority w:val="0"/>
    <w:pPr>
      <w:pBdr>
        <w:bottom w:val="single" w:color="auto" w:sz="6" w:space="1"/>
      </w:pBdr>
      <w:tabs>
        <w:tab w:val="center" w:pos="4153"/>
        <w:tab w:val="right" w:pos="8306"/>
      </w:tabs>
      <w:snapToGrid w:val="0"/>
      <w:jc w:val="center"/>
    </w:pPr>
    <w:rPr>
      <w:rFonts w:eastAsia="宋体"/>
      <w:kern w:val="2"/>
      <w:sz w:val="18"/>
      <w:szCs w:val="18"/>
    </w:rPr>
  </w:style>
  <w:style w:type="paragraph" w:customStyle="1" w:styleId="45">
    <w:name w:val="正文_0_0_0"/>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46">
    <w:name w:val="Bid_正文"/>
    <w:basedOn w:val="9"/>
    <w:qFormat/>
    <w:uiPriority w:val="0"/>
    <w:pPr>
      <w:spacing w:afterLines="50" w:line="360" w:lineRule="auto"/>
      <w:ind w:firstLine="480"/>
    </w:pPr>
  </w:style>
  <w:style w:type="table" w:customStyle="1" w:styleId="47">
    <w:name w:val="Table Normal1"/>
    <w:unhideWhenUsed/>
    <w:qFormat/>
    <w:uiPriority w:val="0"/>
    <w:tblPr>
      <w:tblCellMar>
        <w:top w:w="0" w:type="dxa"/>
        <w:left w:w="0" w:type="dxa"/>
        <w:bottom w:w="0" w:type="dxa"/>
        <w:right w:w="0" w:type="dxa"/>
      </w:tblCellMar>
    </w:tblPr>
  </w:style>
  <w:style w:type="paragraph" w:customStyle="1" w:styleId="48">
    <w:name w:val="正文_1"/>
    <w:next w:val="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页脚_0"/>
    <w:basedOn w:val="50"/>
    <w:unhideWhenUsed/>
    <w:qFormat/>
    <w:uiPriority w:val="99"/>
    <w:pPr>
      <w:tabs>
        <w:tab w:val="center" w:pos="4153"/>
        <w:tab w:val="right" w:pos="8306"/>
      </w:tabs>
      <w:snapToGrid w:val="0"/>
      <w:jc w:val="left"/>
    </w:pPr>
    <w:rPr>
      <w:sz w:val="18"/>
      <w:szCs w:val="18"/>
    </w:rPr>
  </w:style>
  <w:style w:type="paragraph" w:customStyle="1" w:styleId="50">
    <w:name w:val="正文_0"/>
    <w:basedOn w:val="48"/>
    <w:next w:val="11"/>
    <w:qFormat/>
    <w:uiPriority w:val="0"/>
    <w:rPr>
      <w:rFonts w:eastAsia="仿宋_GB2312"/>
      <w:sz w:val="28"/>
    </w:rPr>
  </w:style>
  <w:style w:type="paragraph" w:customStyle="1" w:styleId="5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Proposals body"/>
    <w:basedOn w:val="1"/>
    <w:next w:val="1"/>
    <w:qFormat/>
    <w:uiPriority w:val="0"/>
    <w:pPr>
      <w:widowControl/>
      <w:spacing w:line="360" w:lineRule="auto"/>
    </w:pPr>
    <w:rPr>
      <w:rFonts w:ascii="宋体"/>
      <w:snapToGrid w:val="0"/>
      <w:color w:val="000000"/>
      <w:szCs w:val="20"/>
    </w:rPr>
  </w:style>
  <w:style w:type="paragraph" w:customStyle="1" w:styleId="53">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
    <w:name w:val="正文文本缩进_0"/>
    <w:basedOn w:val="53"/>
    <w:qFormat/>
    <w:uiPriority w:val="0"/>
    <w:pPr>
      <w:spacing w:line="500" w:lineRule="exact"/>
      <w:ind w:left="1588" w:leftChars="832" w:firstLine="433" w:firstLineChars="196"/>
    </w:pPr>
    <w:rPr>
      <w:kern w:val="0"/>
      <w:sz w:val="24"/>
    </w:rPr>
  </w:style>
  <w:style w:type="paragraph" w:customStyle="1" w:styleId="55">
    <w:name w:val="标题 3_0_0"/>
    <w:basedOn w:val="45"/>
    <w:next w:val="45"/>
    <w:qFormat/>
    <w:uiPriority w:val="0"/>
    <w:pPr>
      <w:autoSpaceDE w:val="0"/>
      <w:autoSpaceDN w:val="0"/>
      <w:adjustRightInd w:val="0"/>
      <w:spacing w:line="500" w:lineRule="exact"/>
      <w:jc w:val="center"/>
      <w:outlineLvl w:val="2"/>
    </w:pPr>
    <w:rPr>
      <w:rFonts w:ascii="宋体" w:hAnsi="宋体"/>
      <w:b/>
      <w:kern w:val="0"/>
      <w:szCs w:val="28"/>
    </w:rPr>
  </w:style>
  <w:style w:type="paragraph" w:customStyle="1" w:styleId="56">
    <w:name w:val="日期_0"/>
    <w:basedOn w:val="57"/>
    <w:next w:val="57"/>
    <w:qFormat/>
    <w:uiPriority w:val="0"/>
    <w:pPr>
      <w:ind w:left="100" w:leftChars="2500"/>
    </w:pPr>
    <w:rPr>
      <w:kern w:val="0"/>
      <w:sz w:val="20"/>
    </w:rPr>
  </w:style>
  <w:style w:type="paragraph" w:customStyle="1" w:styleId="5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
    <w:name w:val="正文文本缩进_1"/>
    <w:basedOn w:val="59"/>
    <w:qFormat/>
    <w:uiPriority w:val="0"/>
    <w:pPr>
      <w:spacing w:line="500" w:lineRule="exact"/>
      <w:ind w:left="1588" w:leftChars="832" w:firstLine="433" w:firstLineChars="196"/>
    </w:pPr>
    <w:rPr>
      <w:kern w:val="0"/>
      <w:sz w:val="24"/>
    </w:rPr>
  </w:style>
  <w:style w:type="paragraph" w:customStyle="1" w:styleId="59">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正文_0_0_1"/>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61">
    <w:name w:val="正文文本缩进_2"/>
    <w:basedOn w:val="62"/>
    <w:qFormat/>
    <w:uiPriority w:val="0"/>
    <w:pPr>
      <w:spacing w:line="500" w:lineRule="exact"/>
      <w:ind w:left="1588" w:leftChars="832" w:firstLine="433" w:firstLineChars="196"/>
    </w:pPr>
    <w:rPr>
      <w:kern w:val="0"/>
      <w:sz w:val="24"/>
    </w:rPr>
  </w:style>
  <w:style w:type="paragraph" w:customStyle="1" w:styleId="62">
    <w:name w:val="正文_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Normal_11"/>
    <w:qFormat/>
    <w:uiPriority w:val="0"/>
    <w:rPr>
      <w:rFonts w:ascii="黑体" w:hAnsi="黑体" w:eastAsia="黑体" w:cs="Times New Roman"/>
      <w:b/>
      <w:sz w:val="32"/>
      <w:szCs w:val="24"/>
      <w:lang w:val="en-US" w:eastAsia="zh-CN" w:bidi="ar-SA"/>
    </w:rPr>
  </w:style>
  <w:style w:type="character" w:customStyle="1" w:styleId="64">
    <w:name w:val="样式 仿宋"/>
    <w:qFormat/>
    <w:uiPriority w:val="0"/>
    <w:rPr>
      <w:rFonts w:ascii="仿宋" w:hAnsi="仿宋" w:eastAsia="仿宋"/>
      <w:kern w:val="1"/>
    </w:rPr>
  </w:style>
  <w:style w:type="paragraph" w:customStyle="1" w:styleId="65">
    <w:name w:val="Normal Indent1"/>
    <w:basedOn w:val="1"/>
    <w:unhideWhenUsed/>
    <w:qFormat/>
    <w:uiPriority w:val="99"/>
    <w:pPr>
      <w:ind w:firstLine="420" w:firstLineChars="200"/>
    </w:pPr>
  </w:style>
  <w:style w:type="paragraph" w:customStyle="1" w:styleId="66">
    <w:name w:val="样式 样式 样式 左侧:  2 字符1 + 首行缩进:  2 字符1 + 首行缩进:  2 字符"/>
    <w:basedOn w:val="1"/>
    <w:qFormat/>
    <w:uiPriority w:val="0"/>
    <w:pPr>
      <w:widowControl/>
      <w:spacing w:before="60" w:after="120" w:line="440" w:lineRule="atLeast"/>
      <w:ind w:firstLine="480"/>
    </w:pPr>
    <w:rPr>
      <w:rFonts w:hint="eastAsia"/>
    </w:rPr>
  </w:style>
  <w:style w:type="character" w:customStyle="1" w:styleId="67">
    <w:name w:val="font41"/>
    <w:basedOn w:val="31"/>
    <w:qFormat/>
    <w:uiPriority w:val="0"/>
    <w:rPr>
      <w:rFonts w:hint="eastAsia" w:ascii="仿宋_GB2312" w:eastAsia="仿宋_GB2312" w:cs="仿宋_GB2312"/>
      <w:color w:val="000000"/>
      <w:sz w:val="24"/>
      <w:szCs w:val="24"/>
      <w:u w:val="none"/>
    </w:rPr>
  </w:style>
  <w:style w:type="character" w:customStyle="1" w:styleId="68">
    <w:name w:val="font01"/>
    <w:basedOn w:val="31"/>
    <w:qFormat/>
    <w:uiPriority w:val="0"/>
    <w:rPr>
      <w:rFonts w:hint="eastAsia" w:ascii="楷体_GB2312" w:eastAsia="楷体_GB2312" w:cs="楷体_GB2312"/>
      <w:color w:val="000000"/>
      <w:sz w:val="24"/>
      <w:szCs w:val="24"/>
      <w:u w:val="none"/>
    </w:rPr>
  </w:style>
  <w:style w:type="character" w:customStyle="1" w:styleId="69">
    <w:name w:val="font21"/>
    <w:basedOn w:val="31"/>
    <w:qFormat/>
    <w:uiPriority w:val="0"/>
    <w:rPr>
      <w:rFonts w:hint="eastAsia" w:ascii="宋体" w:hAnsi="宋体" w:eastAsia="宋体" w:cs="宋体"/>
      <w:color w:val="000000"/>
      <w:sz w:val="21"/>
      <w:szCs w:val="21"/>
      <w:u w:val="none"/>
    </w:rPr>
  </w:style>
  <w:style w:type="character" w:customStyle="1" w:styleId="70">
    <w:name w:val="font31"/>
    <w:basedOn w:val="31"/>
    <w:qFormat/>
    <w:uiPriority w:val="0"/>
    <w:rPr>
      <w:rFonts w:hint="default" w:ascii="Times New Roman" w:hAnsi="Times New Roman" w:cs="Times New Roman"/>
      <w:color w:val="000000"/>
      <w:sz w:val="21"/>
      <w:szCs w:val="21"/>
      <w:u w:val="none"/>
    </w:rPr>
  </w:style>
  <w:style w:type="paragraph" w:customStyle="1" w:styleId="71">
    <w:name w:val="列出段落1"/>
    <w:basedOn w:val="1"/>
    <w:qFormat/>
    <w:uiPriority w:val="0"/>
    <w:pPr>
      <w:ind w:firstLine="420" w:firstLineChars="200"/>
    </w:pPr>
  </w:style>
  <w:style w:type="character" w:customStyle="1" w:styleId="72">
    <w:name w:val="font51"/>
    <w:basedOn w:val="31"/>
    <w:qFormat/>
    <w:uiPriority w:val="0"/>
    <w:rPr>
      <w:rFonts w:hint="default" w:ascii="Bahnschrift SemiBold" w:hAnsi="Bahnschrift SemiBold" w:eastAsia="Bahnschrift SemiBold" w:cs="Bahnschrift SemiBold"/>
      <w:color w:val="000000"/>
      <w:sz w:val="24"/>
      <w:szCs w:val="24"/>
      <w:u w:val="none"/>
    </w:rPr>
  </w:style>
  <w:style w:type="paragraph" w:customStyle="1" w:styleId="73">
    <w:name w:val="Char Char1 Char Char Char Char Char Char Char Char Char Char Char Char Char Char"/>
    <w:basedOn w:val="1"/>
    <w:qFormat/>
    <w:uiPriority w:val="0"/>
    <w:pPr>
      <w:widowControl/>
      <w:spacing w:after="160" w:line="240" w:lineRule="exact"/>
    </w:pPr>
  </w:style>
  <w:style w:type="paragraph" w:styleId="74">
    <w:name w:val="Quote"/>
    <w:basedOn w:val="1"/>
    <w:next w:val="1"/>
    <w:qFormat/>
    <w:uiPriority w:val="0"/>
    <w:pPr>
      <w:wordWrap w:val="0"/>
      <w:spacing w:before="200" w:after="160"/>
      <w:ind w:left="864" w:right="864"/>
      <w:jc w:val="center"/>
    </w:pPr>
    <w:rPr>
      <w:rFonts w:ascii="Times New Roman" w:hAnsi="Times New Roman"/>
      <w:i/>
    </w:rPr>
  </w:style>
  <w:style w:type="paragraph" w:customStyle="1" w:styleId="75">
    <w:name w:val="正文缩进1"/>
    <w:basedOn w:val="1"/>
    <w:qFormat/>
    <w:uiPriority w:val="0"/>
    <w:pPr>
      <w:spacing w:line="240" w:lineRule="auto"/>
      <w:ind w:firstLine="420"/>
    </w:pPr>
    <w:rPr>
      <w:rFonts w:ascii="宋体" w:hAnsi="Calibri" w:eastAsia="宋体" w:cs="Times New Roman"/>
      <w:szCs w:val="20"/>
    </w:rPr>
  </w:style>
  <w:style w:type="character" w:customStyle="1" w:styleId="76">
    <w:name w:val="纯文本 字符"/>
    <w:basedOn w:val="31"/>
    <w:link w:val="15"/>
    <w:qFormat/>
    <w:uiPriority w:val="99"/>
    <w:rPr>
      <w:rFonts w:ascii="宋体" w:hAnsi="Courier New" w:eastAsia="微软雅黑" w:cs="微软雅黑"/>
      <w:sz w:val="24"/>
      <w:szCs w:val="21"/>
    </w:rPr>
  </w:style>
  <w:style w:type="paragraph" w:customStyle="1" w:styleId="77">
    <w:name w:val="石墨文档正文"/>
    <w:qFormat/>
    <w:uiPriority w:val="0"/>
    <w:rPr>
      <w:rFonts w:ascii="微软雅黑" w:hAnsi="微软雅黑" w:eastAsia="微软雅黑" w:cs="微软雅黑"/>
      <w:sz w:val="22"/>
      <w:szCs w:val="22"/>
      <w:lang w:val="en-US" w:eastAsia="zh-CN" w:bidi="ar-SA"/>
    </w:rPr>
  </w:style>
  <w:style w:type="paragraph" w:customStyle="1" w:styleId="78">
    <w:name w:val="正文 New New New New New New New New New New New"/>
    <w:qFormat/>
    <w:uiPriority w:val="0"/>
    <w:pPr>
      <w:widowControl w:val="0"/>
      <w:suppressAutoHyphens/>
      <w:jc w:val="both"/>
    </w:pPr>
    <w:rPr>
      <w:rFonts w:ascii="Times New Roman" w:hAnsi="Times New Roman" w:eastAsia="宋体" w:cs="Times New Roman"/>
      <w:kern w:val="1"/>
      <w:sz w:val="21"/>
      <w:szCs w:val="22"/>
      <w:lang w:val="en-US" w:eastAsia="zh-CN" w:bidi="ar-SA"/>
    </w:rPr>
  </w:style>
  <w:style w:type="paragraph" w:customStyle="1" w:styleId="79">
    <w:name w:val="Table Text"/>
    <w:basedOn w:val="1"/>
    <w:semiHidden/>
    <w:qFormat/>
    <w:uiPriority w:val="0"/>
    <w:rPr>
      <w:rFonts w:ascii="宋体" w:hAnsi="宋体" w:eastAsia="宋体" w:cs="宋体"/>
      <w:sz w:val="17"/>
      <w:szCs w:val="17"/>
      <w:lang w:eastAsia="en-US"/>
    </w:rPr>
  </w:style>
  <w:style w:type="paragraph" w:customStyle="1" w:styleId="80">
    <w:name w:val="Char"/>
    <w:basedOn w:val="1"/>
    <w:qFormat/>
    <w:uiPriority w:val="99"/>
    <w:pPr>
      <w:spacing w:line="240" w:lineRule="exact"/>
    </w:pPr>
  </w:style>
  <w:style w:type="character" w:customStyle="1" w:styleId="81">
    <w:name w:val="标题 2 字符"/>
    <w:link w:val="3"/>
    <w:qFormat/>
    <w:uiPriority w:val="0"/>
    <w:rPr>
      <w:rFonts w:ascii="Arial" w:hAnsi="Arial" w:eastAsia="黑体"/>
      <w:b/>
      <w:bCs/>
      <w:sz w:val="32"/>
      <w:szCs w:val="32"/>
    </w:rPr>
  </w:style>
  <w:style w:type="character" w:customStyle="1" w:styleId="82">
    <w:name w:val="font11"/>
    <w:basedOn w:val="31"/>
    <w:qFormat/>
    <w:uiPriority w:val="0"/>
    <w:rPr>
      <w:rFonts w:hint="eastAsia" w:ascii="宋体" w:hAnsi="宋体" w:eastAsia="宋体" w:cs="宋体"/>
      <w:color w:val="000000"/>
      <w:sz w:val="24"/>
      <w:szCs w:val="24"/>
      <w:u w:val="single"/>
    </w:rPr>
  </w:style>
  <w:style w:type="paragraph" w:customStyle="1" w:styleId="83">
    <w:name w:val="5）标书正文 首行缩进2字符"/>
    <w:basedOn w:val="1"/>
    <w:qFormat/>
    <w:uiPriority w:val="0"/>
    <w:pPr>
      <w:spacing w:line="520" w:lineRule="exact"/>
      <w:ind w:firstLine="560" w:firstLineChars="200"/>
    </w:pPr>
    <w:rPr>
      <w:rFonts w:eastAsia="仿宋_GB2312"/>
      <w:sz w:val="28"/>
    </w:rPr>
  </w:style>
  <w:style w:type="paragraph" w:customStyle="1" w:styleId="84">
    <w:name w:val="Char1"/>
    <w:basedOn w:val="1"/>
    <w:qFormat/>
    <w:uiPriority w:val="0"/>
    <w:pPr>
      <w:tabs>
        <w:tab w:val="left" w:pos="432"/>
      </w:tabs>
      <w:spacing w:before="156" w:beforeLines="50" w:after="156" w:afterLines="50"/>
      <w:ind w:left="432" w:hanging="432"/>
    </w:pPr>
  </w:style>
  <w:style w:type="paragraph" w:customStyle="1" w:styleId="85">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table" w:customStyle="1" w:styleId="86">
    <w:name w:val="Table Normal"/>
    <w:unhideWhenUsed/>
    <w:qFormat/>
    <w:uiPriority w:val="0"/>
    <w:tblPr>
      <w:tblCellMar>
        <w:top w:w="0" w:type="dxa"/>
        <w:left w:w="0" w:type="dxa"/>
        <w:bottom w:w="0" w:type="dxa"/>
        <w:right w:w="0" w:type="dxa"/>
      </w:tblCellMar>
    </w:tblPr>
  </w:style>
  <w:style w:type="table" w:customStyle="1" w:styleId="87">
    <w:name w:val="网格型2"/>
    <w:basedOn w:val="2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8">
    <w:name w:val="采购正文"/>
    <w:qFormat/>
    <w:uiPriority w:val="0"/>
    <w:pPr>
      <w:snapToGrid w:val="0"/>
      <w:spacing w:line="560" w:lineRule="exact"/>
      <w:ind w:firstLine="480" w:firstLineChars="200"/>
    </w:pPr>
    <w:rPr>
      <w:rFonts w:ascii="仿宋" w:hAnsi="仿宋" w:eastAsia="仿宋"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103</Pages>
  <Words>2802</Words>
  <Characters>3192</Characters>
  <Lines>309</Lines>
  <Paragraphs>86</Paragraphs>
  <TotalTime>42</TotalTime>
  <ScaleCrop>false</ScaleCrop>
  <LinksUpToDate>false</LinksUpToDate>
  <CharactersWithSpaces>3276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2024-05-27T07:37:00Z</dcterms:created>
  <dc:creator>Administrator</dc:creator>
  <cp:lastModifiedBy>a</cp:lastModifiedBy>
  <cp:lastPrinted>2025-10-31T03:49:00Z</cp:lastPrinted>
  <dcterms:modified xsi:type="dcterms:W3CDTF">2026-10-13T11:27:24Z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13999D71F5BB4D41B6BE5D6F714C357A_13</vt:lpwstr>
  </property>
  <property fmtid="{D5CDD505-2E9C-101B-9397-08002B2CF9AE}" pid="4" name="KSOTemplateDocerSaveRecord">
    <vt:lpwstr>eyJoZGlkIjoiYTliOGIyOGVhMTk0NjY2YjgzMTgzMTI0NzgwNmE0ODAiLCJ1c2VySWQiOiIzOTE1NjY0NDcifQ==</vt:lpwstr>
  </property>
</Properties>
</file>