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99A686">
      <w:pPr>
        <w:spacing w:line="560" w:lineRule="exact"/>
        <w:jc w:val="center"/>
        <w:outlineLvl w:val="9"/>
        <w:rPr>
          <w:rFonts w:ascii="楷体_GB2312" w:eastAsia="楷体_GB2312"/>
          <w:b/>
          <w:sz w:val="52"/>
          <w:szCs w:val="52"/>
          <w:highlight w:val="none"/>
        </w:rPr>
      </w:pPr>
      <w:bookmarkStart w:id="0" w:name="_Toc247085669"/>
      <w:bookmarkStart w:id="1" w:name="_Toc296602400"/>
      <w:bookmarkStart w:id="2" w:name="_Toc246996898"/>
      <w:bookmarkStart w:id="834" w:name="_GoBack"/>
      <w:bookmarkEnd w:id="834"/>
    </w:p>
    <w:p w14:paraId="4A4FF720">
      <w:pPr>
        <w:spacing w:line="560" w:lineRule="exact"/>
        <w:jc w:val="center"/>
        <w:rPr>
          <w:rFonts w:hint="eastAsia" w:eastAsia="宋体"/>
          <w:highlight w:val="none"/>
          <w:lang w:eastAsia="zh-CN"/>
        </w:rPr>
      </w:pPr>
      <w:r>
        <w:rPr>
          <w:rFonts w:hint="eastAsia" w:cs="Times New Roman"/>
          <w:b/>
          <w:bCs/>
          <w:sz w:val="32"/>
          <w:szCs w:val="32"/>
          <w:lang w:val="en-US" w:eastAsia="zh-CN"/>
        </w:rPr>
        <w:t>开封市行政审批和政务信息管理局郑开同城政务服务项目</w:t>
      </w:r>
    </w:p>
    <w:p w14:paraId="2A640AC5">
      <w:pPr>
        <w:spacing w:line="400" w:lineRule="exact"/>
        <w:jc w:val="center"/>
        <w:rPr>
          <w:highlight w:val="none"/>
        </w:rPr>
      </w:pPr>
    </w:p>
    <w:p w14:paraId="74798369">
      <w:pPr>
        <w:spacing w:line="400" w:lineRule="exact"/>
        <w:jc w:val="center"/>
        <w:rPr>
          <w:highlight w:val="none"/>
        </w:rPr>
      </w:pPr>
    </w:p>
    <w:p w14:paraId="4402132A">
      <w:pPr>
        <w:spacing w:line="400" w:lineRule="exact"/>
        <w:jc w:val="center"/>
        <w:rPr>
          <w:highlight w:val="none"/>
        </w:rPr>
      </w:pPr>
    </w:p>
    <w:p w14:paraId="65958327">
      <w:pPr>
        <w:spacing w:line="400" w:lineRule="exact"/>
        <w:jc w:val="center"/>
        <w:rPr>
          <w:highlight w:val="none"/>
        </w:rPr>
      </w:pPr>
    </w:p>
    <w:p w14:paraId="5A42E401">
      <w:pPr>
        <w:spacing w:line="400" w:lineRule="exact"/>
        <w:jc w:val="center"/>
        <w:rPr>
          <w:highlight w:val="none"/>
        </w:rPr>
      </w:pPr>
    </w:p>
    <w:p w14:paraId="134419D7">
      <w:pPr>
        <w:spacing w:line="400" w:lineRule="exact"/>
        <w:jc w:val="center"/>
        <w:rPr>
          <w:highlight w:val="none"/>
        </w:rPr>
      </w:pPr>
    </w:p>
    <w:p w14:paraId="232A6037">
      <w:pPr>
        <w:jc w:val="center"/>
        <w:rPr>
          <w:highlight w:val="none"/>
        </w:rPr>
      </w:pPr>
    </w:p>
    <w:p w14:paraId="20C3182C">
      <w:pPr>
        <w:jc w:val="center"/>
        <w:rPr>
          <w:highlight w:val="none"/>
        </w:rPr>
      </w:pPr>
    </w:p>
    <w:p w14:paraId="30F2C996">
      <w:pPr>
        <w:jc w:val="center"/>
        <w:rPr>
          <w:highlight w:val="none"/>
        </w:rPr>
      </w:pPr>
    </w:p>
    <w:p w14:paraId="64C6DAB3">
      <w:pPr>
        <w:jc w:val="center"/>
        <w:rPr>
          <w:highlight w:val="none"/>
        </w:rPr>
      </w:pPr>
    </w:p>
    <w:p w14:paraId="0DE37B03">
      <w:pPr>
        <w:jc w:val="center"/>
        <w:rPr>
          <w:highlight w:val="none"/>
        </w:rPr>
      </w:pPr>
    </w:p>
    <w:p w14:paraId="2D8A2C4D">
      <w:pPr>
        <w:jc w:val="center"/>
        <w:rPr>
          <w:highlight w:val="none"/>
        </w:rPr>
      </w:pPr>
    </w:p>
    <w:p w14:paraId="00ECB711">
      <w:pPr>
        <w:jc w:val="center"/>
        <w:rPr>
          <w:rFonts w:ascii="楷体_GB2312" w:eastAsia="楷体_GB2312"/>
          <w:sz w:val="96"/>
          <w:szCs w:val="96"/>
          <w:highlight w:val="none"/>
        </w:rPr>
      </w:pPr>
      <w:r>
        <w:rPr>
          <w:rFonts w:hint="eastAsia" w:ascii="楷体_GB2312" w:hAnsi="宋体" w:eastAsia="楷体_GB2312"/>
          <w:b/>
          <w:bCs/>
          <w:sz w:val="120"/>
          <w:szCs w:val="120"/>
          <w:highlight w:val="none"/>
        </w:rPr>
        <w:t>招标文件</w:t>
      </w:r>
    </w:p>
    <w:p w14:paraId="3458DB7F">
      <w:pPr>
        <w:jc w:val="center"/>
        <w:rPr>
          <w:rFonts w:hint="eastAsia" w:ascii="宋体" w:hAnsi="宋体" w:eastAsia="楷体_GB2312"/>
          <w:sz w:val="48"/>
          <w:szCs w:val="48"/>
          <w:highlight w:val="none"/>
          <w:lang w:val="en-US" w:eastAsia="zh-CN"/>
        </w:rPr>
      </w:pPr>
      <w:r>
        <w:rPr>
          <w:rFonts w:hint="eastAsia" w:ascii="楷体_GB2312" w:hAnsi="宋体" w:eastAsia="楷体_GB2312"/>
          <w:b/>
          <w:sz w:val="32"/>
          <w:szCs w:val="32"/>
          <w:highlight w:val="none"/>
        </w:rPr>
        <w:t>项目编号：</w:t>
      </w:r>
      <w:r>
        <w:rPr>
          <w:rFonts w:hint="eastAsia" w:ascii="楷体_GB2312" w:hAnsi="宋体" w:eastAsia="楷体_GB2312"/>
          <w:b/>
          <w:sz w:val="32"/>
          <w:szCs w:val="32"/>
          <w:highlight w:val="none"/>
          <w:lang w:eastAsia="zh-CN"/>
        </w:rPr>
        <w:t>汴财招标采购-2026-44</w:t>
      </w:r>
    </w:p>
    <w:p w14:paraId="27B774C1">
      <w:pPr>
        <w:jc w:val="center"/>
        <w:rPr>
          <w:rFonts w:ascii="楷体_GB2312" w:eastAsia="楷体_GB2312"/>
          <w:sz w:val="32"/>
          <w:szCs w:val="32"/>
          <w:highlight w:val="none"/>
        </w:rPr>
      </w:pPr>
    </w:p>
    <w:p w14:paraId="3E2A20F8">
      <w:pPr>
        <w:spacing w:line="400" w:lineRule="exact"/>
        <w:jc w:val="center"/>
        <w:rPr>
          <w:highlight w:val="none"/>
        </w:rPr>
      </w:pPr>
    </w:p>
    <w:p w14:paraId="3BB77C7B">
      <w:pPr>
        <w:spacing w:line="400" w:lineRule="exact"/>
        <w:jc w:val="center"/>
        <w:rPr>
          <w:highlight w:val="none"/>
        </w:rPr>
      </w:pPr>
    </w:p>
    <w:p w14:paraId="15C3B62D">
      <w:pPr>
        <w:spacing w:line="400" w:lineRule="exact"/>
        <w:jc w:val="center"/>
        <w:rPr>
          <w:highlight w:val="none"/>
        </w:rPr>
      </w:pPr>
    </w:p>
    <w:p w14:paraId="0484B379">
      <w:pPr>
        <w:spacing w:line="400" w:lineRule="exact"/>
        <w:jc w:val="center"/>
        <w:rPr>
          <w:highlight w:val="none"/>
        </w:rPr>
      </w:pPr>
    </w:p>
    <w:p w14:paraId="53193583">
      <w:pPr>
        <w:spacing w:line="400" w:lineRule="exact"/>
        <w:jc w:val="center"/>
        <w:rPr>
          <w:highlight w:val="none"/>
        </w:rPr>
      </w:pPr>
    </w:p>
    <w:p w14:paraId="10E96C6D">
      <w:pPr>
        <w:spacing w:line="400" w:lineRule="exact"/>
        <w:jc w:val="center"/>
        <w:rPr>
          <w:highlight w:val="none"/>
        </w:rPr>
      </w:pPr>
    </w:p>
    <w:p w14:paraId="24D1FF76">
      <w:pPr>
        <w:spacing w:line="400" w:lineRule="exact"/>
        <w:jc w:val="center"/>
        <w:rPr>
          <w:highlight w:val="none"/>
        </w:rPr>
      </w:pPr>
    </w:p>
    <w:p w14:paraId="4626F053">
      <w:pPr>
        <w:spacing w:line="400" w:lineRule="exact"/>
        <w:jc w:val="center"/>
        <w:rPr>
          <w:highlight w:val="none"/>
        </w:rPr>
      </w:pPr>
    </w:p>
    <w:p w14:paraId="0A696D27">
      <w:pPr>
        <w:spacing w:line="400" w:lineRule="exact"/>
        <w:jc w:val="center"/>
        <w:rPr>
          <w:highlight w:val="none"/>
        </w:rPr>
      </w:pPr>
    </w:p>
    <w:p w14:paraId="6027562E">
      <w:pPr>
        <w:spacing w:line="400" w:lineRule="exact"/>
        <w:jc w:val="center"/>
        <w:rPr>
          <w:highlight w:val="none"/>
        </w:rPr>
      </w:pPr>
    </w:p>
    <w:p w14:paraId="5E788FF3">
      <w:pPr>
        <w:spacing w:line="560" w:lineRule="exact"/>
        <w:jc w:val="center"/>
        <w:rPr>
          <w:rFonts w:ascii="宋体" w:hAnsi="宋体"/>
          <w:sz w:val="44"/>
          <w:szCs w:val="44"/>
          <w:highlight w:val="none"/>
        </w:rPr>
        <w:sectPr>
          <w:headerReference r:id="rId4" w:type="first"/>
          <w:headerReference r:id="rId3" w:type="default"/>
          <w:footerReference r:id="rId5" w:type="default"/>
          <w:pgSz w:w="11906" w:h="16838"/>
          <w:pgMar w:top="1417" w:right="1474" w:bottom="1417" w:left="1588" w:header="851" w:footer="992" w:gutter="0"/>
          <w:pgNumType w:start="1"/>
          <w:cols w:space="720" w:num="1"/>
          <w:titlePg/>
          <w:docGrid w:type="lines" w:linePitch="312" w:charSpace="0"/>
        </w:sectPr>
      </w:pPr>
      <w:r>
        <w:rPr>
          <w:rFonts w:hint="eastAsia" w:ascii="楷体_GB2312" w:eastAsia="楷体_GB2312"/>
          <w:b/>
          <w:spacing w:val="40"/>
          <w:sz w:val="36"/>
          <w:szCs w:val="36"/>
          <w:highlight w:val="none"/>
        </w:rPr>
        <w:t>开封市政府采购中心</w:t>
      </w:r>
    </w:p>
    <w:bookmarkEnd w:id="0"/>
    <w:bookmarkEnd w:id="1"/>
    <w:bookmarkEnd w:id="2"/>
    <w:sdt>
      <w:sdtPr>
        <w:rPr>
          <w:rFonts w:hint="eastAsia" w:ascii="宋体" w:hAnsi="宋体"/>
          <w:highlight w:val="none"/>
          <w:lang w:val="en-US" w:eastAsia="zh-CN"/>
        </w:rPr>
        <w:id w:val="147478811"/>
        <w15:color w:val="DBDBDB"/>
        <w:docPartObj>
          <w:docPartGallery w:val="Table of Contents"/>
          <w:docPartUnique/>
        </w:docPartObj>
      </w:sdtPr>
      <w:sdtEndPr>
        <w:rPr>
          <w:rFonts w:hint="eastAsia" w:ascii="Times New Roman" w:hAnsi="Times New Roman" w:eastAsia="宋体" w:cs="Times New Roman"/>
          <w:kern w:val="2"/>
          <w:sz w:val="21"/>
          <w:szCs w:val="24"/>
          <w:highlight w:val="none"/>
          <w:lang w:val="en-US" w:eastAsia="zh-CN" w:bidi="ar-SA"/>
        </w:rPr>
      </w:sdtEndPr>
      <w:sdtContent>
        <w:p w14:paraId="0AAA1374">
          <w:pPr>
            <w:pStyle w:val="2"/>
            <w:tabs>
              <w:tab w:val="right" w:leader="dot" w:pos="8834"/>
            </w:tabs>
            <w:jc w:val="center"/>
            <w:outlineLvl w:val="9"/>
            <w:rPr>
              <w:rFonts w:hint="eastAsia" w:ascii="宋体" w:hAnsi="宋体"/>
              <w:highlight w:val="none"/>
              <w:lang w:val="en-US" w:eastAsia="zh-CN"/>
            </w:rPr>
          </w:pPr>
          <w:r>
            <w:rPr>
              <w:rFonts w:hint="eastAsia" w:ascii="宋体" w:hAnsi="宋体"/>
              <w:highlight w:val="none"/>
              <w:lang w:val="en-US" w:eastAsia="zh-CN"/>
            </w:rPr>
            <w:t>目  录</w:t>
          </w:r>
        </w:p>
        <w:p w14:paraId="04A374ED">
          <w:pPr>
            <w:pStyle w:val="23"/>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TOC \o "1-2" \h \u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_Toc11693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第一章 招标公告</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lang w:val="en-US" w:eastAsia="zh-CN"/>
            </w:rPr>
            <w:t>投标邀请函</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_Toc11693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60A8BD27">
          <w:pPr>
            <w:pStyle w:val="23"/>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_Toc6588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第二章 供应商须知</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_Toc6588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5</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6791D4AD">
          <w:pPr>
            <w:pStyle w:val="26"/>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_Toc18929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供应商须知前附表</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_Toc18929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5</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041BE8FE">
          <w:pPr>
            <w:pStyle w:val="26"/>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_Toc17625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 总则</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_Toc17625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13</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0A5F0917">
          <w:pPr>
            <w:pStyle w:val="26"/>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_Toc14198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 招标文件</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_Toc14198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15</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49B1E219">
          <w:pPr>
            <w:pStyle w:val="26"/>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_Toc25551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3. 投标文件</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_Toc25551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16</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4CE2CB96">
          <w:pPr>
            <w:pStyle w:val="26"/>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_Toc1961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4. 投标</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_Toc1961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17</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567C15B6">
          <w:pPr>
            <w:pStyle w:val="26"/>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_Toc16670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5. 开标</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_Toc16670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18</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1441608A">
          <w:pPr>
            <w:pStyle w:val="26"/>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_Toc1700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6. 评标</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_Toc1700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18</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2AC7249A">
          <w:pPr>
            <w:pStyle w:val="26"/>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_Toc32146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7. 合同授予</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_Toc32146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19</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7B6627B0">
          <w:pPr>
            <w:pStyle w:val="26"/>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_Toc10938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8. 纪律和监督</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_Toc10938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20</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5618DDA1">
          <w:pPr>
            <w:pStyle w:val="26"/>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_Toc29725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9. 政府采购政策</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_Toc29725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21</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2B8CBF1C">
          <w:pPr>
            <w:pStyle w:val="26"/>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_Toc20820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10. 需要补充的其他内容</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_Toc20820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27</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199F3C0F">
          <w:pPr>
            <w:pStyle w:val="26"/>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_Toc18875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11．电子招标投标</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_Toc18875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27</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09C9FC29">
          <w:pPr>
            <w:pStyle w:val="23"/>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_Toc15313 </w:instrText>
          </w:r>
          <w:r>
            <w:rPr>
              <w:rFonts w:hint="eastAsia" w:ascii="宋体" w:hAnsi="宋体" w:eastAsia="宋体" w:cs="宋体"/>
              <w:sz w:val="28"/>
              <w:szCs w:val="28"/>
              <w:highlight w:val="none"/>
            </w:rPr>
            <w:fldChar w:fldCharType="separate"/>
          </w:r>
          <w:r>
            <w:rPr>
              <w:rFonts w:hint="eastAsia" w:ascii="宋体" w:hAnsi="宋体" w:eastAsia="宋体" w:cs="宋体"/>
              <w:bCs w:val="0"/>
              <w:sz w:val="28"/>
              <w:szCs w:val="28"/>
              <w:highlight w:val="none"/>
            </w:rPr>
            <w:t>第三章 评标办法</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_Toc15313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28</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1887E540">
          <w:pPr>
            <w:pStyle w:val="26"/>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_Toc29020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评标办法前附表</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_Toc29020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28</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7094C950">
          <w:pPr>
            <w:pStyle w:val="26"/>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_Toc5190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 评标方法</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_Toc5190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34</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16C74D7E">
          <w:pPr>
            <w:pStyle w:val="26"/>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_Toc27676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 评审标准</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_Toc27676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34</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2391BCF0">
          <w:pPr>
            <w:pStyle w:val="26"/>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_Toc16714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3. 评标程序</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_Toc16714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34</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58A7F88B">
          <w:pPr>
            <w:pStyle w:val="26"/>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_Toc4190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附件</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_Toc4190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36</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69AD08C0">
          <w:pPr>
            <w:pStyle w:val="23"/>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_Toc18750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第四章 合同条款及格式</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_Toc18750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40</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1C906AD6">
          <w:pPr>
            <w:pStyle w:val="26"/>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_Toc13944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开封</w:t>
          </w:r>
          <w:r>
            <w:rPr>
              <w:rFonts w:hint="eastAsia" w:ascii="宋体" w:hAnsi="宋体" w:eastAsia="宋体" w:cs="宋体"/>
              <w:sz w:val="28"/>
              <w:szCs w:val="28"/>
              <w:highlight w:val="none"/>
              <w:lang w:val="en-US" w:eastAsia="zh-CN"/>
            </w:rPr>
            <w:t>市</w:t>
          </w:r>
          <w:r>
            <w:rPr>
              <w:rFonts w:hint="eastAsia" w:ascii="宋体" w:hAnsi="宋体" w:eastAsia="宋体" w:cs="宋体"/>
              <w:sz w:val="28"/>
              <w:szCs w:val="28"/>
              <w:highlight w:val="none"/>
            </w:rPr>
            <w:t>政府采购合同融资政策告知函</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_Toc13944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45</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43A3018E">
          <w:pPr>
            <w:pStyle w:val="26"/>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_Toc18603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开封</w:t>
          </w:r>
          <w:r>
            <w:rPr>
              <w:rFonts w:hint="eastAsia" w:ascii="宋体" w:hAnsi="宋体" w:eastAsia="宋体" w:cs="宋体"/>
              <w:sz w:val="28"/>
              <w:szCs w:val="28"/>
              <w:highlight w:val="none"/>
              <w:lang w:val="en-US" w:eastAsia="zh-CN"/>
            </w:rPr>
            <w:t>市</w:t>
          </w:r>
          <w:r>
            <w:rPr>
              <w:rFonts w:hint="eastAsia" w:ascii="宋体" w:hAnsi="宋体" w:eastAsia="宋体" w:cs="宋体"/>
              <w:sz w:val="28"/>
              <w:szCs w:val="28"/>
              <w:highlight w:val="none"/>
            </w:rPr>
            <w:t>政府采购合同履约保函政策告知函</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_Toc18603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46</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0719CBC9">
          <w:pPr>
            <w:pStyle w:val="23"/>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_Toc24602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第五章  招标内容及商务技术要求</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_Toc24602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47</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51601C03">
          <w:pPr>
            <w:pStyle w:val="23"/>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_Toc23721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第六章  投标文件格式</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_Toc23721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63</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307B4E84">
          <w:pPr>
            <w:rPr>
              <w:highlight w:val="none"/>
            </w:rPr>
          </w:pPr>
          <w:r>
            <w:rPr>
              <w:rFonts w:hint="eastAsia" w:ascii="宋体" w:hAnsi="宋体" w:eastAsia="宋体" w:cs="宋体"/>
              <w:sz w:val="28"/>
              <w:szCs w:val="28"/>
              <w:highlight w:val="none"/>
            </w:rPr>
            <w:fldChar w:fldCharType="end"/>
          </w:r>
          <w:bookmarkStart w:id="3" w:name="_Toc17934"/>
        </w:p>
        <w:p w14:paraId="1BCA5A76">
          <w:pPr>
            <w:rPr>
              <w:rFonts w:ascii="Times New Roman" w:hAnsi="Times New Roman" w:eastAsia="宋体" w:cs="Times New Roman"/>
              <w:kern w:val="2"/>
              <w:sz w:val="21"/>
              <w:szCs w:val="24"/>
              <w:highlight w:val="none"/>
              <w:lang w:val="en-US" w:eastAsia="zh-CN" w:bidi="ar-SA"/>
            </w:rPr>
            <w:sectPr>
              <w:headerReference r:id="rId6" w:type="first"/>
              <w:footerReference r:id="rId8" w:type="first"/>
              <w:footerReference r:id="rId7" w:type="default"/>
              <w:pgSz w:w="11906" w:h="16838"/>
              <w:pgMar w:top="1440" w:right="1800" w:bottom="1440" w:left="1800" w:header="851" w:footer="992" w:gutter="0"/>
              <w:pgNumType w:start="1"/>
              <w:cols w:space="720" w:num="1"/>
              <w:titlePg/>
              <w:docGrid w:type="lines" w:linePitch="312" w:charSpace="0"/>
            </w:sectPr>
          </w:pPr>
        </w:p>
        <w:p w14:paraId="63AFB29E">
          <w:pPr>
            <w:rPr>
              <w:highlight w:val="none"/>
            </w:rPr>
          </w:pPr>
        </w:p>
      </w:sdtContent>
    </w:sdt>
    <w:p w14:paraId="65991252">
      <w:pPr>
        <w:pStyle w:val="2"/>
        <w:numPr>
          <w:ilvl w:val="0"/>
          <w:numId w:val="2"/>
        </w:numPr>
        <w:jc w:val="center"/>
        <w:rPr>
          <w:rFonts w:ascii="宋体" w:hAnsi="宋体"/>
          <w:highlight w:val="none"/>
        </w:rPr>
      </w:pPr>
      <w:r>
        <w:rPr>
          <w:rFonts w:hint="eastAsia" w:ascii="宋体" w:hAnsi="宋体"/>
          <w:highlight w:val="none"/>
        </w:rPr>
        <w:t xml:space="preserve"> </w:t>
      </w:r>
      <w:bookmarkStart w:id="4" w:name="_Toc26571"/>
      <w:bookmarkStart w:id="5" w:name="_Toc2387"/>
      <w:bookmarkStart w:id="6" w:name="_Toc11499"/>
      <w:bookmarkStart w:id="7" w:name="_Toc11693"/>
      <w:r>
        <w:rPr>
          <w:rFonts w:hint="eastAsia" w:ascii="宋体" w:hAnsi="宋体"/>
          <w:highlight w:val="none"/>
        </w:rPr>
        <w:t>招标公告</w:t>
      </w:r>
      <w:bookmarkEnd w:id="3"/>
      <w:bookmarkEnd w:id="4"/>
      <w:bookmarkEnd w:id="5"/>
      <w:r>
        <w:rPr>
          <w:rFonts w:hint="eastAsia" w:ascii="宋体" w:hAnsi="宋体"/>
          <w:highlight w:val="none"/>
          <w:lang w:eastAsia="zh-CN"/>
        </w:rPr>
        <w:t>（</w:t>
      </w:r>
      <w:r>
        <w:rPr>
          <w:rFonts w:hint="eastAsia" w:ascii="宋体" w:hAnsi="宋体"/>
          <w:highlight w:val="none"/>
          <w:lang w:val="en-US" w:eastAsia="zh-CN"/>
        </w:rPr>
        <w:t>投标邀请函</w:t>
      </w:r>
      <w:r>
        <w:rPr>
          <w:rFonts w:hint="eastAsia" w:ascii="宋体" w:hAnsi="宋体"/>
          <w:highlight w:val="none"/>
          <w:lang w:eastAsia="zh-CN"/>
        </w:rPr>
        <w:t>）</w:t>
      </w:r>
      <w:bookmarkEnd w:id="6"/>
      <w:bookmarkEnd w:id="7"/>
    </w:p>
    <w:p w14:paraId="5B5416BF">
      <w:pPr>
        <w:jc w:val="center"/>
        <w:outlineLvl w:val="9"/>
        <w:rPr>
          <w:rFonts w:hint="eastAsia" w:ascii="宋体" w:hAnsi="宋体" w:eastAsia="宋体" w:cs="宋体"/>
          <w:bCs/>
          <w:spacing w:val="-10"/>
          <w:kern w:val="0"/>
          <w:sz w:val="32"/>
          <w:szCs w:val="32"/>
          <w:highlight w:val="none"/>
          <w:lang w:eastAsia="zh-CN"/>
        </w:rPr>
      </w:pPr>
      <w:r>
        <w:rPr>
          <w:rFonts w:hint="eastAsia" w:ascii="宋体" w:hAnsi="宋体" w:cs="宋体"/>
          <w:bCs/>
          <w:spacing w:val="-10"/>
          <w:kern w:val="0"/>
          <w:sz w:val="32"/>
          <w:szCs w:val="32"/>
          <w:highlight w:val="none"/>
          <w:lang w:eastAsia="zh-CN"/>
        </w:rPr>
        <w:t>开封市行政审批和政务信息管理局郑开同城政务服务项目</w:t>
      </w:r>
    </w:p>
    <w:p w14:paraId="1C9853C8">
      <w:pPr>
        <w:jc w:val="center"/>
        <w:outlineLvl w:val="9"/>
        <w:rPr>
          <w:rFonts w:ascii="宋体" w:hAnsi="宋体" w:cs="宋体"/>
          <w:bCs/>
          <w:kern w:val="0"/>
          <w:sz w:val="32"/>
          <w:szCs w:val="32"/>
          <w:highlight w:val="none"/>
        </w:rPr>
      </w:pPr>
      <w:r>
        <w:rPr>
          <w:rFonts w:hint="eastAsia" w:ascii="宋体" w:hAnsi="宋体" w:cs="宋体"/>
          <w:bCs/>
          <w:spacing w:val="-10"/>
          <w:kern w:val="0"/>
          <w:sz w:val="32"/>
          <w:szCs w:val="32"/>
          <w:highlight w:val="none"/>
        </w:rPr>
        <w:t>公开招标</w:t>
      </w:r>
      <w:r>
        <w:rPr>
          <w:rFonts w:hint="eastAsia" w:ascii="宋体" w:hAnsi="宋体" w:cs="宋体"/>
          <w:bCs/>
          <w:kern w:val="0"/>
          <w:sz w:val="32"/>
          <w:szCs w:val="32"/>
          <w:highlight w:val="none"/>
        </w:rPr>
        <w:t>公告</w:t>
      </w:r>
    </w:p>
    <w:p w14:paraId="74739293">
      <w:pPr>
        <w:jc w:val="center"/>
        <w:rPr>
          <w:rFonts w:ascii="宋体" w:hAnsi="宋体" w:cs="宋体"/>
          <w:bCs/>
          <w:kern w:val="0"/>
          <w:sz w:val="32"/>
          <w:szCs w:val="32"/>
          <w:highlight w:val="none"/>
        </w:rPr>
      </w:pPr>
    </w:p>
    <w:p w14:paraId="2DBE2EB1">
      <w:pPr>
        <w:widowControl/>
        <w:adjustRightInd w:val="0"/>
        <w:snapToGrid w:val="0"/>
        <w:spacing w:line="360" w:lineRule="auto"/>
        <w:jc w:val="left"/>
        <w:outlineLvl w:val="1"/>
        <w:rPr>
          <w:rFonts w:ascii="宋体" w:hAnsi="宋体" w:cs="宋体"/>
          <w:kern w:val="0"/>
          <w:sz w:val="24"/>
          <w:highlight w:val="none"/>
        </w:rPr>
      </w:pPr>
      <w:bookmarkStart w:id="8" w:name="_Toc26894"/>
      <w:r>
        <w:rPr>
          <w:rFonts w:hint="eastAsia" w:ascii="宋体" w:hAnsi="宋体" w:cs="宋体"/>
          <w:kern w:val="0"/>
          <w:sz w:val="24"/>
          <w:highlight w:val="none"/>
        </w:rPr>
        <w:t>一、项目基本情况</w:t>
      </w:r>
      <w:bookmarkEnd w:id="8"/>
      <w:r>
        <w:rPr>
          <w:rFonts w:hint="eastAsia" w:ascii="宋体" w:hAnsi="宋体" w:cs="宋体"/>
          <w:kern w:val="0"/>
          <w:sz w:val="24"/>
          <w:highlight w:val="none"/>
        </w:rPr>
        <w:t xml:space="preserve"> </w:t>
      </w:r>
    </w:p>
    <w:p w14:paraId="35F82078">
      <w:pPr>
        <w:widowControl/>
        <w:adjustRightInd w:val="0"/>
        <w:snapToGrid w:val="0"/>
        <w:spacing w:line="360" w:lineRule="auto"/>
        <w:ind w:firstLine="420"/>
        <w:jc w:val="left"/>
        <w:rPr>
          <w:rFonts w:ascii="宋体" w:hAnsi="宋体" w:cs="宋体"/>
          <w:kern w:val="0"/>
          <w:sz w:val="24"/>
          <w:highlight w:val="none"/>
        </w:rPr>
      </w:pPr>
      <w:r>
        <w:rPr>
          <w:rFonts w:hint="eastAsia" w:ascii="宋体" w:hAnsi="宋体" w:cs="宋体"/>
          <w:kern w:val="0"/>
          <w:sz w:val="24"/>
          <w:highlight w:val="none"/>
        </w:rPr>
        <w:t>1、项目编号：</w:t>
      </w:r>
      <w:r>
        <w:rPr>
          <w:rFonts w:hint="eastAsia" w:ascii="宋体" w:hAnsi="宋体" w:cs="宋体"/>
          <w:kern w:val="0"/>
          <w:sz w:val="24"/>
          <w:highlight w:val="none"/>
          <w:lang w:eastAsia="zh-CN"/>
        </w:rPr>
        <w:t>汴财招标采购-2026-44</w:t>
      </w:r>
      <w:r>
        <w:rPr>
          <w:rFonts w:hint="eastAsia" w:ascii="宋体" w:hAnsi="宋体" w:cs="宋体"/>
          <w:sz w:val="24"/>
          <w:highlight w:val="none"/>
        </w:rPr>
        <w:t xml:space="preserve"> </w:t>
      </w:r>
      <w:r>
        <w:rPr>
          <w:rFonts w:hint="eastAsia" w:ascii="宋体" w:hAnsi="宋体" w:cs="宋体"/>
          <w:kern w:val="0"/>
          <w:sz w:val="24"/>
          <w:highlight w:val="none"/>
        </w:rPr>
        <w:t xml:space="preserve">  </w:t>
      </w:r>
    </w:p>
    <w:p w14:paraId="5B5F6F54">
      <w:pPr>
        <w:widowControl/>
        <w:adjustRightInd w:val="0"/>
        <w:snapToGrid w:val="0"/>
        <w:spacing w:line="360" w:lineRule="auto"/>
        <w:ind w:firstLine="420"/>
        <w:jc w:val="left"/>
        <w:rPr>
          <w:rFonts w:ascii="宋体" w:hAnsi="宋体" w:cs="宋体"/>
          <w:kern w:val="0"/>
          <w:sz w:val="24"/>
          <w:highlight w:val="none"/>
        </w:rPr>
      </w:pPr>
      <w:r>
        <w:rPr>
          <w:rFonts w:hint="eastAsia" w:ascii="宋体" w:hAnsi="宋体" w:cs="宋体"/>
          <w:kern w:val="0"/>
          <w:sz w:val="24"/>
          <w:highlight w:val="none"/>
        </w:rPr>
        <w:t>2、项目名称：</w:t>
      </w:r>
      <w:r>
        <w:rPr>
          <w:rFonts w:hint="eastAsia" w:ascii="宋体" w:hAnsi="宋体" w:cs="宋体"/>
          <w:kern w:val="0"/>
          <w:sz w:val="24"/>
          <w:highlight w:val="none"/>
          <w:lang w:eastAsia="zh-CN"/>
        </w:rPr>
        <w:t>开封市行政审批和政务信息管理局郑开同城政务服务项目</w:t>
      </w:r>
      <w:r>
        <w:rPr>
          <w:rFonts w:hint="eastAsia"/>
          <w:sz w:val="24"/>
          <w:highlight w:val="none"/>
        </w:rPr>
        <w:t xml:space="preserve"> </w:t>
      </w:r>
      <w:r>
        <w:rPr>
          <w:rFonts w:hint="eastAsia" w:ascii="宋体" w:hAnsi="宋体" w:cs="宋体"/>
          <w:kern w:val="0"/>
          <w:sz w:val="24"/>
          <w:highlight w:val="none"/>
        </w:rPr>
        <w:t xml:space="preserve">  </w:t>
      </w:r>
    </w:p>
    <w:p w14:paraId="4A93886D">
      <w:pPr>
        <w:widowControl/>
        <w:adjustRightInd w:val="0"/>
        <w:snapToGrid w:val="0"/>
        <w:spacing w:line="360" w:lineRule="auto"/>
        <w:ind w:firstLine="420"/>
        <w:jc w:val="left"/>
        <w:rPr>
          <w:rFonts w:ascii="宋体" w:hAnsi="宋体" w:cs="宋体"/>
          <w:kern w:val="0"/>
          <w:sz w:val="24"/>
          <w:highlight w:val="none"/>
        </w:rPr>
      </w:pPr>
      <w:r>
        <w:rPr>
          <w:rFonts w:hint="eastAsia" w:ascii="宋体" w:hAnsi="宋体" w:cs="宋体"/>
          <w:kern w:val="0"/>
          <w:sz w:val="24"/>
          <w:highlight w:val="none"/>
        </w:rPr>
        <w:t xml:space="preserve">3、采购方式：公开招标 </w:t>
      </w:r>
    </w:p>
    <w:p w14:paraId="7AD9E5B0">
      <w:pPr>
        <w:widowControl/>
        <w:adjustRightInd w:val="0"/>
        <w:snapToGrid w:val="0"/>
        <w:spacing w:line="360" w:lineRule="auto"/>
        <w:ind w:firstLine="420"/>
        <w:jc w:val="left"/>
        <w:rPr>
          <w:rFonts w:ascii="宋体" w:hAnsi="宋体" w:cs="宋体"/>
          <w:kern w:val="0"/>
          <w:sz w:val="24"/>
          <w:highlight w:val="none"/>
        </w:rPr>
      </w:pPr>
      <w:r>
        <w:rPr>
          <w:rFonts w:hint="eastAsia" w:ascii="宋体" w:hAnsi="宋体" w:cs="宋体"/>
          <w:kern w:val="0"/>
          <w:sz w:val="24"/>
          <w:highlight w:val="none"/>
        </w:rPr>
        <w:t>4、预算金额：</w:t>
      </w:r>
      <w:r>
        <w:rPr>
          <w:rFonts w:hint="eastAsia" w:ascii="宋体" w:hAnsi="宋体" w:cs="宋体"/>
          <w:kern w:val="0"/>
          <w:sz w:val="24"/>
          <w:highlight w:val="none"/>
          <w:lang w:val="en-US" w:eastAsia="zh-CN"/>
        </w:rPr>
        <w:t>1148188.07元</w:t>
      </w:r>
      <w:r>
        <w:rPr>
          <w:rFonts w:hint="eastAsia" w:ascii="宋体" w:hAnsi="宋体" w:cs="宋体"/>
          <w:kern w:val="0"/>
          <w:sz w:val="24"/>
          <w:highlight w:val="none"/>
        </w:rPr>
        <w:t xml:space="preserve">   </w:t>
      </w:r>
    </w:p>
    <w:p w14:paraId="31021F56">
      <w:pPr>
        <w:widowControl/>
        <w:adjustRightInd w:val="0"/>
        <w:snapToGrid w:val="0"/>
        <w:spacing w:line="360" w:lineRule="auto"/>
        <w:ind w:firstLine="840"/>
        <w:jc w:val="left"/>
        <w:rPr>
          <w:rFonts w:ascii="宋体" w:hAnsi="宋体" w:cs="宋体"/>
          <w:kern w:val="0"/>
          <w:sz w:val="24"/>
          <w:highlight w:val="none"/>
        </w:rPr>
      </w:pPr>
      <w:r>
        <w:rPr>
          <w:rFonts w:hint="eastAsia" w:ascii="宋体" w:hAnsi="宋体" w:cs="宋体"/>
          <w:kern w:val="0"/>
          <w:sz w:val="24"/>
          <w:highlight w:val="none"/>
        </w:rPr>
        <w:t>最高限价：</w:t>
      </w:r>
      <w:r>
        <w:rPr>
          <w:rFonts w:hint="eastAsia" w:ascii="宋体" w:hAnsi="宋体" w:cs="宋体"/>
          <w:kern w:val="0"/>
          <w:sz w:val="24"/>
          <w:highlight w:val="none"/>
          <w:lang w:val="en-US" w:eastAsia="zh-CN"/>
        </w:rPr>
        <w:t>1148188.07元</w:t>
      </w:r>
      <w:r>
        <w:rPr>
          <w:rFonts w:hint="eastAsia" w:ascii="宋体" w:hAnsi="宋体" w:cs="宋体"/>
          <w:kern w:val="0"/>
          <w:sz w:val="24"/>
          <w:highlight w:val="none"/>
        </w:rPr>
        <w:t xml:space="preserve">    </w:t>
      </w:r>
    </w:p>
    <w:tbl>
      <w:tblPr>
        <w:tblStyle w:val="34"/>
        <w:tblW w:w="9438" w:type="dxa"/>
        <w:jc w:val="center"/>
        <w:tblCellSpacing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627"/>
        <w:gridCol w:w="1688"/>
        <w:gridCol w:w="3397"/>
        <w:gridCol w:w="1748"/>
        <w:gridCol w:w="1978"/>
      </w:tblGrid>
      <w:tr w14:paraId="4E69A80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1" w:hRule="atLeast"/>
          <w:tblCellSpacing w:w="0" w:type="dxa"/>
          <w:jc w:val="center"/>
        </w:trPr>
        <w:tc>
          <w:tcPr>
            <w:tcW w:w="627" w:type="dxa"/>
            <w:vAlign w:val="center"/>
          </w:tcPr>
          <w:p w14:paraId="140359B3">
            <w:pPr>
              <w:widowControl/>
              <w:adjustRightInd w:val="0"/>
              <w:snapToGrid w:val="0"/>
              <w:jc w:val="center"/>
              <w:rPr>
                <w:rFonts w:ascii="宋体" w:hAnsi="宋体" w:cs="宋体"/>
                <w:kern w:val="0"/>
                <w:sz w:val="24"/>
                <w:highlight w:val="none"/>
              </w:rPr>
            </w:pPr>
            <w:r>
              <w:rPr>
                <w:rFonts w:hint="eastAsia" w:ascii="宋体" w:hAnsi="宋体" w:cs="宋体"/>
                <w:kern w:val="0"/>
                <w:sz w:val="24"/>
                <w:highlight w:val="none"/>
              </w:rPr>
              <w:t>序号</w:t>
            </w:r>
          </w:p>
        </w:tc>
        <w:tc>
          <w:tcPr>
            <w:tcW w:w="1688" w:type="dxa"/>
            <w:vAlign w:val="center"/>
          </w:tcPr>
          <w:p w14:paraId="1FBA3D1C">
            <w:pPr>
              <w:widowControl/>
              <w:adjustRightInd w:val="0"/>
              <w:snapToGrid w:val="0"/>
              <w:jc w:val="center"/>
              <w:rPr>
                <w:rFonts w:ascii="宋体" w:hAnsi="宋体" w:cs="宋体"/>
                <w:kern w:val="0"/>
                <w:sz w:val="24"/>
                <w:highlight w:val="none"/>
              </w:rPr>
            </w:pPr>
            <w:r>
              <w:rPr>
                <w:rFonts w:hint="eastAsia" w:ascii="宋体" w:hAnsi="宋体" w:cs="宋体"/>
                <w:kern w:val="0"/>
                <w:sz w:val="24"/>
                <w:highlight w:val="none"/>
              </w:rPr>
              <w:t>包号</w:t>
            </w:r>
          </w:p>
        </w:tc>
        <w:tc>
          <w:tcPr>
            <w:tcW w:w="3397" w:type="dxa"/>
            <w:vAlign w:val="center"/>
          </w:tcPr>
          <w:p w14:paraId="2D0636D6">
            <w:pPr>
              <w:widowControl/>
              <w:adjustRightInd w:val="0"/>
              <w:snapToGrid w:val="0"/>
              <w:jc w:val="center"/>
              <w:rPr>
                <w:rFonts w:ascii="宋体" w:hAnsi="宋体" w:cs="宋体"/>
                <w:kern w:val="0"/>
                <w:sz w:val="24"/>
                <w:highlight w:val="none"/>
              </w:rPr>
            </w:pPr>
            <w:r>
              <w:rPr>
                <w:rFonts w:hint="eastAsia" w:ascii="宋体" w:hAnsi="宋体" w:cs="宋体"/>
                <w:kern w:val="0"/>
                <w:sz w:val="24"/>
                <w:highlight w:val="none"/>
              </w:rPr>
              <w:t>包名称</w:t>
            </w:r>
          </w:p>
        </w:tc>
        <w:tc>
          <w:tcPr>
            <w:tcW w:w="1748" w:type="dxa"/>
            <w:vAlign w:val="center"/>
          </w:tcPr>
          <w:p w14:paraId="0CCD7BCA">
            <w:pPr>
              <w:widowControl/>
              <w:adjustRightInd w:val="0"/>
              <w:snapToGrid w:val="0"/>
              <w:jc w:val="center"/>
              <w:rPr>
                <w:rFonts w:ascii="宋体" w:hAnsi="宋体" w:cs="宋体"/>
                <w:kern w:val="0"/>
                <w:sz w:val="24"/>
                <w:highlight w:val="none"/>
              </w:rPr>
            </w:pPr>
            <w:r>
              <w:rPr>
                <w:rFonts w:hint="eastAsia" w:ascii="宋体" w:hAnsi="宋体" w:cs="宋体"/>
                <w:kern w:val="0"/>
                <w:sz w:val="24"/>
                <w:highlight w:val="none"/>
              </w:rPr>
              <w:t>包预算（元）</w:t>
            </w:r>
          </w:p>
        </w:tc>
        <w:tc>
          <w:tcPr>
            <w:tcW w:w="1978" w:type="dxa"/>
            <w:vAlign w:val="center"/>
          </w:tcPr>
          <w:p w14:paraId="0C344A5B">
            <w:pPr>
              <w:widowControl/>
              <w:adjustRightInd w:val="0"/>
              <w:snapToGrid w:val="0"/>
              <w:jc w:val="center"/>
              <w:rPr>
                <w:rFonts w:ascii="宋体" w:hAnsi="宋体" w:cs="宋体"/>
                <w:kern w:val="0"/>
                <w:sz w:val="24"/>
                <w:highlight w:val="none"/>
              </w:rPr>
            </w:pPr>
            <w:r>
              <w:rPr>
                <w:rFonts w:hint="eastAsia" w:ascii="宋体" w:hAnsi="宋体" w:cs="宋体"/>
                <w:kern w:val="0"/>
                <w:sz w:val="24"/>
                <w:highlight w:val="none"/>
              </w:rPr>
              <w:t>包最高限价（元）</w:t>
            </w:r>
          </w:p>
        </w:tc>
      </w:tr>
      <w:tr w14:paraId="38A533A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870" w:hRule="atLeast"/>
          <w:tblCellSpacing w:w="0" w:type="dxa"/>
          <w:jc w:val="center"/>
        </w:trPr>
        <w:tc>
          <w:tcPr>
            <w:tcW w:w="627" w:type="dxa"/>
            <w:vAlign w:val="center"/>
          </w:tcPr>
          <w:p w14:paraId="4CD838C9">
            <w:pPr>
              <w:widowControl/>
              <w:adjustRightInd w:val="0"/>
              <w:snapToGrid w:val="0"/>
              <w:jc w:val="center"/>
              <w:rPr>
                <w:rFonts w:ascii="宋体" w:hAnsi="宋体" w:cs="宋体"/>
                <w:kern w:val="0"/>
                <w:sz w:val="24"/>
                <w:highlight w:val="none"/>
              </w:rPr>
            </w:pPr>
            <w:r>
              <w:rPr>
                <w:rFonts w:hint="eastAsia" w:ascii="宋体" w:hAnsi="宋体" w:cs="宋体"/>
                <w:kern w:val="0"/>
                <w:sz w:val="24"/>
                <w:highlight w:val="none"/>
              </w:rPr>
              <w:t>1</w:t>
            </w:r>
          </w:p>
        </w:tc>
        <w:tc>
          <w:tcPr>
            <w:tcW w:w="1688" w:type="dxa"/>
            <w:vAlign w:val="center"/>
          </w:tcPr>
          <w:p w14:paraId="2D8EE50C">
            <w:pPr>
              <w:widowControl/>
              <w:adjustRightInd w:val="0"/>
              <w:snapToGrid w:val="0"/>
              <w:jc w:val="center"/>
              <w:rPr>
                <w:rFonts w:hint="eastAsia" w:ascii="宋体" w:hAnsi="宋体" w:eastAsia="宋体" w:cs="宋体"/>
                <w:kern w:val="0"/>
                <w:sz w:val="24"/>
                <w:highlight w:val="none"/>
                <w:lang w:val="en-US" w:eastAsia="zh-CN"/>
              </w:rPr>
            </w:pPr>
            <w:r>
              <w:rPr>
                <w:rFonts w:hint="eastAsia" w:ascii="宋体" w:hAnsi="宋体" w:cs="宋体"/>
                <w:kern w:val="0"/>
                <w:sz w:val="24"/>
                <w:highlight w:val="none"/>
                <w:lang w:eastAsia="zh-CN"/>
              </w:rPr>
              <w:t>汴财招标采购-2026-44</w:t>
            </w:r>
          </w:p>
        </w:tc>
        <w:tc>
          <w:tcPr>
            <w:tcW w:w="3397" w:type="dxa"/>
            <w:vAlign w:val="center"/>
          </w:tcPr>
          <w:p w14:paraId="64E4DEE3">
            <w:pPr>
              <w:widowControl/>
              <w:adjustRightInd w:val="0"/>
              <w:snapToGrid w:val="0"/>
              <w:jc w:val="center"/>
              <w:rPr>
                <w:rFonts w:hint="eastAsia" w:ascii="宋体" w:hAnsi="宋体" w:eastAsia="宋体" w:cs="宋体"/>
                <w:kern w:val="0"/>
                <w:sz w:val="24"/>
                <w:highlight w:val="none"/>
                <w:lang w:eastAsia="zh-CN"/>
              </w:rPr>
            </w:pPr>
            <w:r>
              <w:rPr>
                <w:rFonts w:hint="eastAsia" w:ascii="宋体" w:hAnsi="宋体" w:cs="宋体"/>
                <w:kern w:val="0"/>
                <w:sz w:val="24"/>
                <w:highlight w:val="none"/>
                <w:lang w:eastAsia="zh-CN"/>
              </w:rPr>
              <w:t>开封市行政审批和政务信息管理局郑开同城政务服务项目</w:t>
            </w:r>
          </w:p>
        </w:tc>
        <w:tc>
          <w:tcPr>
            <w:tcW w:w="1748" w:type="dxa"/>
            <w:vAlign w:val="center"/>
          </w:tcPr>
          <w:p w14:paraId="1F007350">
            <w:pPr>
              <w:widowControl/>
              <w:adjustRightInd w:val="0"/>
              <w:snapToGrid w:val="0"/>
              <w:jc w:val="center"/>
              <w:rPr>
                <w:rFonts w:hint="eastAsia" w:ascii="宋体" w:hAnsi="宋体" w:eastAsia="宋体" w:cs="宋体"/>
                <w:kern w:val="0"/>
                <w:sz w:val="24"/>
                <w:szCs w:val="24"/>
                <w:highlight w:val="none"/>
                <w:lang w:val="en-US" w:eastAsia="zh-CN" w:bidi="ar-SA"/>
              </w:rPr>
            </w:pPr>
            <w:r>
              <w:rPr>
                <w:rFonts w:hint="eastAsia" w:ascii="宋体" w:hAnsi="宋体" w:cs="宋体"/>
                <w:kern w:val="0"/>
                <w:sz w:val="24"/>
                <w:szCs w:val="24"/>
                <w:highlight w:val="none"/>
                <w:lang w:val="en-US" w:eastAsia="zh-CN" w:bidi="ar-SA"/>
              </w:rPr>
              <w:t>1148188.07</w:t>
            </w:r>
          </w:p>
        </w:tc>
        <w:tc>
          <w:tcPr>
            <w:tcW w:w="1978" w:type="dxa"/>
            <w:vAlign w:val="center"/>
          </w:tcPr>
          <w:p w14:paraId="7AF7EC92">
            <w:pPr>
              <w:widowControl/>
              <w:adjustRightInd w:val="0"/>
              <w:snapToGrid w:val="0"/>
              <w:jc w:val="center"/>
              <w:rPr>
                <w:rFonts w:ascii="宋体" w:hAnsi="宋体" w:cs="宋体"/>
                <w:kern w:val="0"/>
                <w:sz w:val="24"/>
                <w:highlight w:val="none"/>
              </w:rPr>
            </w:pPr>
            <w:r>
              <w:rPr>
                <w:rFonts w:hint="eastAsia" w:ascii="宋体" w:hAnsi="宋体" w:cs="宋体"/>
                <w:kern w:val="0"/>
                <w:sz w:val="24"/>
                <w:highlight w:val="none"/>
                <w:lang w:val="en-US" w:eastAsia="zh-CN"/>
              </w:rPr>
              <w:t>1148188.07</w:t>
            </w:r>
          </w:p>
        </w:tc>
      </w:tr>
    </w:tbl>
    <w:p w14:paraId="7A1ED072">
      <w:pPr>
        <w:widowControl/>
        <w:adjustRightInd w:val="0"/>
        <w:snapToGrid w:val="0"/>
        <w:spacing w:line="360" w:lineRule="auto"/>
        <w:ind w:firstLine="840"/>
        <w:jc w:val="left"/>
        <w:rPr>
          <w:rFonts w:ascii="宋体" w:hAnsi="宋体" w:cs="宋体"/>
          <w:kern w:val="0"/>
          <w:sz w:val="24"/>
          <w:highlight w:val="none"/>
        </w:rPr>
      </w:pPr>
    </w:p>
    <w:p w14:paraId="7014CDD7">
      <w:pPr>
        <w:widowControl/>
        <w:adjustRightInd w:val="0"/>
        <w:snapToGrid w:val="0"/>
        <w:spacing w:line="360" w:lineRule="auto"/>
        <w:ind w:firstLine="420"/>
        <w:jc w:val="left"/>
        <w:rPr>
          <w:rFonts w:hint="eastAsia" w:ascii="宋体" w:hAnsi="宋体" w:cs="宋体"/>
          <w:kern w:val="0"/>
          <w:sz w:val="24"/>
          <w:highlight w:val="none"/>
        </w:rPr>
      </w:pPr>
      <w:r>
        <w:rPr>
          <w:rFonts w:hint="eastAsia" w:ascii="宋体" w:hAnsi="宋体" w:cs="宋体"/>
          <w:kern w:val="0"/>
          <w:sz w:val="24"/>
          <w:highlight w:val="none"/>
        </w:rPr>
        <w:t xml:space="preserve">5、采购需求（包括但不限于标的的名称、数量、简要技术需求或服务要求等） </w:t>
      </w:r>
    </w:p>
    <w:p w14:paraId="2B2BDDC7">
      <w:pPr>
        <w:widowControl/>
        <w:adjustRightInd w:val="0"/>
        <w:snapToGrid w:val="0"/>
        <w:spacing w:line="360" w:lineRule="auto"/>
        <w:ind w:firstLine="420" w:firstLineChars="0"/>
        <w:jc w:val="left"/>
        <w:rPr>
          <w:rFonts w:hint="eastAsia" w:ascii="宋体" w:hAnsi="宋体" w:eastAsia="宋体" w:cs="宋体"/>
          <w:color w:val="auto"/>
          <w:kern w:val="0"/>
          <w:sz w:val="24"/>
          <w:highlight w:val="yellow"/>
          <w:lang w:val="en-US" w:eastAsia="zh-CN"/>
        </w:rPr>
      </w:pPr>
      <w:r>
        <w:rPr>
          <w:rFonts w:ascii="Segoe UI" w:hAnsi="Segoe UI" w:eastAsia="Segoe UI" w:cs="Segoe UI"/>
          <w:i w:val="0"/>
          <w:iCs w:val="0"/>
          <w:caps w:val="0"/>
          <w:color w:val="0F1115"/>
          <w:spacing w:val="0"/>
          <w:sz w:val="24"/>
          <w:szCs w:val="24"/>
          <w:shd w:val="clear" w:fill="FFFFFF"/>
        </w:rPr>
        <w:t>郑开同城政务服务项目，含政务服务专区、便民服务模块、基础支撑能力、统一预约平台各1套，并提供2年运维</w:t>
      </w:r>
      <w:r>
        <w:rPr>
          <w:rFonts w:hint="eastAsia" w:ascii="Segoe UI" w:hAnsi="Segoe UI" w:eastAsia="宋体" w:cs="Segoe UI"/>
          <w:i w:val="0"/>
          <w:iCs w:val="0"/>
          <w:caps w:val="0"/>
          <w:color w:val="0F1115"/>
          <w:spacing w:val="0"/>
          <w:sz w:val="24"/>
          <w:szCs w:val="24"/>
          <w:shd w:val="clear" w:fill="FFFFFF"/>
          <w:lang w:val="en-US" w:eastAsia="zh-CN"/>
        </w:rPr>
        <w:t>服务</w:t>
      </w:r>
      <w:r>
        <w:rPr>
          <w:rFonts w:hint="eastAsia" w:ascii="Segoe UI" w:hAnsi="Segoe UI" w:eastAsia="宋体" w:cs="Segoe UI"/>
          <w:i w:val="0"/>
          <w:iCs w:val="0"/>
          <w:caps w:val="0"/>
          <w:color w:val="0F1115"/>
          <w:spacing w:val="0"/>
          <w:sz w:val="24"/>
          <w:szCs w:val="24"/>
          <w:shd w:val="clear" w:fill="FFFFFF"/>
          <w:lang w:eastAsia="zh-CN"/>
        </w:rPr>
        <w:t>。</w:t>
      </w:r>
    </w:p>
    <w:p w14:paraId="34C9C778">
      <w:pPr>
        <w:widowControl/>
        <w:adjustRightInd w:val="0"/>
        <w:snapToGrid w:val="0"/>
        <w:spacing w:line="360" w:lineRule="auto"/>
        <w:ind w:firstLine="420"/>
        <w:jc w:val="left"/>
        <w:rPr>
          <w:rFonts w:ascii="宋体" w:hAnsi="宋体" w:cs="宋体"/>
          <w:kern w:val="0"/>
          <w:sz w:val="24"/>
          <w:highlight w:val="none"/>
        </w:rPr>
      </w:pPr>
      <w:r>
        <w:rPr>
          <w:rFonts w:hint="eastAsia" w:ascii="宋体" w:hAnsi="宋体" w:cs="宋体"/>
          <w:kern w:val="0"/>
          <w:sz w:val="24"/>
          <w:highlight w:val="none"/>
        </w:rPr>
        <w:t>6、合同履行期限：1</w:t>
      </w:r>
      <w:r>
        <w:rPr>
          <w:rFonts w:hint="eastAsia" w:ascii="宋体" w:hAnsi="宋体" w:cs="宋体"/>
          <w:kern w:val="0"/>
          <w:sz w:val="24"/>
          <w:highlight w:val="none"/>
          <w:lang w:val="en-US" w:eastAsia="zh-CN"/>
        </w:rPr>
        <w:t>8</w:t>
      </w:r>
      <w:r>
        <w:rPr>
          <w:rFonts w:hint="eastAsia" w:ascii="宋体" w:hAnsi="宋体" w:cs="宋体"/>
          <w:kern w:val="0"/>
          <w:sz w:val="24"/>
          <w:highlight w:val="none"/>
        </w:rPr>
        <w:t xml:space="preserve">0日历天   </w:t>
      </w:r>
    </w:p>
    <w:p w14:paraId="75A491FB">
      <w:pPr>
        <w:widowControl/>
        <w:adjustRightInd w:val="0"/>
        <w:snapToGrid w:val="0"/>
        <w:spacing w:line="360" w:lineRule="auto"/>
        <w:ind w:firstLine="420"/>
        <w:jc w:val="left"/>
        <w:rPr>
          <w:rFonts w:ascii="宋体" w:hAnsi="宋体" w:cs="宋体"/>
          <w:kern w:val="0"/>
          <w:sz w:val="24"/>
          <w:highlight w:val="none"/>
        </w:rPr>
      </w:pPr>
      <w:r>
        <w:rPr>
          <w:rFonts w:hint="eastAsia" w:ascii="宋体" w:hAnsi="宋体" w:cs="宋体"/>
          <w:kern w:val="0"/>
          <w:sz w:val="24"/>
          <w:highlight w:val="none"/>
        </w:rPr>
        <w:t xml:space="preserve">7、本项目是否接受联合体投标：否 </w:t>
      </w:r>
    </w:p>
    <w:p w14:paraId="4EEFC17A">
      <w:pPr>
        <w:widowControl/>
        <w:adjustRightInd w:val="0"/>
        <w:snapToGrid w:val="0"/>
        <w:spacing w:line="360" w:lineRule="auto"/>
        <w:ind w:firstLine="420"/>
        <w:jc w:val="left"/>
        <w:rPr>
          <w:rFonts w:ascii="宋体" w:hAnsi="宋体" w:cs="宋体"/>
          <w:kern w:val="0"/>
          <w:sz w:val="24"/>
          <w:highlight w:val="none"/>
        </w:rPr>
      </w:pPr>
      <w:r>
        <w:rPr>
          <w:rFonts w:hint="eastAsia" w:ascii="宋体" w:hAnsi="宋体" w:cs="宋体"/>
          <w:kern w:val="0"/>
          <w:sz w:val="24"/>
          <w:highlight w:val="none"/>
        </w:rPr>
        <w:t xml:space="preserve">8、是否接受进口产品：否 </w:t>
      </w:r>
    </w:p>
    <w:p w14:paraId="79595125">
      <w:pPr>
        <w:widowControl/>
        <w:adjustRightInd w:val="0"/>
        <w:snapToGrid w:val="0"/>
        <w:spacing w:line="360" w:lineRule="auto"/>
        <w:ind w:firstLine="420"/>
        <w:jc w:val="left"/>
        <w:rPr>
          <w:rFonts w:ascii="宋体" w:hAnsi="宋体" w:cs="宋体"/>
          <w:color w:val="auto"/>
          <w:kern w:val="0"/>
          <w:sz w:val="24"/>
          <w:highlight w:val="none"/>
        </w:rPr>
      </w:pPr>
      <w:r>
        <w:rPr>
          <w:rFonts w:hint="eastAsia" w:ascii="宋体" w:hAnsi="宋体" w:cs="宋体"/>
          <w:kern w:val="0"/>
          <w:sz w:val="24"/>
          <w:highlight w:val="none"/>
        </w:rPr>
        <w:t>9、</w:t>
      </w:r>
      <w:r>
        <w:rPr>
          <w:rFonts w:hint="eastAsia" w:ascii="宋体" w:hAnsi="宋体" w:cs="宋体"/>
          <w:color w:val="auto"/>
          <w:kern w:val="0"/>
          <w:sz w:val="24"/>
          <w:highlight w:val="none"/>
        </w:rPr>
        <w:t>是否为只面向中小企业采购：否</w:t>
      </w:r>
    </w:p>
    <w:p w14:paraId="62EB09B0">
      <w:pPr>
        <w:widowControl/>
        <w:adjustRightInd w:val="0"/>
        <w:snapToGrid w:val="0"/>
        <w:spacing w:line="360" w:lineRule="auto"/>
        <w:jc w:val="left"/>
        <w:outlineLvl w:val="1"/>
        <w:rPr>
          <w:rFonts w:ascii="宋体" w:hAnsi="宋体" w:cs="宋体"/>
          <w:color w:val="auto"/>
          <w:kern w:val="0"/>
          <w:sz w:val="24"/>
          <w:highlight w:val="none"/>
        </w:rPr>
      </w:pPr>
      <w:bookmarkStart w:id="9" w:name="_Toc15459"/>
      <w:r>
        <w:rPr>
          <w:rFonts w:hint="eastAsia" w:ascii="宋体" w:hAnsi="宋体" w:cs="宋体"/>
          <w:color w:val="auto"/>
          <w:kern w:val="0"/>
          <w:sz w:val="24"/>
          <w:highlight w:val="none"/>
        </w:rPr>
        <w:t>二、申请人资格要求：</w:t>
      </w:r>
      <w:bookmarkEnd w:id="9"/>
      <w:r>
        <w:rPr>
          <w:rFonts w:hint="eastAsia" w:ascii="宋体" w:hAnsi="宋体" w:cs="宋体"/>
          <w:color w:val="auto"/>
          <w:kern w:val="0"/>
          <w:sz w:val="24"/>
          <w:highlight w:val="none"/>
        </w:rPr>
        <w:t xml:space="preserve"> </w:t>
      </w:r>
    </w:p>
    <w:p w14:paraId="5697E6CE">
      <w:pPr>
        <w:widowControl/>
        <w:adjustRightInd w:val="0"/>
        <w:snapToGrid w:val="0"/>
        <w:spacing w:line="360" w:lineRule="auto"/>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1、满足《中华人民共和国政府采购法》第二十二条规定； </w:t>
      </w:r>
    </w:p>
    <w:p w14:paraId="4327C8D3">
      <w:pPr>
        <w:widowControl/>
        <w:adjustRightInd w:val="0"/>
        <w:snapToGrid w:val="0"/>
        <w:spacing w:line="360" w:lineRule="auto"/>
        <w:ind w:firstLine="420"/>
        <w:jc w:val="left"/>
        <w:rPr>
          <w:rFonts w:ascii="宋体" w:hAnsi="宋体" w:cs="宋体"/>
          <w:color w:val="auto"/>
          <w:kern w:val="0"/>
          <w:sz w:val="24"/>
          <w:highlight w:val="none"/>
        </w:rPr>
      </w:pPr>
      <w:r>
        <w:rPr>
          <w:rFonts w:hint="eastAsia" w:ascii="宋体" w:hAnsi="宋体" w:cs="宋体"/>
          <w:color w:val="auto"/>
          <w:kern w:val="0"/>
          <w:sz w:val="24"/>
          <w:highlight w:val="none"/>
        </w:rPr>
        <w:t>2、落实政府采购政策满足的资格要求：</w:t>
      </w:r>
    </w:p>
    <w:p w14:paraId="4CFDD611">
      <w:pPr>
        <w:widowControl/>
        <w:adjustRightInd w:val="0"/>
        <w:snapToGrid w:val="0"/>
        <w:spacing w:line="360" w:lineRule="auto"/>
        <w:ind w:firstLine="960" w:firstLineChars="400"/>
        <w:jc w:val="left"/>
        <w:rPr>
          <w:rFonts w:ascii="宋体" w:hAnsi="宋体" w:cs="宋体"/>
          <w:color w:val="auto"/>
          <w:kern w:val="0"/>
          <w:sz w:val="24"/>
          <w:highlight w:val="none"/>
        </w:rPr>
      </w:pPr>
      <w:r>
        <w:rPr>
          <w:rFonts w:hint="eastAsia" w:ascii="宋体" w:hAnsi="宋体" w:cs="宋体"/>
          <w:color w:val="auto"/>
          <w:kern w:val="0"/>
          <w:sz w:val="24"/>
          <w:highlight w:val="none"/>
          <w:lang w:val="en-US" w:eastAsia="zh-CN"/>
        </w:rPr>
        <w:t>无。</w:t>
      </w:r>
      <w:r>
        <w:rPr>
          <w:rFonts w:hint="eastAsia" w:ascii="宋体" w:hAnsi="宋体" w:cs="宋体"/>
          <w:color w:val="auto"/>
          <w:kern w:val="0"/>
          <w:sz w:val="24"/>
          <w:highlight w:val="none"/>
        </w:rPr>
        <w:t xml:space="preserve"> </w:t>
      </w:r>
    </w:p>
    <w:p w14:paraId="170CE3E8">
      <w:pPr>
        <w:widowControl/>
        <w:adjustRightInd w:val="0"/>
        <w:snapToGrid w:val="0"/>
        <w:spacing w:line="360" w:lineRule="auto"/>
        <w:ind w:firstLine="420" w:firstLineChars="0"/>
        <w:jc w:val="left"/>
        <w:outlineLvl w:val="2"/>
        <w:rPr>
          <w:rFonts w:ascii="宋体" w:hAnsi="宋体" w:cs="宋体"/>
          <w:kern w:val="0"/>
          <w:sz w:val="24"/>
          <w:highlight w:val="none"/>
        </w:rPr>
      </w:pPr>
      <w:r>
        <w:rPr>
          <w:rFonts w:hint="eastAsia" w:ascii="宋体" w:hAnsi="宋体" w:cs="宋体"/>
          <w:kern w:val="0"/>
          <w:sz w:val="24"/>
          <w:highlight w:val="none"/>
        </w:rPr>
        <w:t xml:space="preserve">3、本项目的特定资格要求 </w:t>
      </w:r>
    </w:p>
    <w:p w14:paraId="4E505A15">
      <w:pPr>
        <w:widowControl/>
        <w:numPr>
          <w:ilvl w:val="0"/>
          <w:numId w:val="3"/>
        </w:numPr>
        <w:adjustRightInd w:val="0"/>
        <w:snapToGrid w:val="0"/>
        <w:spacing w:line="360" w:lineRule="auto"/>
        <w:ind w:left="845" w:leftChars="0" w:hanging="425" w:firstLineChars="0"/>
        <w:jc w:val="left"/>
        <w:outlineLvl w:val="3"/>
        <w:rPr>
          <w:rFonts w:ascii="宋体" w:hAnsi="宋体" w:cs="宋体"/>
          <w:kern w:val="0"/>
          <w:sz w:val="24"/>
          <w:highlight w:val="none"/>
        </w:rPr>
      </w:pPr>
      <w:r>
        <w:rPr>
          <w:rFonts w:hint="eastAsia" w:ascii="宋体" w:hAnsi="宋体" w:cs="宋体"/>
          <w:kern w:val="0"/>
          <w:sz w:val="24"/>
          <w:highlight w:val="none"/>
        </w:rPr>
        <w:t>供应商应具备下列条件，并提供相应材料：</w:t>
      </w:r>
    </w:p>
    <w:p w14:paraId="0EA71AFB">
      <w:pPr>
        <w:widowControl/>
        <w:numPr>
          <w:ilvl w:val="0"/>
          <w:numId w:val="4"/>
        </w:numPr>
        <w:adjustRightInd w:val="0"/>
        <w:snapToGrid w:val="0"/>
        <w:spacing w:line="360" w:lineRule="auto"/>
        <w:ind w:left="645" w:hanging="5"/>
        <w:jc w:val="left"/>
        <w:rPr>
          <w:rFonts w:ascii="宋体" w:hAnsi="宋体" w:cs="宋体"/>
          <w:kern w:val="0"/>
          <w:sz w:val="24"/>
          <w:highlight w:val="none"/>
        </w:rPr>
      </w:pPr>
      <w:r>
        <w:rPr>
          <w:rFonts w:hint="eastAsia" w:ascii="宋体" w:hAnsi="宋体" w:cs="宋体"/>
          <w:kern w:val="0"/>
          <w:sz w:val="24"/>
          <w:highlight w:val="none"/>
        </w:rPr>
        <w:t>营业执照等证明材料，具有独立承担民事责任的能力。（提供原件</w:t>
      </w:r>
      <w:r>
        <w:rPr>
          <w:rFonts w:hint="eastAsia" w:ascii="宋体" w:hAnsi="宋体" w:cs="宋体"/>
          <w:kern w:val="0"/>
          <w:sz w:val="24"/>
          <w:highlight w:val="none"/>
          <w:lang w:val="en-US" w:eastAsia="zh-CN"/>
        </w:rPr>
        <w:t>彩色</w:t>
      </w:r>
      <w:r>
        <w:rPr>
          <w:rFonts w:hint="eastAsia" w:ascii="宋体" w:hAnsi="宋体" w:cs="宋体"/>
          <w:kern w:val="0"/>
          <w:sz w:val="24"/>
          <w:highlight w:val="none"/>
        </w:rPr>
        <w:t>扫描件，经营内容与本项目采购内容及履约能力相适合。）</w:t>
      </w:r>
    </w:p>
    <w:p w14:paraId="3383A9F1">
      <w:pPr>
        <w:widowControl/>
        <w:numPr>
          <w:ilvl w:val="0"/>
          <w:numId w:val="4"/>
        </w:numPr>
        <w:adjustRightInd w:val="0"/>
        <w:snapToGrid w:val="0"/>
        <w:spacing w:line="360" w:lineRule="auto"/>
        <w:ind w:left="645" w:hanging="5"/>
        <w:jc w:val="left"/>
        <w:rPr>
          <w:rFonts w:ascii="宋体" w:hAnsi="宋体" w:cs="宋体"/>
          <w:kern w:val="0"/>
          <w:sz w:val="24"/>
          <w:highlight w:val="none"/>
        </w:rPr>
      </w:pPr>
      <w:r>
        <w:rPr>
          <w:rFonts w:hint="eastAsia" w:ascii="宋体" w:hAnsi="宋体" w:cs="宋体"/>
          <w:kern w:val="0"/>
          <w:sz w:val="24"/>
          <w:highlight w:val="none"/>
        </w:rPr>
        <w:t>财务状况报告。（是法人的，提供经审计的财务报告，或其基本开户银行出具的资信证明。是其他组织和自然人的，提供银行出具的资信证明。资信证明出具时间距开标不超过一年；财务报告出具时间为本年或上一年。提供原件</w:t>
      </w:r>
      <w:r>
        <w:rPr>
          <w:rFonts w:hint="eastAsia" w:ascii="宋体" w:hAnsi="宋体" w:cs="宋体"/>
          <w:kern w:val="0"/>
          <w:sz w:val="24"/>
          <w:highlight w:val="none"/>
          <w:lang w:val="en-US" w:eastAsia="zh-CN"/>
        </w:rPr>
        <w:t>彩色</w:t>
      </w:r>
      <w:r>
        <w:rPr>
          <w:rFonts w:hint="eastAsia" w:ascii="宋体" w:hAnsi="宋体" w:cs="宋体"/>
          <w:kern w:val="0"/>
          <w:sz w:val="24"/>
          <w:highlight w:val="none"/>
        </w:rPr>
        <w:t>扫描件。）</w:t>
      </w:r>
    </w:p>
    <w:p w14:paraId="11BB7D93">
      <w:pPr>
        <w:widowControl/>
        <w:numPr>
          <w:ilvl w:val="0"/>
          <w:numId w:val="4"/>
        </w:numPr>
        <w:adjustRightInd w:val="0"/>
        <w:snapToGrid w:val="0"/>
        <w:spacing w:line="360" w:lineRule="auto"/>
        <w:ind w:left="645" w:hanging="5"/>
        <w:jc w:val="left"/>
        <w:rPr>
          <w:rFonts w:ascii="宋体" w:hAnsi="宋体" w:cs="宋体"/>
          <w:kern w:val="0"/>
          <w:sz w:val="24"/>
          <w:highlight w:val="none"/>
        </w:rPr>
      </w:pPr>
      <w:r>
        <w:rPr>
          <w:rFonts w:hint="eastAsia" w:ascii="宋体" w:hAnsi="宋体" w:cs="宋体"/>
          <w:kern w:val="0"/>
          <w:sz w:val="24"/>
          <w:highlight w:val="none"/>
        </w:rPr>
        <w:t>依法缴纳税收的证明材料。</w:t>
      </w:r>
      <w:r>
        <w:rPr>
          <w:rFonts w:hint="eastAsia" w:ascii="宋体" w:hAnsi="宋体" w:cs="宋体"/>
          <w:kern w:val="0"/>
          <w:sz w:val="24"/>
          <w:highlight w:val="none"/>
          <w:lang w:val="en-US" w:eastAsia="zh-CN"/>
        </w:rPr>
        <w:t>[提供距开标不超过6个月</w:t>
      </w:r>
      <w:r>
        <w:rPr>
          <w:rFonts w:hint="eastAsia" w:ascii="宋体" w:hAnsi="宋体" w:cs="宋体"/>
          <w:kern w:val="0"/>
          <w:sz w:val="24"/>
          <w:highlight w:val="none"/>
        </w:rPr>
        <w:t>任意一次（缴款日期、入库日期等）税务</w:t>
      </w:r>
      <w:r>
        <w:rPr>
          <w:rFonts w:hint="eastAsia" w:ascii="宋体" w:hAnsi="宋体" w:cs="宋体"/>
          <w:kern w:val="0"/>
          <w:sz w:val="24"/>
          <w:highlight w:val="none"/>
          <w:lang w:val="en-US" w:eastAsia="zh-CN"/>
        </w:rPr>
        <w:t>机关</w:t>
      </w:r>
      <w:r>
        <w:rPr>
          <w:rFonts w:hint="eastAsia" w:ascii="宋体" w:hAnsi="宋体" w:cs="宋体"/>
          <w:kern w:val="0"/>
          <w:sz w:val="24"/>
          <w:highlight w:val="none"/>
        </w:rPr>
        <w:t>出具的</w:t>
      </w:r>
      <w:r>
        <w:rPr>
          <w:rFonts w:hint="eastAsia" w:ascii="宋体" w:hAnsi="宋体" w:cs="宋体"/>
          <w:kern w:val="0"/>
          <w:sz w:val="24"/>
          <w:highlight w:val="none"/>
          <w:lang w:val="en-US" w:eastAsia="zh-CN"/>
        </w:rPr>
        <w:t>完税证明或</w:t>
      </w:r>
      <w:r>
        <w:rPr>
          <w:rFonts w:hint="eastAsia" w:ascii="宋体" w:hAnsi="宋体" w:cs="宋体"/>
          <w:kern w:val="0"/>
          <w:sz w:val="24"/>
          <w:highlight w:val="none"/>
        </w:rPr>
        <w:t>无欠税证明原件</w:t>
      </w:r>
      <w:r>
        <w:rPr>
          <w:rFonts w:hint="eastAsia" w:ascii="宋体" w:hAnsi="宋体" w:cs="宋体"/>
          <w:kern w:val="0"/>
          <w:sz w:val="24"/>
          <w:highlight w:val="none"/>
          <w:lang w:val="en-US" w:eastAsia="zh-CN"/>
        </w:rPr>
        <w:t>彩色</w:t>
      </w:r>
      <w:r>
        <w:rPr>
          <w:rFonts w:hint="eastAsia" w:ascii="宋体" w:hAnsi="宋体" w:cs="宋体"/>
          <w:kern w:val="0"/>
          <w:sz w:val="24"/>
          <w:highlight w:val="none"/>
        </w:rPr>
        <w:t>扫描件</w:t>
      </w:r>
      <w:r>
        <w:rPr>
          <w:rFonts w:hint="eastAsia" w:ascii="宋体" w:hAnsi="宋体" w:cs="宋体"/>
          <w:kern w:val="0"/>
          <w:sz w:val="24"/>
          <w:highlight w:val="none"/>
          <w:lang w:eastAsia="zh-CN"/>
        </w:rPr>
        <w:t>。</w:t>
      </w:r>
      <w:r>
        <w:rPr>
          <w:rFonts w:hint="eastAsia" w:ascii="宋体" w:hAnsi="宋体" w:cs="宋体"/>
          <w:kern w:val="0"/>
          <w:sz w:val="24"/>
          <w:highlight w:val="none"/>
        </w:rPr>
        <w:t>属于免税对象者，自行出具免税声明或提供其他证明材料。</w:t>
      </w:r>
      <w:r>
        <w:rPr>
          <w:rFonts w:hint="eastAsia" w:ascii="宋体" w:hAnsi="宋体" w:cs="宋体"/>
          <w:kern w:val="0"/>
          <w:sz w:val="24"/>
          <w:highlight w:val="none"/>
          <w:lang w:val="en-US" w:eastAsia="zh-CN"/>
        </w:rPr>
        <w:t>]</w:t>
      </w:r>
    </w:p>
    <w:p w14:paraId="05BFE26B">
      <w:pPr>
        <w:widowControl/>
        <w:numPr>
          <w:ilvl w:val="0"/>
          <w:numId w:val="4"/>
        </w:numPr>
        <w:adjustRightInd w:val="0"/>
        <w:snapToGrid w:val="0"/>
        <w:spacing w:line="360" w:lineRule="auto"/>
        <w:ind w:left="645" w:hanging="5"/>
        <w:jc w:val="left"/>
        <w:rPr>
          <w:rFonts w:ascii="宋体" w:hAnsi="宋体" w:cs="宋体"/>
          <w:kern w:val="0"/>
          <w:sz w:val="24"/>
          <w:highlight w:val="none"/>
        </w:rPr>
      </w:pPr>
      <w:r>
        <w:rPr>
          <w:rFonts w:hint="eastAsia" w:ascii="宋体" w:hAnsi="宋体" w:cs="宋体"/>
          <w:kern w:val="0"/>
          <w:sz w:val="24"/>
          <w:highlight w:val="none"/>
        </w:rPr>
        <w:t>依法缴纳社会保障资金的证明材料。</w:t>
      </w:r>
      <w:r>
        <w:rPr>
          <w:rFonts w:hint="eastAsia" w:ascii="宋体" w:hAnsi="宋体" w:cs="宋体"/>
          <w:kern w:val="0"/>
          <w:sz w:val="24"/>
          <w:highlight w:val="none"/>
          <w:lang w:val="en-US" w:eastAsia="zh-CN"/>
        </w:rPr>
        <w:t>[提供</w:t>
      </w:r>
      <w:r>
        <w:rPr>
          <w:rFonts w:hint="eastAsia" w:ascii="宋体" w:hAnsi="宋体" w:cs="宋体"/>
          <w:kern w:val="0"/>
          <w:sz w:val="24"/>
          <w:highlight w:val="none"/>
        </w:rPr>
        <w:t>距开标不超过</w:t>
      </w:r>
      <w:r>
        <w:rPr>
          <w:rFonts w:hint="eastAsia" w:ascii="宋体" w:hAnsi="宋体" w:cs="宋体"/>
          <w:kern w:val="0"/>
          <w:sz w:val="24"/>
          <w:highlight w:val="none"/>
          <w:lang w:val="en-US" w:eastAsia="zh-CN"/>
        </w:rPr>
        <w:t>6个月</w:t>
      </w:r>
      <w:r>
        <w:rPr>
          <w:rFonts w:hint="eastAsia" w:ascii="宋体" w:hAnsi="宋体" w:cs="宋体"/>
          <w:kern w:val="0"/>
          <w:sz w:val="24"/>
          <w:highlight w:val="none"/>
        </w:rPr>
        <w:t>任意一次为职工缴纳社会保险</w:t>
      </w:r>
      <w:r>
        <w:rPr>
          <w:rFonts w:hint="eastAsia" w:ascii="宋体" w:hAnsi="宋体" w:cs="宋体"/>
          <w:kern w:val="0"/>
          <w:sz w:val="24"/>
          <w:highlight w:val="none"/>
          <w:lang w:val="en-US" w:eastAsia="zh-CN"/>
        </w:rPr>
        <w:t>(含养老保险)</w:t>
      </w:r>
      <w:r>
        <w:rPr>
          <w:rFonts w:hint="eastAsia" w:ascii="宋体" w:hAnsi="宋体" w:cs="宋体"/>
          <w:kern w:val="0"/>
          <w:sz w:val="24"/>
          <w:highlight w:val="none"/>
        </w:rPr>
        <w:t>的</w:t>
      </w:r>
      <w:r>
        <w:rPr>
          <w:rFonts w:hint="eastAsia" w:ascii="宋体" w:hAnsi="宋体" w:cs="宋体"/>
          <w:kern w:val="0"/>
          <w:sz w:val="24"/>
          <w:highlight w:val="none"/>
          <w:lang w:val="en-US" w:eastAsia="zh-CN"/>
        </w:rPr>
        <w:t>完税证明或缴款凭证或</w:t>
      </w:r>
      <w:r>
        <w:rPr>
          <w:rFonts w:hint="eastAsia" w:ascii="宋体" w:hAnsi="宋体" w:cs="宋体"/>
          <w:kern w:val="0"/>
          <w:sz w:val="24"/>
          <w:highlight w:val="none"/>
        </w:rPr>
        <w:t>社保部门证明原件</w:t>
      </w:r>
      <w:r>
        <w:rPr>
          <w:rFonts w:hint="eastAsia" w:ascii="宋体" w:hAnsi="宋体" w:cs="宋体"/>
          <w:kern w:val="0"/>
          <w:sz w:val="24"/>
          <w:highlight w:val="none"/>
          <w:lang w:val="en-US" w:eastAsia="zh-CN"/>
        </w:rPr>
        <w:t>彩色</w:t>
      </w:r>
      <w:r>
        <w:rPr>
          <w:rFonts w:hint="eastAsia" w:ascii="宋体" w:hAnsi="宋体" w:cs="宋体"/>
          <w:kern w:val="0"/>
          <w:sz w:val="24"/>
          <w:highlight w:val="none"/>
        </w:rPr>
        <w:t>扫描件。</w:t>
      </w:r>
      <w:r>
        <w:rPr>
          <w:rFonts w:hint="eastAsia" w:ascii="宋体" w:hAnsi="宋体" w:cs="宋体"/>
          <w:kern w:val="0"/>
          <w:sz w:val="24"/>
          <w:highlight w:val="none"/>
          <w:lang w:val="en-US" w:eastAsia="zh-CN"/>
        </w:rPr>
        <w:t>]</w:t>
      </w:r>
    </w:p>
    <w:p w14:paraId="12D3BBDC">
      <w:pPr>
        <w:widowControl/>
        <w:numPr>
          <w:ilvl w:val="0"/>
          <w:numId w:val="4"/>
        </w:numPr>
        <w:adjustRightInd w:val="0"/>
        <w:snapToGrid w:val="0"/>
        <w:spacing w:line="360" w:lineRule="auto"/>
        <w:ind w:left="645" w:leftChars="0" w:hanging="5" w:firstLineChars="0"/>
        <w:jc w:val="left"/>
        <w:outlineLvl w:val="4"/>
        <w:rPr>
          <w:rFonts w:ascii="宋体" w:hAnsi="宋体" w:cs="宋体"/>
          <w:kern w:val="0"/>
          <w:sz w:val="24"/>
          <w:highlight w:val="none"/>
        </w:rPr>
      </w:pPr>
      <w:r>
        <w:rPr>
          <w:rFonts w:hint="eastAsia" w:ascii="宋体" w:hAnsi="宋体" w:cs="宋体"/>
          <w:kern w:val="0"/>
          <w:sz w:val="24"/>
          <w:highlight w:val="none"/>
        </w:rPr>
        <w:t>具备履行合同所必需的设备和专业技术能力的承诺。</w:t>
      </w:r>
    </w:p>
    <w:p w14:paraId="265B9A2C">
      <w:pPr>
        <w:widowControl/>
        <w:numPr>
          <w:ilvl w:val="0"/>
          <w:numId w:val="4"/>
        </w:numPr>
        <w:adjustRightInd w:val="0"/>
        <w:snapToGrid w:val="0"/>
        <w:spacing w:line="360" w:lineRule="auto"/>
        <w:ind w:left="645" w:hanging="5"/>
        <w:jc w:val="left"/>
        <w:rPr>
          <w:rFonts w:ascii="宋体" w:hAnsi="宋体" w:cs="宋体"/>
          <w:kern w:val="0"/>
          <w:sz w:val="24"/>
          <w:highlight w:val="none"/>
        </w:rPr>
      </w:pPr>
      <w:r>
        <w:rPr>
          <w:rFonts w:hint="eastAsia" w:ascii="宋体" w:hAnsi="宋体" w:cs="宋体"/>
          <w:kern w:val="0"/>
          <w:sz w:val="24"/>
          <w:highlight w:val="none"/>
        </w:rPr>
        <w:t>供应商开标前三年内在经营活动中无重大违法记录的书面声明。</w:t>
      </w:r>
    </w:p>
    <w:p w14:paraId="1B0DE130">
      <w:pPr>
        <w:widowControl/>
        <w:numPr>
          <w:ilvl w:val="0"/>
          <w:numId w:val="3"/>
        </w:numPr>
        <w:adjustRightInd w:val="0"/>
        <w:snapToGrid w:val="0"/>
        <w:spacing w:line="360" w:lineRule="auto"/>
        <w:ind w:left="5" w:firstLine="415"/>
        <w:jc w:val="left"/>
        <w:rPr>
          <w:rFonts w:ascii="宋体" w:hAnsi="宋体" w:cs="宋体"/>
          <w:kern w:val="0"/>
          <w:sz w:val="24"/>
          <w:highlight w:val="none"/>
        </w:rPr>
      </w:pPr>
      <w:r>
        <w:rPr>
          <w:rFonts w:hint="eastAsia" w:ascii="宋体" w:hAnsi="宋体" w:cs="宋体"/>
          <w:kern w:val="0"/>
          <w:sz w:val="24"/>
          <w:highlight w:val="none"/>
        </w:rPr>
        <w:t>具有良好的商业信誉。截至投标文件递交截止时间，供应商在“信用中国”网站列入“失信被执行人、重大税收违法失信主体”，或者在“中国政府采购网”上列入“政府采购严重违法失信行为信息记录”的，为无效投标。采购人、采购代理机构于开标后查询。【查询渠道：“信用中国”网</w:t>
      </w:r>
      <w:r>
        <w:rPr>
          <w:rFonts w:hint="eastAsia" w:ascii="宋体" w:hAnsi="宋体" w:cs="宋体"/>
          <w:kern w:val="0"/>
          <w:sz w:val="24"/>
          <w:highlight w:val="none"/>
          <w:lang w:val="en-US" w:eastAsia="zh-CN"/>
        </w:rPr>
        <w:t>址：</w:t>
      </w:r>
      <w:r>
        <w:rPr>
          <w:rFonts w:hint="eastAsia" w:ascii="宋体" w:hAnsi="宋体" w:cs="宋体"/>
          <w:kern w:val="0"/>
          <w:sz w:val="24"/>
          <w:highlight w:val="none"/>
        </w:rPr>
        <w:t>（http://www.creditchina.gov.cn）、“中国政府采购网”</w:t>
      </w:r>
      <w:r>
        <w:rPr>
          <w:rFonts w:hint="eastAsia" w:ascii="宋体" w:hAnsi="宋体" w:cs="宋体"/>
          <w:kern w:val="0"/>
          <w:sz w:val="24"/>
          <w:highlight w:val="none"/>
          <w:lang w:val="en-US" w:eastAsia="zh-CN"/>
        </w:rPr>
        <w:t>网址：</w:t>
      </w:r>
      <w:r>
        <w:rPr>
          <w:rFonts w:hint="eastAsia" w:ascii="宋体" w:hAnsi="宋体" w:cs="宋体"/>
          <w:kern w:val="0"/>
          <w:sz w:val="24"/>
          <w:highlight w:val="none"/>
        </w:rPr>
        <w:t>（http://www.ccgp.gov.cn）。】</w:t>
      </w:r>
    </w:p>
    <w:p w14:paraId="78CFC94B">
      <w:pPr>
        <w:widowControl/>
        <w:adjustRightInd w:val="0"/>
        <w:snapToGrid w:val="0"/>
        <w:spacing w:line="360" w:lineRule="auto"/>
        <w:jc w:val="left"/>
        <w:outlineLvl w:val="1"/>
        <w:rPr>
          <w:rFonts w:ascii="宋体" w:hAnsi="宋体" w:cs="宋体"/>
          <w:kern w:val="0"/>
          <w:sz w:val="24"/>
          <w:highlight w:val="none"/>
        </w:rPr>
      </w:pPr>
      <w:bookmarkStart w:id="10" w:name="_Toc13718"/>
      <w:r>
        <w:rPr>
          <w:rFonts w:hint="eastAsia" w:ascii="宋体" w:hAnsi="宋体" w:cs="宋体"/>
          <w:kern w:val="0"/>
          <w:sz w:val="24"/>
          <w:highlight w:val="none"/>
        </w:rPr>
        <w:t>三、获取招标文件</w:t>
      </w:r>
      <w:bookmarkEnd w:id="10"/>
      <w:r>
        <w:rPr>
          <w:rFonts w:hint="eastAsia" w:ascii="宋体" w:hAnsi="宋体" w:cs="宋体"/>
          <w:kern w:val="0"/>
          <w:sz w:val="24"/>
          <w:highlight w:val="none"/>
        </w:rPr>
        <w:t xml:space="preserve"> </w:t>
      </w:r>
    </w:p>
    <w:p w14:paraId="074466AD">
      <w:pPr>
        <w:widowControl/>
        <w:adjustRightInd w:val="0"/>
        <w:snapToGrid w:val="0"/>
        <w:spacing w:line="360" w:lineRule="auto"/>
        <w:ind w:firstLine="420"/>
        <w:jc w:val="left"/>
        <w:rPr>
          <w:rFonts w:ascii="宋体" w:hAnsi="宋体" w:cs="宋体"/>
          <w:kern w:val="0"/>
          <w:sz w:val="24"/>
          <w:highlight w:val="none"/>
        </w:rPr>
      </w:pPr>
      <w:r>
        <w:rPr>
          <w:rFonts w:hint="eastAsia" w:ascii="宋体" w:hAnsi="宋体" w:cs="宋体"/>
          <w:kern w:val="0"/>
          <w:sz w:val="24"/>
          <w:highlight w:val="none"/>
        </w:rPr>
        <w:t>1.时间：202</w:t>
      </w:r>
      <w:r>
        <w:rPr>
          <w:rFonts w:hint="eastAsia" w:ascii="宋体" w:hAnsi="宋体" w:cs="宋体"/>
          <w:kern w:val="0"/>
          <w:sz w:val="24"/>
          <w:highlight w:val="none"/>
          <w:lang w:val="en-US" w:eastAsia="zh-CN"/>
        </w:rPr>
        <w:t>6</w:t>
      </w:r>
      <w:r>
        <w:rPr>
          <w:rFonts w:hint="eastAsia" w:ascii="宋体" w:hAnsi="宋体" w:cs="宋体"/>
          <w:kern w:val="0"/>
          <w:sz w:val="24"/>
          <w:highlight w:val="none"/>
        </w:rPr>
        <w:t>年</w:t>
      </w:r>
      <w:r>
        <w:rPr>
          <w:rFonts w:hint="eastAsia" w:ascii="宋体" w:hAnsi="宋体" w:cs="宋体"/>
          <w:kern w:val="0"/>
          <w:sz w:val="24"/>
          <w:highlight w:val="none"/>
          <w:lang w:val="en-US" w:eastAsia="zh-CN"/>
        </w:rPr>
        <w:t>10</w:t>
      </w:r>
      <w:r>
        <w:rPr>
          <w:rFonts w:hint="eastAsia" w:ascii="宋体" w:hAnsi="宋体" w:cs="宋体"/>
          <w:kern w:val="0"/>
          <w:sz w:val="24"/>
          <w:highlight w:val="none"/>
        </w:rPr>
        <w:t>月</w:t>
      </w:r>
      <w:r>
        <w:rPr>
          <w:rFonts w:hint="eastAsia" w:ascii="宋体" w:hAnsi="宋体" w:cs="宋体"/>
          <w:kern w:val="0"/>
          <w:sz w:val="24"/>
          <w:highlight w:val="none"/>
          <w:lang w:val="en-US" w:eastAsia="zh-CN"/>
        </w:rPr>
        <w:t>16</w:t>
      </w:r>
      <w:r>
        <w:rPr>
          <w:rFonts w:hint="eastAsia" w:ascii="宋体" w:hAnsi="宋体" w:cs="宋体"/>
          <w:kern w:val="0"/>
          <w:sz w:val="24"/>
          <w:highlight w:val="none"/>
        </w:rPr>
        <w:t>日至202</w:t>
      </w:r>
      <w:r>
        <w:rPr>
          <w:rFonts w:hint="eastAsia" w:ascii="宋体" w:hAnsi="宋体" w:cs="宋体"/>
          <w:kern w:val="0"/>
          <w:sz w:val="24"/>
          <w:highlight w:val="none"/>
          <w:lang w:val="en-US" w:eastAsia="zh-CN"/>
        </w:rPr>
        <w:t>6</w:t>
      </w:r>
      <w:r>
        <w:rPr>
          <w:rFonts w:hint="eastAsia" w:ascii="宋体" w:hAnsi="宋体" w:cs="宋体"/>
          <w:kern w:val="0"/>
          <w:sz w:val="24"/>
          <w:highlight w:val="none"/>
        </w:rPr>
        <w:t>年</w:t>
      </w:r>
      <w:r>
        <w:rPr>
          <w:rFonts w:hint="eastAsia" w:ascii="宋体" w:hAnsi="宋体" w:cs="宋体"/>
          <w:kern w:val="0"/>
          <w:sz w:val="24"/>
          <w:highlight w:val="none"/>
          <w:lang w:val="en-US" w:eastAsia="zh-CN"/>
        </w:rPr>
        <w:t>11</w:t>
      </w:r>
      <w:r>
        <w:rPr>
          <w:rFonts w:hint="eastAsia" w:ascii="宋体" w:hAnsi="宋体" w:cs="宋体"/>
          <w:kern w:val="0"/>
          <w:sz w:val="24"/>
          <w:highlight w:val="none"/>
        </w:rPr>
        <w:t>月</w:t>
      </w:r>
      <w:r>
        <w:rPr>
          <w:rFonts w:hint="eastAsia" w:ascii="宋体" w:hAnsi="宋体" w:cs="宋体"/>
          <w:kern w:val="0"/>
          <w:sz w:val="24"/>
          <w:highlight w:val="none"/>
          <w:lang w:val="en-US" w:eastAsia="zh-CN"/>
        </w:rPr>
        <w:t>4</w:t>
      </w:r>
      <w:r>
        <w:rPr>
          <w:rFonts w:hint="eastAsia" w:ascii="宋体" w:hAnsi="宋体" w:cs="宋体"/>
          <w:kern w:val="0"/>
          <w:sz w:val="24"/>
          <w:highlight w:val="none"/>
        </w:rPr>
        <w:t>日，每天上午00:0</w:t>
      </w:r>
      <w:r>
        <w:rPr>
          <w:rFonts w:hint="eastAsia" w:ascii="宋体" w:hAnsi="宋体" w:cs="宋体"/>
          <w:kern w:val="0"/>
          <w:sz w:val="24"/>
          <w:highlight w:val="none"/>
          <w:lang w:val="en-US" w:eastAsia="zh-CN"/>
        </w:rPr>
        <w:t>1</w:t>
      </w:r>
      <w:r>
        <w:rPr>
          <w:rFonts w:hint="eastAsia" w:ascii="宋体" w:hAnsi="宋体" w:cs="宋体"/>
          <w:kern w:val="0"/>
          <w:sz w:val="24"/>
          <w:highlight w:val="none"/>
        </w:rPr>
        <w:t xml:space="preserve">至12:00，下午12:00至23:59（北京时间，法定节假日除外。） </w:t>
      </w:r>
    </w:p>
    <w:p w14:paraId="19A60A09">
      <w:pPr>
        <w:widowControl/>
        <w:adjustRightInd w:val="0"/>
        <w:snapToGrid w:val="0"/>
        <w:spacing w:line="360" w:lineRule="auto"/>
        <w:ind w:firstLine="420" w:firstLineChars="0"/>
        <w:jc w:val="left"/>
        <w:outlineLvl w:val="2"/>
        <w:rPr>
          <w:rFonts w:ascii="宋体" w:hAnsi="宋体" w:cs="宋体"/>
          <w:kern w:val="0"/>
          <w:sz w:val="24"/>
          <w:highlight w:val="none"/>
        </w:rPr>
      </w:pPr>
      <w:r>
        <w:rPr>
          <w:rFonts w:hint="eastAsia" w:ascii="宋体" w:hAnsi="宋体" w:cs="宋体"/>
          <w:kern w:val="0"/>
          <w:sz w:val="24"/>
          <w:highlight w:val="none"/>
        </w:rPr>
        <w:t xml:space="preserve">2.地点：《开封市公共资源交易信息网》电子交易系统。 </w:t>
      </w:r>
    </w:p>
    <w:p w14:paraId="417D97B8">
      <w:pPr>
        <w:widowControl/>
        <w:adjustRightInd w:val="0"/>
        <w:snapToGrid w:val="0"/>
        <w:spacing w:line="360" w:lineRule="auto"/>
        <w:ind w:firstLine="420"/>
        <w:jc w:val="left"/>
        <w:rPr>
          <w:rFonts w:ascii="宋体" w:hAnsi="宋体" w:eastAsia="微软雅黑" w:cs="宋体"/>
          <w:kern w:val="0"/>
          <w:sz w:val="24"/>
          <w:highlight w:val="none"/>
        </w:rPr>
      </w:pPr>
      <w:r>
        <w:rPr>
          <w:rFonts w:hint="eastAsia" w:ascii="宋体" w:hAnsi="宋体" w:cs="宋体"/>
          <w:kern w:val="0"/>
          <w:sz w:val="24"/>
          <w:highlight w:val="none"/>
        </w:rPr>
        <w:t>3.方式：凭CA密钥登录电子交易系统“政采、工程业务系统”自行下载招标文件及资料（详见http://www.kfsggzyjyw.cn办事指南-操作规程)。</w:t>
      </w:r>
    </w:p>
    <w:p w14:paraId="375978A8">
      <w:pPr>
        <w:widowControl/>
        <w:adjustRightInd w:val="0"/>
        <w:snapToGrid w:val="0"/>
        <w:spacing w:line="360" w:lineRule="auto"/>
        <w:ind w:firstLine="420" w:firstLineChars="0"/>
        <w:jc w:val="left"/>
        <w:outlineLvl w:val="2"/>
        <w:rPr>
          <w:rFonts w:ascii="宋体" w:hAnsi="宋体" w:cs="宋体"/>
          <w:kern w:val="0"/>
          <w:sz w:val="24"/>
          <w:highlight w:val="none"/>
        </w:rPr>
      </w:pPr>
      <w:r>
        <w:rPr>
          <w:rFonts w:hint="eastAsia" w:ascii="宋体" w:hAnsi="宋体" w:cs="宋体"/>
          <w:kern w:val="0"/>
          <w:sz w:val="24"/>
          <w:highlight w:val="none"/>
        </w:rPr>
        <w:t xml:space="preserve">4.售价：0元 </w:t>
      </w:r>
    </w:p>
    <w:p w14:paraId="1B6803EE">
      <w:pPr>
        <w:widowControl/>
        <w:adjustRightInd w:val="0"/>
        <w:snapToGrid w:val="0"/>
        <w:spacing w:line="360" w:lineRule="auto"/>
        <w:jc w:val="left"/>
        <w:outlineLvl w:val="1"/>
        <w:rPr>
          <w:rFonts w:ascii="宋体" w:hAnsi="宋体" w:cs="宋体"/>
          <w:kern w:val="0"/>
          <w:sz w:val="24"/>
          <w:highlight w:val="none"/>
        </w:rPr>
      </w:pPr>
      <w:bookmarkStart w:id="11" w:name="_Toc4379"/>
      <w:r>
        <w:rPr>
          <w:rFonts w:hint="eastAsia" w:ascii="宋体" w:hAnsi="宋体" w:cs="宋体"/>
          <w:kern w:val="0"/>
          <w:sz w:val="24"/>
          <w:highlight w:val="none"/>
        </w:rPr>
        <w:t>四、投标截止时间及地点</w:t>
      </w:r>
      <w:bookmarkEnd w:id="11"/>
      <w:r>
        <w:rPr>
          <w:rFonts w:hint="eastAsia" w:ascii="宋体" w:hAnsi="宋体" w:cs="宋体"/>
          <w:kern w:val="0"/>
          <w:sz w:val="24"/>
          <w:highlight w:val="none"/>
        </w:rPr>
        <w:t xml:space="preserve"> </w:t>
      </w:r>
    </w:p>
    <w:p w14:paraId="11DCFC3C">
      <w:pPr>
        <w:widowControl/>
        <w:adjustRightInd w:val="0"/>
        <w:snapToGrid w:val="0"/>
        <w:spacing w:line="360" w:lineRule="auto"/>
        <w:ind w:firstLine="420" w:firstLineChars="0"/>
        <w:jc w:val="left"/>
        <w:outlineLvl w:val="2"/>
        <w:rPr>
          <w:rFonts w:ascii="宋体" w:hAnsi="宋体" w:cs="宋体"/>
          <w:kern w:val="0"/>
          <w:sz w:val="24"/>
          <w:highlight w:val="none"/>
        </w:rPr>
      </w:pPr>
      <w:r>
        <w:rPr>
          <w:rFonts w:hint="eastAsia" w:ascii="宋体" w:hAnsi="宋体" w:cs="宋体"/>
          <w:kern w:val="0"/>
          <w:sz w:val="24"/>
          <w:highlight w:val="none"/>
        </w:rPr>
        <w:t>1.时间：202</w:t>
      </w:r>
      <w:r>
        <w:rPr>
          <w:rFonts w:hint="eastAsia" w:ascii="宋体" w:hAnsi="宋体" w:cs="宋体"/>
          <w:kern w:val="0"/>
          <w:sz w:val="24"/>
          <w:highlight w:val="none"/>
          <w:lang w:val="en-US" w:eastAsia="zh-CN"/>
        </w:rPr>
        <w:t>6</w:t>
      </w:r>
      <w:r>
        <w:rPr>
          <w:rFonts w:hint="eastAsia" w:ascii="宋体" w:hAnsi="宋体" w:cs="宋体"/>
          <w:kern w:val="0"/>
          <w:sz w:val="24"/>
          <w:highlight w:val="none"/>
        </w:rPr>
        <w:t>年</w:t>
      </w:r>
      <w:r>
        <w:rPr>
          <w:rFonts w:hint="eastAsia" w:ascii="宋体" w:hAnsi="宋体" w:cs="宋体"/>
          <w:kern w:val="0"/>
          <w:sz w:val="24"/>
          <w:highlight w:val="none"/>
          <w:lang w:val="en-US" w:eastAsia="zh-CN"/>
        </w:rPr>
        <w:t>11</w:t>
      </w:r>
      <w:r>
        <w:rPr>
          <w:rFonts w:hint="eastAsia" w:ascii="宋体" w:hAnsi="宋体" w:cs="宋体"/>
          <w:kern w:val="0"/>
          <w:sz w:val="24"/>
          <w:highlight w:val="none"/>
        </w:rPr>
        <w:t>月</w:t>
      </w:r>
      <w:r>
        <w:rPr>
          <w:rFonts w:hint="eastAsia" w:ascii="宋体" w:hAnsi="宋体" w:cs="宋体"/>
          <w:kern w:val="0"/>
          <w:sz w:val="24"/>
          <w:highlight w:val="none"/>
          <w:lang w:val="en-US" w:eastAsia="zh-CN"/>
        </w:rPr>
        <w:t>5</w:t>
      </w:r>
      <w:r>
        <w:rPr>
          <w:rFonts w:hint="eastAsia" w:ascii="宋体" w:hAnsi="宋体" w:cs="宋体"/>
          <w:kern w:val="0"/>
          <w:sz w:val="24"/>
          <w:highlight w:val="none"/>
        </w:rPr>
        <w:t>日09时</w:t>
      </w:r>
      <w:r>
        <w:rPr>
          <w:rFonts w:hint="eastAsia" w:ascii="宋体" w:hAnsi="宋体" w:cs="宋体"/>
          <w:kern w:val="0"/>
          <w:sz w:val="24"/>
          <w:highlight w:val="none"/>
          <w:lang w:val="en-US" w:eastAsia="zh-CN"/>
        </w:rPr>
        <w:t>30</w:t>
      </w:r>
      <w:r>
        <w:rPr>
          <w:rFonts w:hint="eastAsia" w:ascii="宋体" w:hAnsi="宋体" w:cs="宋体"/>
          <w:kern w:val="0"/>
          <w:sz w:val="24"/>
          <w:highlight w:val="none"/>
        </w:rPr>
        <w:t xml:space="preserve">分（北京时间） </w:t>
      </w:r>
    </w:p>
    <w:p w14:paraId="4DDDDD0C">
      <w:pPr>
        <w:widowControl/>
        <w:adjustRightInd w:val="0"/>
        <w:snapToGrid w:val="0"/>
        <w:spacing w:line="360" w:lineRule="auto"/>
        <w:ind w:firstLine="420"/>
        <w:jc w:val="left"/>
        <w:rPr>
          <w:rFonts w:ascii="宋体" w:hAnsi="宋体" w:cs="宋体"/>
          <w:kern w:val="0"/>
          <w:sz w:val="24"/>
          <w:highlight w:val="none"/>
        </w:rPr>
      </w:pPr>
      <w:r>
        <w:rPr>
          <w:rFonts w:hint="eastAsia" w:ascii="宋体" w:hAnsi="宋体" w:cs="宋体"/>
          <w:kern w:val="0"/>
          <w:sz w:val="24"/>
          <w:highlight w:val="none"/>
        </w:rPr>
        <w:t>2.地点：</w:t>
      </w:r>
      <w:r>
        <w:rPr>
          <w:rFonts w:hint="eastAsia" w:ascii="宋体" w:hAnsi="宋体" w:cs="宋体"/>
          <w:kern w:val="0"/>
          <w:sz w:val="24"/>
          <w:highlight w:val="none"/>
          <w:lang w:val="zh-CN"/>
        </w:rPr>
        <w:t>在投标截止时间前，通过原下载招标文件的电子交易系统按提示上传、提交投标文件。</w:t>
      </w:r>
      <w:r>
        <w:rPr>
          <w:rFonts w:hint="eastAsia" w:ascii="宋体" w:hAnsi="宋体" w:cs="宋体"/>
          <w:kern w:val="0"/>
          <w:sz w:val="24"/>
          <w:highlight w:val="none"/>
        </w:rPr>
        <w:t xml:space="preserve"> </w:t>
      </w:r>
    </w:p>
    <w:p w14:paraId="4D42DBAA">
      <w:pPr>
        <w:widowControl/>
        <w:adjustRightInd w:val="0"/>
        <w:snapToGrid w:val="0"/>
        <w:spacing w:line="360" w:lineRule="auto"/>
        <w:jc w:val="left"/>
        <w:outlineLvl w:val="1"/>
        <w:rPr>
          <w:rFonts w:ascii="宋体" w:hAnsi="宋体" w:cs="宋体"/>
          <w:kern w:val="0"/>
          <w:sz w:val="24"/>
          <w:highlight w:val="none"/>
        </w:rPr>
      </w:pPr>
      <w:bookmarkStart w:id="12" w:name="_Toc1825"/>
      <w:r>
        <w:rPr>
          <w:rFonts w:hint="eastAsia" w:ascii="宋体" w:hAnsi="宋体" w:cs="宋体"/>
          <w:kern w:val="0"/>
          <w:sz w:val="24"/>
          <w:highlight w:val="none"/>
        </w:rPr>
        <w:t>五、开标时间及地点</w:t>
      </w:r>
      <w:bookmarkEnd w:id="12"/>
      <w:r>
        <w:rPr>
          <w:rFonts w:hint="eastAsia" w:ascii="宋体" w:hAnsi="宋体" w:cs="宋体"/>
          <w:kern w:val="0"/>
          <w:sz w:val="24"/>
          <w:highlight w:val="none"/>
        </w:rPr>
        <w:t xml:space="preserve"> </w:t>
      </w:r>
    </w:p>
    <w:p w14:paraId="25ABD034">
      <w:pPr>
        <w:widowControl/>
        <w:adjustRightInd w:val="0"/>
        <w:snapToGrid w:val="0"/>
        <w:spacing w:line="360" w:lineRule="auto"/>
        <w:ind w:firstLine="420" w:firstLineChars="0"/>
        <w:jc w:val="left"/>
        <w:outlineLvl w:val="2"/>
        <w:rPr>
          <w:rFonts w:ascii="宋体" w:hAnsi="宋体" w:cs="宋体"/>
          <w:kern w:val="0"/>
          <w:sz w:val="24"/>
          <w:highlight w:val="none"/>
        </w:rPr>
      </w:pPr>
      <w:r>
        <w:rPr>
          <w:rFonts w:hint="eastAsia" w:ascii="宋体" w:hAnsi="宋体" w:cs="宋体"/>
          <w:kern w:val="0"/>
          <w:sz w:val="24"/>
          <w:highlight w:val="none"/>
        </w:rPr>
        <w:t>1.时间：202</w:t>
      </w:r>
      <w:r>
        <w:rPr>
          <w:rFonts w:hint="eastAsia" w:ascii="宋体" w:hAnsi="宋体" w:cs="宋体"/>
          <w:kern w:val="0"/>
          <w:sz w:val="24"/>
          <w:highlight w:val="none"/>
          <w:lang w:val="en-US" w:eastAsia="zh-CN"/>
        </w:rPr>
        <w:t>6</w:t>
      </w:r>
      <w:r>
        <w:rPr>
          <w:rFonts w:hint="eastAsia" w:ascii="宋体" w:hAnsi="宋体" w:cs="宋体"/>
          <w:kern w:val="0"/>
          <w:sz w:val="24"/>
          <w:highlight w:val="none"/>
        </w:rPr>
        <w:t>年</w:t>
      </w:r>
      <w:r>
        <w:rPr>
          <w:rFonts w:hint="eastAsia" w:ascii="宋体" w:hAnsi="宋体" w:cs="宋体"/>
          <w:kern w:val="0"/>
          <w:sz w:val="24"/>
          <w:highlight w:val="none"/>
          <w:lang w:val="en-US" w:eastAsia="zh-CN"/>
        </w:rPr>
        <w:t>11</w:t>
      </w:r>
      <w:r>
        <w:rPr>
          <w:rFonts w:hint="eastAsia" w:ascii="宋体" w:hAnsi="宋体" w:cs="宋体"/>
          <w:kern w:val="0"/>
          <w:sz w:val="24"/>
          <w:highlight w:val="none"/>
        </w:rPr>
        <w:t>月</w:t>
      </w:r>
      <w:r>
        <w:rPr>
          <w:rFonts w:hint="eastAsia" w:ascii="宋体" w:hAnsi="宋体" w:cs="宋体"/>
          <w:kern w:val="0"/>
          <w:sz w:val="24"/>
          <w:highlight w:val="none"/>
          <w:lang w:val="en-US" w:eastAsia="zh-CN"/>
        </w:rPr>
        <w:t>5</w:t>
      </w:r>
      <w:r>
        <w:rPr>
          <w:rFonts w:hint="eastAsia" w:ascii="宋体" w:hAnsi="宋体" w:cs="宋体"/>
          <w:kern w:val="0"/>
          <w:sz w:val="24"/>
          <w:highlight w:val="none"/>
        </w:rPr>
        <w:t>日09时</w:t>
      </w:r>
      <w:r>
        <w:rPr>
          <w:rFonts w:hint="eastAsia" w:ascii="宋体" w:hAnsi="宋体" w:cs="宋体"/>
          <w:kern w:val="0"/>
          <w:sz w:val="24"/>
          <w:highlight w:val="none"/>
          <w:lang w:val="en-US" w:eastAsia="zh-CN"/>
        </w:rPr>
        <w:t>30</w:t>
      </w:r>
      <w:r>
        <w:rPr>
          <w:rFonts w:hint="eastAsia" w:ascii="宋体" w:hAnsi="宋体" w:cs="宋体"/>
          <w:kern w:val="0"/>
          <w:sz w:val="24"/>
          <w:highlight w:val="none"/>
        </w:rPr>
        <w:t xml:space="preserve">分（北京时间） </w:t>
      </w:r>
    </w:p>
    <w:p w14:paraId="15A642CC">
      <w:pPr>
        <w:widowControl/>
        <w:adjustRightInd w:val="0"/>
        <w:snapToGrid w:val="0"/>
        <w:spacing w:line="360" w:lineRule="auto"/>
        <w:ind w:firstLine="420"/>
        <w:jc w:val="left"/>
        <w:rPr>
          <w:rFonts w:ascii="宋体" w:hAnsi="宋体" w:cs="宋体"/>
          <w:kern w:val="0"/>
          <w:sz w:val="24"/>
          <w:highlight w:val="none"/>
        </w:rPr>
      </w:pPr>
      <w:r>
        <w:rPr>
          <w:rFonts w:hint="eastAsia" w:ascii="宋体" w:hAnsi="宋体" w:cs="宋体"/>
          <w:kern w:val="0"/>
          <w:sz w:val="24"/>
          <w:highlight w:val="none"/>
        </w:rPr>
        <w:t>2.地点：《开封市公共资源交易信息网》（http://www.kfsggzyjyw.cn）</w:t>
      </w:r>
    </w:p>
    <w:p w14:paraId="7254EE25">
      <w:pPr>
        <w:widowControl/>
        <w:adjustRightInd w:val="0"/>
        <w:snapToGrid w:val="0"/>
        <w:spacing w:line="360" w:lineRule="auto"/>
        <w:jc w:val="left"/>
        <w:outlineLvl w:val="1"/>
        <w:rPr>
          <w:rFonts w:ascii="宋体" w:hAnsi="宋体" w:cs="宋体"/>
          <w:kern w:val="0"/>
          <w:sz w:val="24"/>
          <w:highlight w:val="none"/>
        </w:rPr>
      </w:pPr>
      <w:bookmarkStart w:id="13" w:name="_Toc12675"/>
      <w:r>
        <w:rPr>
          <w:rFonts w:hint="eastAsia" w:ascii="宋体" w:hAnsi="宋体" w:cs="宋体"/>
          <w:kern w:val="0"/>
          <w:sz w:val="24"/>
          <w:highlight w:val="none"/>
        </w:rPr>
        <w:t>六、发布公告的媒介及招标公告期限</w:t>
      </w:r>
      <w:bookmarkEnd w:id="13"/>
      <w:r>
        <w:rPr>
          <w:rFonts w:hint="eastAsia" w:ascii="宋体" w:hAnsi="宋体" w:cs="宋体"/>
          <w:kern w:val="0"/>
          <w:sz w:val="24"/>
          <w:highlight w:val="none"/>
        </w:rPr>
        <w:t xml:space="preserve"> </w:t>
      </w:r>
    </w:p>
    <w:p w14:paraId="43609184">
      <w:pPr>
        <w:widowControl/>
        <w:adjustRightInd w:val="0"/>
        <w:snapToGrid w:val="0"/>
        <w:spacing w:line="360" w:lineRule="auto"/>
        <w:ind w:firstLine="420"/>
        <w:jc w:val="left"/>
        <w:rPr>
          <w:rFonts w:ascii="宋体" w:hAnsi="宋体" w:cs="宋体"/>
          <w:kern w:val="0"/>
          <w:sz w:val="24"/>
          <w:highlight w:val="none"/>
        </w:rPr>
      </w:pPr>
      <w:r>
        <w:rPr>
          <w:rFonts w:hint="eastAsia" w:ascii="宋体" w:hAnsi="宋体" w:cs="宋体"/>
          <w:kern w:val="0"/>
          <w:sz w:val="24"/>
          <w:highlight w:val="none"/>
        </w:rPr>
        <w:t xml:space="preserve">本次招标公告在《河南省政府采购网》《开封市公共资源交易信息网》上发布。招标公告期限为五个工作日。  </w:t>
      </w:r>
    </w:p>
    <w:p w14:paraId="79AC3F3D">
      <w:pPr>
        <w:widowControl/>
        <w:adjustRightInd w:val="0"/>
        <w:snapToGrid w:val="0"/>
        <w:spacing w:line="360" w:lineRule="auto"/>
        <w:jc w:val="left"/>
        <w:outlineLvl w:val="1"/>
        <w:rPr>
          <w:rFonts w:ascii="宋体" w:hAnsi="宋体" w:cs="宋体"/>
          <w:kern w:val="0"/>
          <w:sz w:val="24"/>
          <w:highlight w:val="none"/>
        </w:rPr>
      </w:pPr>
      <w:bookmarkStart w:id="14" w:name="_Toc23150"/>
      <w:r>
        <w:rPr>
          <w:rFonts w:hint="eastAsia" w:ascii="宋体" w:hAnsi="宋体" w:cs="宋体"/>
          <w:kern w:val="0"/>
          <w:sz w:val="24"/>
          <w:highlight w:val="none"/>
        </w:rPr>
        <w:t>七、其他补充事宜</w:t>
      </w:r>
      <w:bookmarkEnd w:id="14"/>
      <w:r>
        <w:rPr>
          <w:rFonts w:hint="eastAsia" w:ascii="宋体" w:hAnsi="宋体" w:cs="宋体"/>
          <w:kern w:val="0"/>
          <w:sz w:val="24"/>
          <w:highlight w:val="none"/>
        </w:rPr>
        <w:t xml:space="preserve"> </w:t>
      </w:r>
    </w:p>
    <w:p w14:paraId="4BFCD4EF">
      <w:pPr>
        <w:widowControl/>
        <w:adjustRightInd w:val="0"/>
        <w:snapToGrid w:val="0"/>
        <w:spacing w:line="360" w:lineRule="auto"/>
        <w:ind w:firstLine="480" w:firstLineChars="200"/>
        <w:jc w:val="left"/>
        <w:rPr>
          <w:rFonts w:ascii="宋体" w:hAnsi="宋体" w:cs="宋体"/>
          <w:kern w:val="0"/>
          <w:sz w:val="24"/>
          <w:highlight w:val="none"/>
        </w:rPr>
      </w:pPr>
      <w:r>
        <w:rPr>
          <w:rFonts w:hint="eastAsia" w:ascii="宋体" w:hAnsi="宋体" w:cs="宋体"/>
          <w:kern w:val="0"/>
          <w:sz w:val="24"/>
          <w:highlight w:val="none"/>
        </w:rPr>
        <w:t>1、供应商须提前注册成为《开封市公共资源交易信息网》会员并取得CA密钥（登录网站首页&gt;办事指南&gt;数字证书），已办理的请确保在有效期内，需更新的请联系CA服务机构。</w:t>
      </w:r>
    </w:p>
    <w:p w14:paraId="20A74F84">
      <w:pPr>
        <w:widowControl/>
        <w:adjustRightInd w:val="0"/>
        <w:snapToGrid w:val="0"/>
        <w:spacing w:line="360" w:lineRule="auto"/>
        <w:ind w:firstLine="480" w:firstLineChars="200"/>
        <w:jc w:val="left"/>
        <w:rPr>
          <w:rFonts w:hint="eastAsia" w:ascii="宋体" w:hAnsi="宋体" w:cs="宋体"/>
          <w:kern w:val="0"/>
          <w:sz w:val="24"/>
          <w:highlight w:val="none"/>
        </w:rPr>
      </w:pPr>
      <w:r>
        <w:rPr>
          <w:rFonts w:hint="eastAsia" w:ascii="宋体" w:hAnsi="宋体" w:cs="宋体"/>
          <w:kern w:val="0"/>
          <w:sz w:val="24"/>
          <w:highlight w:val="none"/>
        </w:rPr>
        <w:t>2、供应商应当充分熟悉该电子交易系统相关操作规则、要求、流程，知晓因未严格按操作手册要求和系统提示进行操作可能会出现不确定的异常情况，愿意承担电子招投标可能产生的风险。在投标过程中涉及系统平台操作的技术问题，可联系交易平台技术方咨询，</w:t>
      </w:r>
      <w:r>
        <w:rPr>
          <w:rFonts w:hint="eastAsia" w:ascii="宋体" w:hAnsi="宋体" w:cs="宋体"/>
          <w:kern w:val="0"/>
          <w:sz w:val="24"/>
          <w:highlight w:val="none"/>
          <w:lang w:val="en-US" w:eastAsia="zh-CN"/>
        </w:rPr>
        <w:t>联系方式</w:t>
      </w:r>
      <w:r>
        <w:rPr>
          <w:rFonts w:hint="eastAsia" w:ascii="宋体" w:hAnsi="宋体" w:cs="宋体"/>
          <w:kern w:val="0"/>
          <w:sz w:val="24"/>
          <w:highlight w:val="none"/>
        </w:rPr>
        <w:t>：0371-23859291；采购人及采购中心仅作为平台使用方不负责解决技术问题。</w:t>
      </w:r>
    </w:p>
    <w:p w14:paraId="7DF7B730">
      <w:pPr>
        <w:widowControl/>
        <w:adjustRightInd w:val="0"/>
        <w:snapToGrid w:val="0"/>
        <w:spacing w:line="360" w:lineRule="auto"/>
        <w:ind w:firstLine="480" w:firstLineChars="200"/>
        <w:jc w:val="left"/>
        <w:rPr>
          <w:rFonts w:hint="eastAsia" w:ascii="宋体" w:hAnsi="宋体" w:cs="宋体"/>
          <w:kern w:val="0"/>
          <w:sz w:val="24"/>
          <w:highlight w:val="none"/>
        </w:rPr>
      </w:pPr>
      <w:r>
        <w:rPr>
          <w:rFonts w:hint="eastAsia" w:ascii="宋体" w:hAnsi="宋体" w:cs="宋体"/>
          <w:kern w:val="0"/>
          <w:sz w:val="24"/>
          <w:highlight w:val="none"/>
          <w:lang w:val="en-US" w:eastAsia="zh-CN"/>
        </w:rPr>
        <w:t>3、监督单位名称：开封市财政局政府采购监督管理办公室 联系方式：0371-23876034</w:t>
      </w:r>
    </w:p>
    <w:p w14:paraId="320787EE">
      <w:pPr>
        <w:widowControl/>
        <w:adjustRightInd w:val="0"/>
        <w:snapToGrid w:val="0"/>
        <w:spacing w:line="360" w:lineRule="auto"/>
        <w:jc w:val="left"/>
        <w:outlineLvl w:val="1"/>
        <w:rPr>
          <w:rFonts w:ascii="宋体" w:hAnsi="宋体" w:cs="宋体"/>
          <w:kern w:val="0"/>
          <w:sz w:val="24"/>
          <w:highlight w:val="none"/>
        </w:rPr>
      </w:pPr>
      <w:bookmarkStart w:id="15" w:name="_Toc16168"/>
      <w:r>
        <w:rPr>
          <w:rFonts w:hint="eastAsia" w:ascii="宋体" w:hAnsi="宋体" w:cs="宋体"/>
          <w:kern w:val="0"/>
          <w:sz w:val="24"/>
          <w:highlight w:val="none"/>
        </w:rPr>
        <w:t>八、凡对本次招标提出询问，请按照以下方式联系</w:t>
      </w:r>
      <w:bookmarkEnd w:id="15"/>
      <w:r>
        <w:rPr>
          <w:rFonts w:hint="eastAsia" w:ascii="宋体" w:hAnsi="宋体" w:cs="宋体"/>
          <w:kern w:val="0"/>
          <w:sz w:val="24"/>
          <w:highlight w:val="none"/>
        </w:rPr>
        <w:t xml:space="preserve"> </w:t>
      </w:r>
    </w:p>
    <w:p w14:paraId="110178B2">
      <w:pPr>
        <w:widowControl/>
        <w:adjustRightInd w:val="0"/>
        <w:snapToGrid w:val="0"/>
        <w:spacing w:line="360" w:lineRule="auto"/>
        <w:ind w:firstLine="420" w:firstLineChars="0"/>
        <w:jc w:val="left"/>
        <w:outlineLvl w:val="2"/>
        <w:rPr>
          <w:rFonts w:ascii="宋体" w:hAnsi="宋体" w:cs="宋体"/>
          <w:kern w:val="0"/>
          <w:sz w:val="24"/>
          <w:highlight w:val="none"/>
        </w:rPr>
      </w:pPr>
      <w:r>
        <w:rPr>
          <w:rFonts w:hint="eastAsia" w:ascii="宋体" w:hAnsi="宋体" w:cs="宋体"/>
          <w:kern w:val="0"/>
          <w:sz w:val="24"/>
          <w:highlight w:val="none"/>
        </w:rPr>
        <w:t xml:space="preserve">1. 采购人信息 </w:t>
      </w:r>
    </w:p>
    <w:p w14:paraId="291AD151">
      <w:pPr>
        <w:widowControl/>
        <w:adjustRightInd w:val="0"/>
        <w:snapToGrid w:val="0"/>
        <w:spacing w:line="360" w:lineRule="auto"/>
        <w:ind w:left="420" w:firstLine="420" w:firstLineChars="0"/>
        <w:jc w:val="left"/>
        <w:rPr>
          <w:rFonts w:ascii="宋体" w:hAnsi="宋体" w:eastAsia="宋体" w:cs="宋体"/>
          <w:kern w:val="0"/>
          <w:sz w:val="24"/>
          <w:lang w:val="en-US"/>
        </w:rPr>
      </w:pPr>
      <w:r>
        <w:rPr>
          <w:rFonts w:hint="eastAsia" w:ascii="宋体" w:hAnsi="宋体" w:eastAsia="宋体" w:cs="宋体"/>
          <w:kern w:val="0"/>
          <w:sz w:val="24"/>
          <w:lang w:val="en-US"/>
        </w:rPr>
        <w:t xml:space="preserve">名称：开封市行政审批和政务信息管理局 </w:t>
      </w:r>
    </w:p>
    <w:p w14:paraId="69A4468F">
      <w:pPr>
        <w:widowControl/>
        <w:adjustRightInd w:val="0"/>
        <w:snapToGrid w:val="0"/>
        <w:spacing w:line="360" w:lineRule="auto"/>
        <w:ind w:left="420" w:firstLine="420" w:firstLineChars="0"/>
        <w:jc w:val="left"/>
        <w:rPr>
          <w:rFonts w:ascii="宋体" w:hAnsi="宋体" w:eastAsia="宋体" w:cs="宋体"/>
          <w:kern w:val="0"/>
          <w:sz w:val="24"/>
          <w:lang w:val="en-US"/>
        </w:rPr>
      </w:pPr>
      <w:r>
        <w:rPr>
          <w:rFonts w:hint="eastAsia" w:ascii="宋体" w:hAnsi="宋体" w:eastAsia="宋体" w:cs="宋体"/>
          <w:kern w:val="0"/>
          <w:sz w:val="24"/>
          <w:lang w:val="en-US"/>
        </w:rPr>
        <w:t>地址：</w:t>
      </w:r>
      <w:r>
        <w:rPr>
          <w:rFonts w:hint="eastAsia" w:ascii="宋体" w:hAnsi="宋体" w:eastAsia="宋体" w:cs="宋体"/>
          <w:kern w:val="0"/>
          <w:sz w:val="24"/>
          <w:lang w:val="en-US" w:eastAsia="zh-CN"/>
        </w:rPr>
        <w:t>开封市民之家6楼东头向北6002</w:t>
      </w:r>
      <w:r>
        <w:rPr>
          <w:rFonts w:hint="eastAsia" w:ascii="宋体" w:hAnsi="宋体" w:eastAsia="宋体" w:cs="宋体"/>
          <w:kern w:val="0"/>
          <w:sz w:val="24"/>
          <w:lang w:val="en-US"/>
        </w:rPr>
        <w:t xml:space="preserve">  </w:t>
      </w:r>
    </w:p>
    <w:p w14:paraId="7482886C">
      <w:pPr>
        <w:widowControl/>
        <w:adjustRightInd w:val="0"/>
        <w:snapToGrid w:val="0"/>
        <w:spacing w:line="360" w:lineRule="auto"/>
        <w:ind w:left="420" w:firstLine="420" w:firstLineChars="0"/>
        <w:jc w:val="left"/>
        <w:rPr>
          <w:rFonts w:ascii="宋体" w:hAnsi="宋体" w:eastAsia="宋体" w:cs="宋体"/>
          <w:kern w:val="0"/>
          <w:sz w:val="24"/>
          <w:lang w:val="en-US"/>
        </w:rPr>
      </w:pPr>
      <w:r>
        <w:rPr>
          <w:rFonts w:hint="eastAsia" w:ascii="宋体" w:hAnsi="宋体" w:eastAsia="宋体" w:cs="宋体"/>
          <w:kern w:val="0"/>
          <w:sz w:val="24"/>
          <w:lang w:val="en-US"/>
        </w:rPr>
        <w:t>联系人：</w:t>
      </w:r>
      <w:r>
        <w:rPr>
          <w:rFonts w:hint="eastAsia" w:ascii="宋体" w:hAnsi="宋体" w:eastAsia="宋体" w:cs="宋体"/>
          <w:kern w:val="0"/>
          <w:sz w:val="24"/>
          <w:lang w:val="en-US" w:eastAsia="zh-CN"/>
        </w:rPr>
        <w:t>孟女士</w:t>
      </w:r>
      <w:r>
        <w:rPr>
          <w:rFonts w:hint="eastAsia" w:ascii="宋体" w:hAnsi="宋体" w:eastAsia="宋体" w:cs="宋体"/>
          <w:kern w:val="0"/>
          <w:sz w:val="24"/>
          <w:lang w:val="en-US"/>
        </w:rPr>
        <w:t xml:space="preserve">  </w:t>
      </w:r>
    </w:p>
    <w:p w14:paraId="316444A6">
      <w:pPr>
        <w:widowControl/>
        <w:adjustRightInd w:val="0"/>
        <w:snapToGrid w:val="0"/>
        <w:spacing w:line="360" w:lineRule="auto"/>
        <w:ind w:left="420" w:firstLine="420"/>
        <w:jc w:val="left"/>
        <w:rPr>
          <w:rFonts w:ascii="宋体" w:hAnsi="宋体" w:cs="宋体"/>
          <w:kern w:val="0"/>
          <w:sz w:val="24"/>
          <w:highlight w:val="none"/>
        </w:rPr>
      </w:pPr>
      <w:r>
        <w:rPr>
          <w:rFonts w:hint="eastAsia" w:ascii="宋体" w:hAnsi="宋体" w:eastAsia="宋体" w:cs="宋体"/>
          <w:kern w:val="0"/>
          <w:sz w:val="24"/>
          <w:lang w:val="en-US"/>
        </w:rPr>
        <w:t>联系方式：</w:t>
      </w:r>
      <w:r>
        <w:rPr>
          <w:rFonts w:hint="eastAsia" w:ascii="宋体" w:hAnsi="宋体" w:eastAsia="宋体" w:cs="宋体"/>
          <w:kern w:val="0"/>
          <w:sz w:val="24"/>
          <w:lang w:val="en-US" w:eastAsia="zh-CN"/>
        </w:rPr>
        <w:t>0371-22833526</w:t>
      </w:r>
      <w:r>
        <w:rPr>
          <w:rFonts w:hint="eastAsia" w:ascii="宋体" w:hAnsi="宋体" w:cs="宋体"/>
          <w:kern w:val="0"/>
          <w:sz w:val="24"/>
          <w:highlight w:val="none"/>
        </w:rPr>
        <w:t xml:space="preserve">  </w:t>
      </w:r>
    </w:p>
    <w:p w14:paraId="377D7E6F">
      <w:pPr>
        <w:widowControl/>
        <w:adjustRightInd w:val="0"/>
        <w:snapToGrid w:val="0"/>
        <w:spacing w:line="360" w:lineRule="auto"/>
        <w:ind w:firstLine="420" w:firstLineChars="0"/>
        <w:jc w:val="left"/>
        <w:outlineLvl w:val="2"/>
        <w:rPr>
          <w:rFonts w:ascii="宋体" w:hAnsi="宋体" w:cs="宋体"/>
          <w:kern w:val="0"/>
          <w:sz w:val="24"/>
          <w:highlight w:val="none"/>
        </w:rPr>
      </w:pPr>
      <w:r>
        <w:rPr>
          <w:rFonts w:hint="eastAsia" w:ascii="宋体" w:hAnsi="宋体" w:cs="宋体"/>
          <w:kern w:val="0"/>
          <w:sz w:val="24"/>
          <w:highlight w:val="none"/>
        </w:rPr>
        <w:t xml:space="preserve">2.采购代理机构信息 </w:t>
      </w:r>
    </w:p>
    <w:p w14:paraId="7CCEA351">
      <w:pPr>
        <w:widowControl/>
        <w:adjustRightInd w:val="0"/>
        <w:snapToGrid w:val="0"/>
        <w:spacing w:line="360" w:lineRule="auto"/>
        <w:ind w:left="420" w:firstLine="420" w:firstLineChars="0"/>
        <w:jc w:val="left"/>
        <w:rPr>
          <w:rFonts w:ascii="宋体" w:hAnsi="宋体" w:eastAsia="宋体" w:cs="宋体"/>
          <w:kern w:val="0"/>
          <w:sz w:val="24"/>
          <w:lang w:val="en-US"/>
        </w:rPr>
      </w:pPr>
      <w:r>
        <w:rPr>
          <w:rFonts w:hint="eastAsia" w:ascii="宋体" w:hAnsi="宋体" w:eastAsia="宋体" w:cs="宋体"/>
          <w:kern w:val="0"/>
          <w:sz w:val="24"/>
          <w:lang w:val="en-US"/>
        </w:rPr>
        <w:t xml:space="preserve">名称：开封市政府采购中心 </w:t>
      </w:r>
    </w:p>
    <w:p w14:paraId="48603A12">
      <w:pPr>
        <w:widowControl/>
        <w:adjustRightInd w:val="0"/>
        <w:snapToGrid w:val="0"/>
        <w:spacing w:line="360" w:lineRule="auto"/>
        <w:ind w:left="420" w:firstLine="420" w:firstLineChars="0"/>
        <w:jc w:val="left"/>
        <w:rPr>
          <w:rFonts w:ascii="宋体" w:hAnsi="宋体" w:eastAsia="宋体" w:cs="宋体"/>
          <w:kern w:val="0"/>
          <w:sz w:val="24"/>
          <w:lang w:val="en-US"/>
        </w:rPr>
      </w:pPr>
      <w:r>
        <w:rPr>
          <w:rFonts w:hint="eastAsia" w:ascii="宋体" w:hAnsi="宋体" w:eastAsia="宋体" w:cs="宋体"/>
          <w:kern w:val="0"/>
          <w:sz w:val="24"/>
          <w:lang w:val="en-US"/>
        </w:rPr>
        <w:t xml:space="preserve">地址：开封市民之家6楼西头向北6067房间 </w:t>
      </w:r>
    </w:p>
    <w:p w14:paraId="15DD1AD4">
      <w:pPr>
        <w:widowControl/>
        <w:adjustRightInd w:val="0"/>
        <w:snapToGrid w:val="0"/>
        <w:spacing w:line="360" w:lineRule="auto"/>
        <w:ind w:left="420" w:firstLine="420" w:firstLineChars="0"/>
        <w:jc w:val="left"/>
        <w:rPr>
          <w:rFonts w:ascii="宋体" w:hAnsi="宋体" w:eastAsia="宋体" w:cs="宋体"/>
          <w:kern w:val="0"/>
          <w:sz w:val="24"/>
          <w:lang w:val="en-US"/>
        </w:rPr>
      </w:pPr>
      <w:r>
        <w:rPr>
          <w:rFonts w:hint="eastAsia" w:ascii="宋体" w:hAnsi="宋体" w:eastAsia="宋体" w:cs="宋体"/>
          <w:kern w:val="0"/>
          <w:sz w:val="24"/>
          <w:lang w:val="en-US"/>
        </w:rPr>
        <w:t>联系人：</w:t>
      </w:r>
      <w:r>
        <w:rPr>
          <w:rFonts w:hint="eastAsia" w:ascii="宋体" w:hAnsi="宋体" w:eastAsia="宋体" w:cs="宋体"/>
          <w:kern w:val="0"/>
          <w:sz w:val="24"/>
          <w:lang w:val="en-US" w:eastAsia="zh-CN"/>
        </w:rPr>
        <w:t>张先生</w:t>
      </w:r>
      <w:r>
        <w:rPr>
          <w:rFonts w:hint="eastAsia" w:ascii="宋体" w:hAnsi="宋体" w:eastAsia="宋体" w:cs="宋体"/>
          <w:kern w:val="0"/>
          <w:sz w:val="24"/>
          <w:lang w:val="en-US"/>
        </w:rPr>
        <w:t xml:space="preserve">  </w:t>
      </w:r>
    </w:p>
    <w:p w14:paraId="3AD30B0F">
      <w:pPr>
        <w:widowControl/>
        <w:adjustRightInd w:val="0"/>
        <w:snapToGrid w:val="0"/>
        <w:spacing w:line="360" w:lineRule="auto"/>
        <w:ind w:left="420" w:firstLine="420"/>
        <w:jc w:val="left"/>
        <w:rPr>
          <w:rFonts w:ascii="宋体" w:hAnsi="宋体" w:cs="宋体"/>
          <w:kern w:val="0"/>
          <w:sz w:val="24"/>
          <w:highlight w:val="none"/>
        </w:rPr>
      </w:pPr>
      <w:r>
        <w:rPr>
          <w:rFonts w:hint="eastAsia" w:ascii="宋体" w:hAnsi="宋体" w:eastAsia="宋体" w:cs="宋体"/>
          <w:kern w:val="0"/>
          <w:sz w:val="24"/>
          <w:lang w:val="en-US"/>
        </w:rPr>
        <w:t>联系方式：0371—23856102  23856103</w:t>
      </w:r>
    </w:p>
    <w:p w14:paraId="25A93D4F">
      <w:pPr>
        <w:widowControl/>
        <w:adjustRightInd w:val="0"/>
        <w:snapToGrid w:val="0"/>
        <w:spacing w:line="360" w:lineRule="auto"/>
        <w:ind w:firstLine="420" w:firstLineChars="0"/>
        <w:jc w:val="left"/>
        <w:outlineLvl w:val="2"/>
        <w:rPr>
          <w:rFonts w:ascii="宋体" w:hAnsi="宋体" w:cs="宋体"/>
          <w:kern w:val="0"/>
          <w:sz w:val="24"/>
          <w:highlight w:val="none"/>
        </w:rPr>
      </w:pPr>
      <w:r>
        <w:rPr>
          <w:rFonts w:hint="eastAsia" w:ascii="宋体" w:hAnsi="宋体" w:cs="宋体"/>
          <w:kern w:val="0"/>
          <w:sz w:val="24"/>
          <w:highlight w:val="none"/>
        </w:rPr>
        <w:t xml:space="preserve">3.项目联系方式 </w:t>
      </w:r>
    </w:p>
    <w:p w14:paraId="6CE731A5">
      <w:pPr>
        <w:widowControl/>
        <w:adjustRightInd w:val="0"/>
        <w:snapToGrid w:val="0"/>
        <w:spacing w:line="360" w:lineRule="auto"/>
        <w:ind w:left="420" w:firstLine="420"/>
        <w:jc w:val="left"/>
        <w:rPr>
          <w:rFonts w:ascii="宋体" w:hAnsi="宋体" w:cs="宋体"/>
          <w:kern w:val="0"/>
          <w:sz w:val="24"/>
          <w:highlight w:val="none"/>
        </w:rPr>
      </w:pPr>
      <w:r>
        <w:rPr>
          <w:rFonts w:hint="eastAsia" w:ascii="宋体" w:hAnsi="宋体" w:cs="宋体"/>
          <w:kern w:val="0"/>
          <w:sz w:val="24"/>
          <w:highlight w:val="none"/>
        </w:rPr>
        <w:t>项目联系人：</w:t>
      </w:r>
      <w:r>
        <w:rPr>
          <w:rFonts w:hint="eastAsia" w:ascii="宋体" w:hAnsi="宋体" w:eastAsia="宋体" w:cs="宋体"/>
          <w:kern w:val="0"/>
          <w:sz w:val="24"/>
          <w:lang w:val="en-US" w:eastAsia="zh-CN"/>
        </w:rPr>
        <w:t>张先生</w:t>
      </w:r>
      <w:r>
        <w:rPr>
          <w:rFonts w:hint="eastAsia" w:ascii="宋体" w:hAnsi="宋体" w:cs="宋体"/>
          <w:kern w:val="0"/>
          <w:sz w:val="24"/>
          <w:highlight w:val="none"/>
        </w:rPr>
        <w:t xml:space="preserve">  </w:t>
      </w:r>
    </w:p>
    <w:p w14:paraId="29D974C8">
      <w:pPr>
        <w:widowControl/>
        <w:adjustRightInd w:val="0"/>
        <w:snapToGrid w:val="0"/>
        <w:spacing w:line="360" w:lineRule="auto"/>
        <w:ind w:left="420" w:firstLine="420"/>
        <w:jc w:val="left"/>
        <w:rPr>
          <w:rFonts w:ascii="宋体" w:hAnsi="宋体" w:cs="宋体"/>
          <w:kern w:val="0"/>
          <w:sz w:val="24"/>
          <w:highlight w:val="none"/>
        </w:rPr>
      </w:pPr>
      <w:r>
        <w:rPr>
          <w:rFonts w:hint="eastAsia" w:ascii="宋体" w:hAnsi="宋体" w:cs="宋体"/>
          <w:kern w:val="0"/>
          <w:sz w:val="24"/>
          <w:highlight w:val="none"/>
        </w:rPr>
        <w:t>联系方式：</w:t>
      </w:r>
      <w:r>
        <w:rPr>
          <w:rFonts w:hint="eastAsia" w:ascii="宋体" w:hAnsi="宋体" w:eastAsia="宋体" w:cs="宋体"/>
          <w:kern w:val="0"/>
          <w:sz w:val="24"/>
          <w:lang w:val="en-US"/>
        </w:rPr>
        <w:t>0371—23856102  23856103</w:t>
      </w:r>
    </w:p>
    <w:p w14:paraId="4C2A566F">
      <w:pPr>
        <w:widowControl/>
        <w:adjustRightInd w:val="0"/>
        <w:snapToGrid w:val="0"/>
        <w:spacing w:line="360" w:lineRule="auto"/>
        <w:ind w:left="420" w:firstLine="420"/>
        <w:jc w:val="left"/>
        <w:rPr>
          <w:rFonts w:ascii="宋体" w:hAnsi="宋体" w:cs="宋体"/>
          <w:kern w:val="0"/>
          <w:sz w:val="24"/>
          <w:highlight w:val="none"/>
        </w:rPr>
      </w:pPr>
      <w:r>
        <w:rPr>
          <w:rFonts w:hint="eastAsia" w:ascii="宋体" w:hAnsi="宋体" w:cs="宋体"/>
          <w:kern w:val="0"/>
          <w:sz w:val="24"/>
          <w:highlight w:val="none"/>
        </w:rPr>
        <w:t xml:space="preserve">  </w:t>
      </w:r>
    </w:p>
    <w:p w14:paraId="6DC27804">
      <w:pPr>
        <w:spacing w:line="312" w:lineRule="auto"/>
        <w:ind w:firstLine="421"/>
        <w:rPr>
          <w:rFonts w:ascii="宋体" w:hAnsi="宋体"/>
          <w:sz w:val="24"/>
          <w:highlight w:val="none"/>
          <w:lang w:val="zh-CN"/>
        </w:rPr>
      </w:pPr>
    </w:p>
    <w:p w14:paraId="171E2CF9">
      <w:pPr>
        <w:pStyle w:val="2"/>
        <w:jc w:val="center"/>
        <w:rPr>
          <w:rFonts w:ascii="宋体" w:hAnsi="宋体"/>
          <w:highlight w:val="none"/>
        </w:rPr>
      </w:pPr>
      <w:bookmarkStart w:id="16" w:name="_Toc3179"/>
      <w:bookmarkStart w:id="17" w:name="_Toc152045527"/>
      <w:bookmarkStart w:id="18" w:name="_Toc179632544"/>
      <w:bookmarkStart w:id="19" w:name="_Toc346523400"/>
      <w:bookmarkStart w:id="20" w:name="_Toc247085687"/>
      <w:bookmarkStart w:id="21" w:name="_Toc28703"/>
      <w:bookmarkStart w:id="22" w:name="_Toc8884"/>
      <w:bookmarkStart w:id="23" w:name="_Toc338840479"/>
      <w:bookmarkStart w:id="24" w:name="_Toc338840185"/>
      <w:bookmarkStart w:id="25" w:name="_Toc494526399"/>
      <w:bookmarkStart w:id="26" w:name="_Toc494093427"/>
      <w:bookmarkStart w:id="27" w:name="_Toc346523463"/>
      <w:bookmarkStart w:id="28" w:name="_Toc246996916"/>
      <w:bookmarkStart w:id="29" w:name="_Toc152042303"/>
      <w:bookmarkStart w:id="30" w:name="_Toc246996173"/>
      <w:bookmarkStart w:id="31" w:name="_Toc338840440"/>
      <w:bookmarkStart w:id="32" w:name="_Toc144974495"/>
      <w:r>
        <w:rPr>
          <w:rFonts w:hint="eastAsia" w:ascii="宋体" w:hAnsi="宋体"/>
          <w:highlight w:val="none"/>
        </w:rPr>
        <w:br w:type="page"/>
      </w:r>
      <w:bookmarkStart w:id="33" w:name="_Toc6588"/>
      <w:bookmarkStart w:id="34" w:name="_Toc11131"/>
      <w:bookmarkStart w:id="35" w:name="_Toc13151"/>
      <w:r>
        <w:rPr>
          <w:rFonts w:hint="eastAsia" w:ascii="宋体" w:hAnsi="宋体"/>
          <w:highlight w:val="none"/>
        </w:rPr>
        <w:t>第二章 供应商须知</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14:paraId="22519E02">
      <w:pPr>
        <w:pStyle w:val="3"/>
        <w:jc w:val="center"/>
        <w:outlineLvl w:val="1"/>
        <w:rPr>
          <w:rFonts w:ascii="宋体" w:hAnsi="宋体" w:eastAsia="宋体"/>
          <w:highlight w:val="none"/>
        </w:rPr>
      </w:pPr>
      <w:bookmarkStart w:id="36" w:name="_Toc494093428"/>
      <w:bookmarkStart w:id="37" w:name="_Toc346523464"/>
      <w:bookmarkStart w:id="38" w:name="_Toc246996917"/>
      <w:bookmarkStart w:id="39" w:name="_Toc23185"/>
      <w:bookmarkStart w:id="40" w:name="_Toc346523401"/>
      <w:bookmarkStart w:id="41" w:name="_Toc179632545"/>
      <w:bookmarkStart w:id="42" w:name="_Toc338840480"/>
      <w:bookmarkStart w:id="43" w:name="_Toc152045528"/>
      <w:bookmarkStart w:id="44" w:name="_Toc11060"/>
      <w:bookmarkStart w:id="45" w:name="_Toc152042304"/>
      <w:bookmarkStart w:id="46" w:name="_Toc18612"/>
      <w:bookmarkStart w:id="47" w:name="_Toc18929"/>
      <w:bookmarkStart w:id="48" w:name="_Toc246996174"/>
      <w:bookmarkStart w:id="49" w:name="_Toc338840186"/>
      <w:bookmarkStart w:id="50" w:name="_Toc338840441"/>
      <w:bookmarkStart w:id="51" w:name="_Toc18827"/>
      <w:bookmarkStart w:id="52" w:name="_Toc247085688"/>
      <w:bookmarkStart w:id="53" w:name="_Toc11304"/>
      <w:bookmarkStart w:id="54" w:name="_Toc494526400"/>
      <w:bookmarkStart w:id="55" w:name="_Toc144974496"/>
      <w:r>
        <w:rPr>
          <w:rFonts w:hint="eastAsia" w:ascii="宋体" w:hAnsi="宋体" w:eastAsia="宋体"/>
          <w:highlight w:val="none"/>
        </w:rPr>
        <w:t>供应商须知前附表</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2A20D408">
      <w:pPr>
        <w:rPr>
          <w:rFonts w:ascii="宋体" w:hAnsi="宋体"/>
          <w:highlight w:val="none"/>
        </w:rPr>
      </w:pPr>
      <w:r>
        <w:rPr>
          <w:rFonts w:hint="eastAsia" w:ascii="宋体" w:hAnsi="宋体"/>
          <w:highlight w:val="none"/>
        </w:rPr>
        <w:t>注：本供应商须知前附表内容与供应商须知正文内容不一致时以本前附表内容为准。</w:t>
      </w:r>
    </w:p>
    <w:tbl>
      <w:tblPr>
        <w:tblStyle w:val="34"/>
        <w:tblW w:w="0" w:type="auto"/>
        <w:tblInd w:w="0" w:type="dxa"/>
        <w:tblLayout w:type="fixed"/>
        <w:tblCellMar>
          <w:top w:w="0" w:type="dxa"/>
          <w:left w:w="108" w:type="dxa"/>
          <w:bottom w:w="0" w:type="dxa"/>
          <w:right w:w="108" w:type="dxa"/>
        </w:tblCellMar>
      </w:tblPr>
      <w:tblGrid>
        <w:gridCol w:w="1008"/>
        <w:gridCol w:w="1980"/>
        <w:gridCol w:w="5534"/>
      </w:tblGrid>
      <w:tr w14:paraId="0F0E3960">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623E97F2">
            <w:pPr>
              <w:spacing w:line="440" w:lineRule="atLeast"/>
              <w:jc w:val="center"/>
              <w:rPr>
                <w:rFonts w:ascii="宋体" w:hAnsi="宋体"/>
                <w:b/>
                <w:szCs w:val="21"/>
                <w:highlight w:val="none"/>
              </w:rPr>
            </w:pPr>
            <w:r>
              <w:rPr>
                <w:rFonts w:ascii="宋体" w:hAnsi="宋体"/>
                <w:b/>
                <w:szCs w:val="21"/>
                <w:highlight w:val="none"/>
              </w:rPr>
              <w:t>条款号</w:t>
            </w:r>
          </w:p>
        </w:tc>
        <w:tc>
          <w:tcPr>
            <w:tcW w:w="1980" w:type="dxa"/>
            <w:tcBorders>
              <w:top w:val="single" w:color="auto" w:sz="4" w:space="0"/>
              <w:left w:val="single" w:color="auto" w:sz="4" w:space="0"/>
              <w:bottom w:val="single" w:color="auto" w:sz="4" w:space="0"/>
              <w:right w:val="single" w:color="auto" w:sz="4" w:space="0"/>
            </w:tcBorders>
            <w:vAlign w:val="center"/>
          </w:tcPr>
          <w:p w14:paraId="32BF276A">
            <w:pPr>
              <w:spacing w:line="440" w:lineRule="atLeast"/>
              <w:jc w:val="center"/>
              <w:rPr>
                <w:rFonts w:ascii="宋体" w:hAnsi="宋体"/>
                <w:b/>
                <w:szCs w:val="21"/>
                <w:highlight w:val="none"/>
              </w:rPr>
            </w:pPr>
            <w:r>
              <w:rPr>
                <w:rFonts w:ascii="宋体" w:hAnsi="宋体"/>
                <w:b/>
                <w:szCs w:val="21"/>
                <w:highlight w:val="none"/>
              </w:rPr>
              <w:t>条  款  名  称</w:t>
            </w:r>
          </w:p>
        </w:tc>
        <w:tc>
          <w:tcPr>
            <w:tcW w:w="5534" w:type="dxa"/>
            <w:tcBorders>
              <w:top w:val="single" w:color="auto" w:sz="4" w:space="0"/>
              <w:left w:val="single" w:color="auto" w:sz="4" w:space="0"/>
              <w:bottom w:val="single" w:color="auto" w:sz="4" w:space="0"/>
              <w:right w:val="single" w:color="auto" w:sz="4" w:space="0"/>
            </w:tcBorders>
            <w:vAlign w:val="center"/>
          </w:tcPr>
          <w:p w14:paraId="3C64AA71">
            <w:pPr>
              <w:spacing w:line="440" w:lineRule="atLeast"/>
              <w:jc w:val="center"/>
              <w:rPr>
                <w:rFonts w:ascii="宋体" w:hAnsi="宋体"/>
                <w:b/>
                <w:szCs w:val="21"/>
                <w:highlight w:val="none"/>
              </w:rPr>
            </w:pPr>
            <w:r>
              <w:rPr>
                <w:rFonts w:ascii="宋体" w:hAnsi="宋体"/>
                <w:b/>
                <w:szCs w:val="21"/>
                <w:highlight w:val="none"/>
              </w:rPr>
              <w:t>编  列  内  容</w:t>
            </w:r>
          </w:p>
        </w:tc>
      </w:tr>
      <w:tr w14:paraId="26F9956C">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31ADDDA6">
            <w:pPr>
              <w:spacing w:line="440" w:lineRule="atLeast"/>
              <w:jc w:val="center"/>
              <w:rPr>
                <w:rFonts w:ascii="宋体" w:hAnsi="宋体"/>
                <w:szCs w:val="21"/>
                <w:highlight w:val="none"/>
              </w:rPr>
            </w:pPr>
            <w:r>
              <w:rPr>
                <w:rFonts w:ascii="宋体" w:hAnsi="宋体"/>
                <w:szCs w:val="21"/>
                <w:highlight w:val="none"/>
              </w:rPr>
              <w:t>1.1.2</w:t>
            </w:r>
          </w:p>
        </w:tc>
        <w:tc>
          <w:tcPr>
            <w:tcW w:w="1980" w:type="dxa"/>
            <w:tcBorders>
              <w:top w:val="single" w:color="auto" w:sz="4" w:space="0"/>
              <w:left w:val="single" w:color="auto" w:sz="4" w:space="0"/>
              <w:bottom w:val="single" w:color="auto" w:sz="4" w:space="0"/>
              <w:right w:val="single" w:color="auto" w:sz="4" w:space="0"/>
            </w:tcBorders>
            <w:vAlign w:val="center"/>
          </w:tcPr>
          <w:p w14:paraId="5501E069">
            <w:pPr>
              <w:spacing w:line="440" w:lineRule="atLeast"/>
              <w:jc w:val="center"/>
              <w:rPr>
                <w:rFonts w:ascii="宋体" w:hAnsi="宋体"/>
                <w:szCs w:val="21"/>
                <w:highlight w:val="none"/>
              </w:rPr>
            </w:pPr>
            <w:r>
              <w:rPr>
                <w:rFonts w:ascii="宋体" w:hAnsi="宋体"/>
                <w:szCs w:val="21"/>
                <w:highlight w:val="none"/>
              </w:rPr>
              <w:t>采购人</w:t>
            </w:r>
          </w:p>
        </w:tc>
        <w:tc>
          <w:tcPr>
            <w:tcW w:w="5534" w:type="dxa"/>
            <w:tcBorders>
              <w:top w:val="single" w:color="auto" w:sz="4" w:space="0"/>
              <w:left w:val="single" w:color="auto" w:sz="4" w:space="0"/>
              <w:bottom w:val="single" w:color="auto" w:sz="4" w:space="0"/>
              <w:right w:val="single" w:color="auto" w:sz="4" w:space="0"/>
            </w:tcBorders>
            <w:vAlign w:val="center"/>
          </w:tcPr>
          <w:p w14:paraId="60E46446">
            <w:pPr>
              <w:spacing w:line="440" w:lineRule="atLeast"/>
              <w:rPr>
                <w:rFonts w:hint="eastAsia" w:ascii="宋体" w:hAnsi="宋体"/>
                <w:szCs w:val="21"/>
                <w:highlight w:val="none"/>
              </w:rPr>
            </w:pPr>
            <w:r>
              <w:rPr>
                <w:rFonts w:hint="eastAsia" w:ascii="宋体" w:hAnsi="宋体"/>
                <w:szCs w:val="21"/>
                <w:highlight w:val="none"/>
              </w:rPr>
              <w:t xml:space="preserve">名称：开封市行政审批和政务信息管理局 </w:t>
            </w:r>
          </w:p>
          <w:p w14:paraId="3D7C65BC">
            <w:pPr>
              <w:spacing w:line="440" w:lineRule="atLeast"/>
              <w:rPr>
                <w:rFonts w:hint="eastAsia" w:ascii="宋体" w:hAnsi="宋体"/>
                <w:szCs w:val="21"/>
                <w:highlight w:val="none"/>
              </w:rPr>
            </w:pPr>
            <w:r>
              <w:rPr>
                <w:rFonts w:hint="eastAsia" w:ascii="宋体" w:hAnsi="宋体"/>
                <w:szCs w:val="21"/>
                <w:highlight w:val="none"/>
              </w:rPr>
              <w:t xml:space="preserve">地址：开封市民之家6楼东头向北6002  </w:t>
            </w:r>
          </w:p>
          <w:p w14:paraId="70B4CDE4">
            <w:pPr>
              <w:spacing w:line="440" w:lineRule="atLeast"/>
              <w:rPr>
                <w:rFonts w:hint="eastAsia" w:ascii="宋体" w:hAnsi="宋体"/>
                <w:szCs w:val="21"/>
                <w:highlight w:val="none"/>
              </w:rPr>
            </w:pPr>
            <w:r>
              <w:rPr>
                <w:rFonts w:hint="eastAsia" w:ascii="宋体" w:hAnsi="宋体"/>
                <w:szCs w:val="21"/>
                <w:highlight w:val="none"/>
              </w:rPr>
              <w:t xml:space="preserve">联系人：孟女士  </w:t>
            </w:r>
          </w:p>
          <w:p w14:paraId="5E4AD984">
            <w:pPr>
              <w:spacing w:line="440" w:lineRule="atLeast"/>
              <w:rPr>
                <w:rFonts w:ascii="宋体" w:hAnsi="宋体"/>
                <w:szCs w:val="21"/>
                <w:highlight w:val="none"/>
              </w:rPr>
            </w:pPr>
            <w:r>
              <w:rPr>
                <w:rFonts w:hint="eastAsia" w:ascii="宋体" w:hAnsi="宋体"/>
                <w:szCs w:val="21"/>
                <w:highlight w:val="none"/>
              </w:rPr>
              <w:t>联系方式：0371-22833526</w:t>
            </w:r>
          </w:p>
        </w:tc>
      </w:tr>
      <w:tr w14:paraId="21F36EAA">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68176BAB">
            <w:pPr>
              <w:spacing w:line="440" w:lineRule="atLeast"/>
              <w:jc w:val="center"/>
              <w:rPr>
                <w:rFonts w:ascii="宋体" w:hAnsi="宋体"/>
                <w:szCs w:val="21"/>
                <w:highlight w:val="none"/>
              </w:rPr>
            </w:pPr>
            <w:r>
              <w:rPr>
                <w:rFonts w:ascii="宋体" w:hAnsi="宋体"/>
                <w:szCs w:val="21"/>
                <w:highlight w:val="none"/>
              </w:rPr>
              <w:t>1.1.3</w:t>
            </w:r>
          </w:p>
        </w:tc>
        <w:tc>
          <w:tcPr>
            <w:tcW w:w="1980" w:type="dxa"/>
            <w:tcBorders>
              <w:top w:val="single" w:color="auto" w:sz="4" w:space="0"/>
              <w:left w:val="single" w:color="auto" w:sz="4" w:space="0"/>
              <w:bottom w:val="single" w:color="auto" w:sz="4" w:space="0"/>
              <w:right w:val="single" w:color="auto" w:sz="4" w:space="0"/>
            </w:tcBorders>
            <w:vAlign w:val="center"/>
          </w:tcPr>
          <w:p w14:paraId="4E1F8D52">
            <w:pPr>
              <w:spacing w:line="440" w:lineRule="atLeast"/>
              <w:jc w:val="center"/>
              <w:rPr>
                <w:rFonts w:ascii="宋体" w:hAnsi="宋体"/>
                <w:szCs w:val="21"/>
                <w:highlight w:val="none"/>
              </w:rPr>
            </w:pPr>
            <w:r>
              <w:rPr>
                <w:rFonts w:ascii="宋体" w:hAnsi="宋体"/>
                <w:szCs w:val="21"/>
                <w:highlight w:val="none"/>
              </w:rPr>
              <w:t>采购代理机构</w:t>
            </w:r>
          </w:p>
        </w:tc>
        <w:tc>
          <w:tcPr>
            <w:tcW w:w="5534" w:type="dxa"/>
            <w:tcBorders>
              <w:top w:val="single" w:color="auto" w:sz="4" w:space="0"/>
              <w:left w:val="single" w:color="auto" w:sz="4" w:space="0"/>
              <w:bottom w:val="single" w:color="auto" w:sz="4" w:space="0"/>
              <w:right w:val="single" w:color="auto" w:sz="4" w:space="0"/>
            </w:tcBorders>
            <w:vAlign w:val="center"/>
          </w:tcPr>
          <w:p w14:paraId="69D64C4A">
            <w:pPr>
              <w:spacing w:line="440" w:lineRule="atLeast"/>
              <w:rPr>
                <w:rFonts w:ascii="宋体" w:hAnsi="宋体"/>
                <w:color w:val="auto"/>
                <w:szCs w:val="21"/>
                <w:highlight w:val="none"/>
              </w:rPr>
            </w:pPr>
            <w:r>
              <w:rPr>
                <w:rFonts w:ascii="宋体" w:hAnsi="宋体"/>
                <w:color w:val="auto"/>
                <w:szCs w:val="21"/>
                <w:highlight w:val="none"/>
              </w:rPr>
              <w:t>名称：</w:t>
            </w:r>
            <w:r>
              <w:rPr>
                <w:rFonts w:hint="eastAsia" w:ascii="宋体" w:hAnsi="宋体"/>
                <w:color w:val="auto"/>
                <w:szCs w:val="21"/>
                <w:highlight w:val="none"/>
              </w:rPr>
              <w:t>开封市政府采购中心</w:t>
            </w:r>
          </w:p>
          <w:p w14:paraId="0B6B72D1">
            <w:pPr>
              <w:spacing w:line="440" w:lineRule="atLeast"/>
              <w:rPr>
                <w:rFonts w:ascii="宋体" w:hAnsi="宋体"/>
                <w:color w:val="auto"/>
                <w:szCs w:val="21"/>
                <w:highlight w:val="none"/>
              </w:rPr>
            </w:pPr>
            <w:r>
              <w:rPr>
                <w:rFonts w:ascii="宋体" w:hAnsi="宋体"/>
                <w:color w:val="auto"/>
                <w:szCs w:val="21"/>
                <w:highlight w:val="none"/>
              </w:rPr>
              <w:t>地址：</w:t>
            </w:r>
            <w:r>
              <w:rPr>
                <w:rFonts w:hint="eastAsia" w:ascii="宋体" w:hAnsi="宋体"/>
                <w:color w:val="auto"/>
                <w:szCs w:val="21"/>
                <w:highlight w:val="none"/>
              </w:rPr>
              <w:t>开封市郑开大道与三大街交汇处路北，开封市民之家6楼西头向北6067房间（政府采购）</w:t>
            </w:r>
          </w:p>
          <w:p w14:paraId="0361CFF0">
            <w:pPr>
              <w:spacing w:line="440" w:lineRule="atLeast"/>
              <w:rPr>
                <w:rFonts w:hint="default" w:ascii="宋体" w:hAnsi="宋体" w:eastAsia="宋体"/>
                <w:color w:val="auto"/>
                <w:szCs w:val="21"/>
                <w:highlight w:val="none"/>
                <w:lang w:val="en-US" w:eastAsia="zh-CN"/>
              </w:rPr>
            </w:pPr>
            <w:r>
              <w:rPr>
                <w:rFonts w:hint="eastAsia" w:ascii="宋体" w:hAnsi="宋体"/>
                <w:color w:val="auto"/>
                <w:szCs w:val="21"/>
                <w:highlight w:val="none"/>
              </w:rPr>
              <w:t>项目</w:t>
            </w:r>
            <w:r>
              <w:rPr>
                <w:rFonts w:ascii="宋体" w:hAnsi="宋体"/>
                <w:color w:val="auto"/>
                <w:szCs w:val="21"/>
                <w:highlight w:val="none"/>
              </w:rPr>
              <w:t>联系人：</w:t>
            </w:r>
            <w:r>
              <w:rPr>
                <w:rFonts w:hint="eastAsia" w:ascii="宋体" w:hAnsi="宋体"/>
                <w:color w:val="auto"/>
                <w:szCs w:val="21"/>
                <w:highlight w:val="none"/>
                <w:lang w:val="en-US" w:eastAsia="zh-CN"/>
              </w:rPr>
              <w:t>张先生</w:t>
            </w:r>
          </w:p>
          <w:p w14:paraId="02D5CEE7">
            <w:pPr>
              <w:spacing w:line="440" w:lineRule="atLeast"/>
              <w:rPr>
                <w:rFonts w:ascii="宋体" w:hAnsi="宋体"/>
                <w:color w:val="auto"/>
                <w:szCs w:val="21"/>
                <w:highlight w:val="none"/>
              </w:rPr>
            </w:pPr>
            <w:r>
              <w:rPr>
                <w:rFonts w:ascii="宋体" w:hAnsi="宋体"/>
                <w:color w:val="auto"/>
                <w:szCs w:val="21"/>
                <w:highlight w:val="none"/>
              </w:rPr>
              <w:t>电话：</w:t>
            </w:r>
            <w:r>
              <w:rPr>
                <w:rFonts w:hint="eastAsia" w:ascii="宋体" w:hAnsi="宋体"/>
                <w:color w:val="auto"/>
                <w:szCs w:val="21"/>
                <w:highlight w:val="none"/>
              </w:rPr>
              <w:t>0371—23856102   23856103</w:t>
            </w:r>
          </w:p>
        </w:tc>
      </w:tr>
      <w:tr w14:paraId="083EEE95">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2DE06376">
            <w:pPr>
              <w:spacing w:line="440" w:lineRule="atLeast"/>
              <w:jc w:val="center"/>
              <w:rPr>
                <w:rFonts w:ascii="宋体" w:hAnsi="宋体"/>
                <w:szCs w:val="21"/>
                <w:highlight w:val="none"/>
              </w:rPr>
            </w:pPr>
            <w:r>
              <w:rPr>
                <w:rFonts w:ascii="宋体" w:hAnsi="宋体"/>
                <w:szCs w:val="21"/>
                <w:highlight w:val="none"/>
              </w:rPr>
              <w:t>1.1.4</w:t>
            </w:r>
          </w:p>
        </w:tc>
        <w:tc>
          <w:tcPr>
            <w:tcW w:w="1980" w:type="dxa"/>
            <w:tcBorders>
              <w:top w:val="single" w:color="auto" w:sz="4" w:space="0"/>
              <w:left w:val="single" w:color="auto" w:sz="4" w:space="0"/>
              <w:bottom w:val="single" w:color="auto" w:sz="4" w:space="0"/>
              <w:right w:val="single" w:color="auto" w:sz="4" w:space="0"/>
            </w:tcBorders>
            <w:vAlign w:val="center"/>
          </w:tcPr>
          <w:p w14:paraId="1F175978">
            <w:pPr>
              <w:spacing w:line="440" w:lineRule="atLeast"/>
              <w:jc w:val="center"/>
              <w:rPr>
                <w:rFonts w:ascii="宋体" w:hAnsi="宋体"/>
                <w:szCs w:val="21"/>
                <w:highlight w:val="none"/>
              </w:rPr>
            </w:pPr>
            <w:r>
              <w:rPr>
                <w:rFonts w:ascii="宋体" w:hAnsi="宋体"/>
                <w:szCs w:val="21"/>
                <w:highlight w:val="none"/>
              </w:rPr>
              <w:t>项目名称</w:t>
            </w:r>
          </w:p>
        </w:tc>
        <w:tc>
          <w:tcPr>
            <w:tcW w:w="5534" w:type="dxa"/>
            <w:tcBorders>
              <w:top w:val="single" w:color="auto" w:sz="4" w:space="0"/>
              <w:left w:val="single" w:color="auto" w:sz="4" w:space="0"/>
              <w:bottom w:val="single" w:color="auto" w:sz="4" w:space="0"/>
              <w:right w:val="single" w:color="auto" w:sz="4" w:space="0"/>
            </w:tcBorders>
            <w:vAlign w:val="center"/>
          </w:tcPr>
          <w:p w14:paraId="7217C630">
            <w:pPr>
              <w:spacing w:line="440" w:lineRule="atLeast"/>
              <w:rPr>
                <w:rFonts w:ascii="宋体" w:hAnsi="宋体"/>
                <w:color w:val="auto"/>
                <w:szCs w:val="21"/>
                <w:highlight w:val="none"/>
              </w:rPr>
            </w:pPr>
            <w:r>
              <w:rPr>
                <w:rFonts w:hint="eastAsia" w:ascii="宋体" w:hAnsi="宋体"/>
                <w:color w:val="auto"/>
                <w:szCs w:val="21"/>
                <w:highlight w:val="none"/>
                <w:lang w:val="en-US" w:eastAsia="zh-CN"/>
              </w:rPr>
              <w:t>同</w:t>
            </w:r>
            <w:r>
              <w:rPr>
                <w:rFonts w:hint="eastAsia" w:ascii="宋体" w:hAnsi="宋体"/>
                <w:color w:val="auto"/>
                <w:szCs w:val="21"/>
                <w:highlight w:val="none"/>
              </w:rPr>
              <w:t>招标公告</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投标邀请函</w:t>
            </w:r>
            <w:r>
              <w:rPr>
                <w:rFonts w:hint="eastAsia" w:ascii="宋体" w:hAnsi="宋体"/>
                <w:color w:val="auto"/>
                <w:szCs w:val="21"/>
                <w:highlight w:val="none"/>
                <w:lang w:eastAsia="zh-CN"/>
              </w:rPr>
              <w:t>）</w:t>
            </w:r>
          </w:p>
        </w:tc>
      </w:tr>
      <w:tr w14:paraId="1D4B43E7">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00C81908">
            <w:pPr>
              <w:spacing w:line="440" w:lineRule="atLeast"/>
              <w:jc w:val="center"/>
              <w:rPr>
                <w:rFonts w:ascii="宋体" w:hAnsi="宋体"/>
                <w:szCs w:val="21"/>
                <w:highlight w:val="none"/>
              </w:rPr>
            </w:pPr>
            <w:r>
              <w:rPr>
                <w:rFonts w:ascii="宋体" w:hAnsi="宋体"/>
                <w:szCs w:val="21"/>
                <w:highlight w:val="none"/>
              </w:rPr>
              <w:t>1.1.5</w:t>
            </w:r>
          </w:p>
        </w:tc>
        <w:tc>
          <w:tcPr>
            <w:tcW w:w="1980" w:type="dxa"/>
            <w:tcBorders>
              <w:top w:val="single" w:color="auto" w:sz="4" w:space="0"/>
              <w:left w:val="single" w:color="auto" w:sz="4" w:space="0"/>
              <w:bottom w:val="single" w:color="auto" w:sz="4" w:space="0"/>
              <w:right w:val="single" w:color="auto" w:sz="4" w:space="0"/>
            </w:tcBorders>
            <w:vAlign w:val="center"/>
          </w:tcPr>
          <w:p w14:paraId="0B36C72F">
            <w:pPr>
              <w:spacing w:line="440" w:lineRule="atLeast"/>
              <w:jc w:val="center"/>
              <w:rPr>
                <w:rFonts w:ascii="宋体" w:hAnsi="宋体"/>
                <w:szCs w:val="21"/>
                <w:highlight w:val="none"/>
              </w:rPr>
            </w:pPr>
            <w:r>
              <w:rPr>
                <w:rFonts w:hint="eastAsia" w:ascii="宋体" w:hAnsi="宋体"/>
                <w:szCs w:val="21"/>
                <w:highlight w:val="none"/>
              </w:rPr>
              <w:t>合同履行</w:t>
            </w:r>
            <w:r>
              <w:rPr>
                <w:rFonts w:ascii="宋体" w:hAnsi="宋体"/>
                <w:szCs w:val="21"/>
                <w:highlight w:val="none"/>
              </w:rPr>
              <w:t>地点</w:t>
            </w:r>
          </w:p>
        </w:tc>
        <w:tc>
          <w:tcPr>
            <w:tcW w:w="5534" w:type="dxa"/>
            <w:tcBorders>
              <w:top w:val="single" w:color="auto" w:sz="4" w:space="0"/>
              <w:left w:val="single" w:color="auto" w:sz="4" w:space="0"/>
              <w:bottom w:val="single" w:color="auto" w:sz="4" w:space="0"/>
              <w:right w:val="single" w:color="auto" w:sz="4" w:space="0"/>
            </w:tcBorders>
            <w:vAlign w:val="center"/>
          </w:tcPr>
          <w:p w14:paraId="009453B0">
            <w:pPr>
              <w:spacing w:line="440" w:lineRule="atLeast"/>
              <w:rPr>
                <w:rFonts w:ascii="宋体" w:hAnsi="宋体"/>
                <w:color w:val="auto"/>
                <w:szCs w:val="21"/>
                <w:highlight w:val="none"/>
              </w:rPr>
            </w:pPr>
            <w:r>
              <w:rPr>
                <w:rFonts w:hint="eastAsia" w:ascii="宋体" w:hAnsi="宋体" w:eastAsia="宋体" w:cs="Times New Roman"/>
                <w:color w:val="auto"/>
                <w:sz w:val="21"/>
                <w:szCs w:val="21"/>
                <w:highlight w:val="none"/>
                <w:lang w:val="en-US" w:eastAsia="zh-CN"/>
              </w:rPr>
              <w:t>采购人指定地点</w:t>
            </w:r>
          </w:p>
        </w:tc>
      </w:tr>
      <w:tr w14:paraId="6B8B3A0F">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shd w:val="clear" w:color="auto" w:fill="auto"/>
            <w:vAlign w:val="center"/>
          </w:tcPr>
          <w:p w14:paraId="65C544BA">
            <w:pPr>
              <w:spacing w:line="440" w:lineRule="atLeast"/>
              <w:jc w:val="center"/>
              <w:rPr>
                <w:rFonts w:hint="default"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1.1.6.1</w:t>
            </w:r>
          </w:p>
        </w:tc>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3979EA7B">
            <w:pPr>
              <w:spacing w:line="440" w:lineRule="atLeast"/>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项目属性</w:t>
            </w:r>
          </w:p>
        </w:tc>
        <w:tc>
          <w:tcPr>
            <w:tcW w:w="5534" w:type="dxa"/>
            <w:tcBorders>
              <w:top w:val="single" w:color="auto" w:sz="4" w:space="0"/>
              <w:left w:val="single" w:color="auto" w:sz="4" w:space="0"/>
              <w:bottom w:val="single" w:color="auto" w:sz="4" w:space="0"/>
              <w:right w:val="single" w:color="auto" w:sz="4" w:space="0"/>
            </w:tcBorders>
            <w:shd w:val="clear" w:color="auto" w:fill="auto"/>
            <w:vAlign w:val="center"/>
          </w:tcPr>
          <w:p w14:paraId="0D29DA65">
            <w:pPr>
              <w:spacing w:line="440" w:lineRule="atLeast"/>
              <w:jc w:val="left"/>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□货物项目</w:t>
            </w:r>
          </w:p>
          <w:p w14:paraId="4592F01F">
            <w:pPr>
              <w:spacing w:line="440" w:lineRule="atLeast"/>
              <w:jc w:val="left"/>
              <w:rPr>
                <w:rFonts w:hint="default"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☑服务项目</w:t>
            </w:r>
          </w:p>
        </w:tc>
      </w:tr>
      <w:tr w14:paraId="4D9ACB52">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shd w:val="clear" w:color="auto" w:fill="auto"/>
            <w:vAlign w:val="center"/>
          </w:tcPr>
          <w:p w14:paraId="4A91093A">
            <w:pPr>
              <w:spacing w:line="440" w:lineRule="atLeast"/>
              <w:jc w:val="center"/>
              <w:rPr>
                <w:rFonts w:hint="default"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1.1.6.2</w:t>
            </w:r>
          </w:p>
        </w:tc>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60C5865A">
            <w:pPr>
              <w:spacing w:line="440" w:lineRule="atLeast"/>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核心产品</w:t>
            </w:r>
          </w:p>
        </w:tc>
        <w:tc>
          <w:tcPr>
            <w:tcW w:w="5534" w:type="dxa"/>
            <w:tcBorders>
              <w:top w:val="single" w:color="auto" w:sz="4" w:space="0"/>
              <w:left w:val="single" w:color="auto" w:sz="4" w:space="0"/>
              <w:bottom w:val="single" w:color="auto" w:sz="4" w:space="0"/>
              <w:right w:val="single" w:color="auto" w:sz="4" w:space="0"/>
            </w:tcBorders>
            <w:shd w:val="clear" w:color="auto" w:fill="auto"/>
            <w:vAlign w:val="center"/>
          </w:tcPr>
          <w:p w14:paraId="0630DF60">
            <w:pPr>
              <w:spacing w:line="440" w:lineRule="atLeast"/>
              <w:jc w:val="left"/>
              <w:rPr>
                <w:rFonts w:hint="default"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（采购标的含有多种产品时）本项目标段标明的核心产品见第五章 三 招标内容及技术要求</w:t>
            </w:r>
          </w:p>
        </w:tc>
      </w:tr>
      <w:tr w14:paraId="3D1DFB2A">
        <w:tblPrEx>
          <w:tblCellMar>
            <w:top w:w="0" w:type="dxa"/>
            <w:left w:w="108" w:type="dxa"/>
            <w:bottom w:w="0" w:type="dxa"/>
            <w:right w:w="108" w:type="dxa"/>
          </w:tblCellMar>
        </w:tblPrEx>
        <w:tc>
          <w:tcPr>
            <w:tcW w:w="1008" w:type="dxa"/>
            <w:tcBorders>
              <w:left w:val="single" w:color="auto" w:sz="4" w:space="0"/>
              <w:bottom w:val="single" w:color="auto" w:sz="4" w:space="0"/>
              <w:right w:val="single" w:color="auto" w:sz="4" w:space="0"/>
            </w:tcBorders>
            <w:shd w:val="clear" w:color="auto" w:fill="auto"/>
            <w:vAlign w:val="center"/>
          </w:tcPr>
          <w:p w14:paraId="3E086904">
            <w:pPr>
              <w:spacing w:line="440" w:lineRule="atLeast"/>
              <w:jc w:val="center"/>
              <w:rPr>
                <w:rFonts w:hint="default"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1.1.6.4</w:t>
            </w:r>
          </w:p>
        </w:tc>
        <w:tc>
          <w:tcPr>
            <w:tcW w:w="1980" w:type="dxa"/>
            <w:tcBorders>
              <w:left w:val="single" w:color="auto" w:sz="4" w:space="0"/>
              <w:bottom w:val="single" w:color="auto" w:sz="4" w:space="0"/>
              <w:right w:val="single" w:color="auto" w:sz="4" w:space="0"/>
            </w:tcBorders>
            <w:shd w:val="clear" w:color="auto" w:fill="auto"/>
            <w:vAlign w:val="center"/>
          </w:tcPr>
          <w:p w14:paraId="30D4CBBB">
            <w:pPr>
              <w:spacing w:line="440" w:lineRule="atLeast"/>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联合体投标</w:t>
            </w:r>
          </w:p>
        </w:tc>
        <w:tc>
          <w:tcPr>
            <w:tcW w:w="5534" w:type="dxa"/>
            <w:tcBorders>
              <w:top w:val="single" w:color="auto" w:sz="4" w:space="0"/>
              <w:left w:val="single" w:color="auto" w:sz="4" w:space="0"/>
              <w:bottom w:val="single" w:color="auto" w:sz="4" w:space="0"/>
              <w:right w:val="single" w:color="auto" w:sz="4" w:space="0"/>
            </w:tcBorders>
            <w:shd w:val="clear" w:color="auto" w:fill="auto"/>
            <w:vAlign w:val="center"/>
          </w:tcPr>
          <w:p w14:paraId="2C2A47F9">
            <w:pPr>
              <w:spacing w:line="440" w:lineRule="atLeast"/>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是否接受联合体投标见第一章 招标公告</w:t>
            </w:r>
            <w:r>
              <w:rPr>
                <w:rFonts w:hint="eastAsia" w:ascii="宋体" w:hAnsi="宋体"/>
                <w:color w:val="auto"/>
                <w:highlight w:val="none"/>
                <w:lang w:eastAsia="zh-CN"/>
              </w:rPr>
              <w:t>（</w:t>
            </w:r>
            <w:r>
              <w:rPr>
                <w:rFonts w:hint="eastAsia" w:ascii="宋体" w:hAnsi="宋体"/>
                <w:color w:val="auto"/>
                <w:highlight w:val="none"/>
                <w:lang w:val="en-US" w:eastAsia="zh-CN"/>
              </w:rPr>
              <w:t>投标邀请函</w:t>
            </w:r>
            <w:r>
              <w:rPr>
                <w:rFonts w:hint="eastAsia" w:ascii="宋体" w:hAnsi="宋体"/>
                <w:color w:val="auto"/>
                <w:highlight w:val="none"/>
                <w:lang w:eastAsia="zh-CN"/>
              </w:rPr>
              <w:t>）</w:t>
            </w:r>
          </w:p>
        </w:tc>
      </w:tr>
      <w:tr w14:paraId="1C278B01">
        <w:tblPrEx>
          <w:tblCellMar>
            <w:top w:w="0" w:type="dxa"/>
            <w:left w:w="108" w:type="dxa"/>
            <w:bottom w:w="0" w:type="dxa"/>
            <w:right w:w="108" w:type="dxa"/>
          </w:tblCellMar>
        </w:tblPrEx>
        <w:tc>
          <w:tcPr>
            <w:tcW w:w="1008" w:type="dxa"/>
            <w:tcBorders>
              <w:left w:val="single" w:color="auto" w:sz="4" w:space="0"/>
              <w:bottom w:val="single" w:color="auto" w:sz="4" w:space="0"/>
              <w:right w:val="single" w:color="auto" w:sz="4" w:space="0"/>
            </w:tcBorders>
            <w:shd w:val="clear" w:color="auto" w:fill="auto"/>
            <w:vAlign w:val="center"/>
          </w:tcPr>
          <w:p w14:paraId="187A378A">
            <w:pPr>
              <w:spacing w:line="440" w:lineRule="atLeast"/>
              <w:jc w:val="center"/>
              <w:rPr>
                <w:rFonts w:hint="default"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1.1.6.5</w:t>
            </w:r>
          </w:p>
        </w:tc>
        <w:tc>
          <w:tcPr>
            <w:tcW w:w="1980" w:type="dxa"/>
            <w:tcBorders>
              <w:left w:val="single" w:color="auto" w:sz="4" w:space="0"/>
              <w:bottom w:val="single" w:color="auto" w:sz="4" w:space="0"/>
              <w:right w:val="single" w:color="auto" w:sz="4" w:space="0"/>
            </w:tcBorders>
            <w:shd w:val="clear" w:color="auto" w:fill="auto"/>
            <w:vAlign w:val="center"/>
          </w:tcPr>
          <w:p w14:paraId="2E966DED">
            <w:pPr>
              <w:spacing w:line="440" w:lineRule="atLeast"/>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进口产品投标</w:t>
            </w:r>
          </w:p>
        </w:tc>
        <w:tc>
          <w:tcPr>
            <w:tcW w:w="5534" w:type="dxa"/>
            <w:tcBorders>
              <w:top w:val="single" w:color="auto" w:sz="4" w:space="0"/>
              <w:left w:val="single" w:color="auto" w:sz="4" w:space="0"/>
              <w:bottom w:val="single" w:color="auto" w:sz="4" w:space="0"/>
              <w:right w:val="single" w:color="auto" w:sz="4" w:space="0"/>
            </w:tcBorders>
            <w:shd w:val="clear" w:color="auto" w:fill="auto"/>
            <w:vAlign w:val="center"/>
          </w:tcPr>
          <w:p w14:paraId="284179B8">
            <w:pPr>
              <w:spacing w:line="440" w:lineRule="atLeast"/>
              <w:jc w:val="left"/>
              <w:rPr>
                <w:rFonts w:hint="eastAsia" w:ascii="宋体" w:hAnsi="宋体" w:eastAsia="宋体" w:cs="Times New Roman"/>
                <w:color w:val="auto"/>
                <w:kern w:val="2"/>
                <w:sz w:val="21"/>
                <w:szCs w:val="24"/>
                <w:highlight w:val="none"/>
                <w:lang w:val="en-US" w:eastAsia="zh-CN" w:bidi="ar-SA"/>
              </w:rPr>
            </w:pPr>
            <w:r>
              <w:rPr>
                <w:rFonts w:hint="eastAsia" w:ascii="宋体" w:hAnsi="宋体"/>
                <w:color w:val="auto"/>
                <w:szCs w:val="21"/>
                <w:highlight w:val="none"/>
                <w:lang w:val="en-US" w:eastAsia="zh-CN"/>
              </w:rPr>
              <w:t>是否接受进口产品投标见第一章 招标公告</w:t>
            </w:r>
            <w:r>
              <w:rPr>
                <w:rFonts w:hint="eastAsia" w:ascii="宋体" w:hAnsi="宋体"/>
                <w:color w:val="auto"/>
                <w:highlight w:val="none"/>
                <w:lang w:eastAsia="zh-CN"/>
              </w:rPr>
              <w:t>（</w:t>
            </w:r>
            <w:r>
              <w:rPr>
                <w:rFonts w:hint="eastAsia" w:ascii="宋体" w:hAnsi="宋体"/>
                <w:color w:val="auto"/>
                <w:highlight w:val="none"/>
                <w:lang w:val="en-US" w:eastAsia="zh-CN"/>
              </w:rPr>
              <w:t>投标邀请函</w:t>
            </w:r>
            <w:r>
              <w:rPr>
                <w:rFonts w:hint="eastAsia" w:ascii="宋体" w:hAnsi="宋体"/>
                <w:color w:val="auto"/>
                <w:highlight w:val="none"/>
                <w:lang w:eastAsia="zh-CN"/>
              </w:rPr>
              <w:t>）</w:t>
            </w:r>
          </w:p>
        </w:tc>
      </w:tr>
      <w:tr w14:paraId="2FDAFB74">
        <w:tblPrEx>
          <w:tblCellMar>
            <w:top w:w="0" w:type="dxa"/>
            <w:left w:w="108" w:type="dxa"/>
            <w:bottom w:w="0" w:type="dxa"/>
            <w:right w:w="108" w:type="dxa"/>
          </w:tblCellMar>
        </w:tblPrEx>
        <w:tc>
          <w:tcPr>
            <w:tcW w:w="1008" w:type="dxa"/>
            <w:tcBorders>
              <w:left w:val="single" w:color="auto" w:sz="4" w:space="0"/>
              <w:bottom w:val="single" w:color="auto" w:sz="4" w:space="0"/>
              <w:right w:val="single" w:color="auto" w:sz="4" w:space="0"/>
            </w:tcBorders>
            <w:shd w:val="clear" w:color="auto" w:fill="auto"/>
            <w:vAlign w:val="center"/>
          </w:tcPr>
          <w:p w14:paraId="7ED8AA83">
            <w:pPr>
              <w:spacing w:line="440" w:lineRule="atLeast"/>
              <w:jc w:val="center"/>
              <w:rPr>
                <w:rFonts w:hint="default"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1.1.6.6</w:t>
            </w:r>
          </w:p>
        </w:tc>
        <w:tc>
          <w:tcPr>
            <w:tcW w:w="1980" w:type="dxa"/>
            <w:tcBorders>
              <w:left w:val="single" w:color="auto" w:sz="4" w:space="0"/>
              <w:bottom w:val="single" w:color="auto" w:sz="4" w:space="0"/>
              <w:right w:val="single" w:color="auto" w:sz="4" w:space="0"/>
            </w:tcBorders>
            <w:shd w:val="clear" w:color="auto" w:fill="auto"/>
            <w:vAlign w:val="center"/>
          </w:tcPr>
          <w:p w14:paraId="5594E590">
            <w:pPr>
              <w:spacing w:line="440" w:lineRule="atLeast"/>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是否允许分包</w:t>
            </w:r>
          </w:p>
        </w:tc>
        <w:tc>
          <w:tcPr>
            <w:tcW w:w="5534" w:type="dxa"/>
            <w:tcBorders>
              <w:top w:val="single" w:color="auto" w:sz="4" w:space="0"/>
              <w:left w:val="single" w:color="auto" w:sz="4" w:space="0"/>
              <w:bottom w:val="single" w:color="auto" w:sz="4" w:space="0"/>
              <w:right w:val="single" w:color="auto" w:sz="4" w:space="0"/>
            </w:tcBorders>
            <w:shd w:val="clear" w:color="auto" w:fill="auto"/>
            <w:vAlign w:val="center"/>
          </w:tcPr>
          <w:p w14:paraId="2815A64B">
            <w:pPr>
              <w:spacing w:line="440" w:lineRule="atLeast"/>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☑不允许将项目内容分包给他人履行</w:t>
            </w:r>
          </w:p>
          <w:p w14:paraId="38BD4C91">
            <w:pPr>
              <w:spacing w:line="440" w:lineRule="atLeast"/>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 xml:space="preserve">□允许，允许向人分包履行的非主体、非关键性工作的内容、金额及具体要求见第五章 </w:t>
            </w:r>
            <w:r>
              <w:rPr>
                <w:rFonts w:hint="eastAsia" w:ascii="宋体" w:hAnsi="宋体"/>
                <w:color w:val="auto"/>
                <w:highlight w:val="none"/>
              </w:rPr>
              <w:t>招标内容及商务技术要求</w:t>
            </w:r>
          </w:p>
        </w:tc>
      </w:tr>
      <w:tr w14:paraId="18807C76">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4DF9916A">
            <w:pPr>
              <w:spacing w:line="440" w:lineRule="atLeast"/>
              <w:jc w:val="center"/>
              <w:rPr>
                <w:rFonts w:ascii="宋体" w:hAnsi="宋体"/>
                <w:szCs w:val="21"/>
                <w:highlight w:val="none"/>
              </w:rPr>
            </w:pPr>
            <w:r>
              <w:rPr>
                <w:rFonts w:ascii="宋体" w:hAnsi="宋体"/>
                <w:szCs w:val="21"/>
                <w:highlight w:val="none"/>
              </w:rPr>
              <w:t>1.2.1</w:t>
            </w:r>
          </w:p>
        </w:tc>
        <w:tc>
          <w:tcPr>
            <w:tcW w:w="1980" w:type="dxa"/>
            <w:tcBorders>
              <w:top w:val="single" w:color="auto" w:sz="4" w:space="0"/>
              <w:left w:val="single" w:color="auto" w:sz="4" w:space="0"/>
              <w:bottom w:val="single" w:color="auto" w:sz="4" w:space="0"/>
              <w:right w:val="single" w:color="auto" w:sz="4" w:space="0"/>
            </w:tcBorders>
            <w:vAlign w:val="center"/>
          </w:tcPr>
          <w:p w14:paraId="5BB462F7">
            <w:pPr>
              <w:spacing w:line="440" w:lineRule="atLeast"/>
              <w:jc w:val="center"/>
              <w:rPr>
                <w:rFonts w:ascii="宋体" w:hAnsi="宋体"/>
                <w:szCs w:val="21"/>
                <w:highlight w:val="none"/>
              </w:rPr>
            </w:pPr>
            <w:r>
              <w:rPr>
                <w:rFonts w:ascii="宋体" w:hAnsi="宋体"/>
                <w:szCs w:val="21"/>
                <w:highlight w:val="none"/>
              </w:rPr>
              <w:t>资金来源</w:t>
            </w:r>
            <w:r>
              <w:rPr>
                <w:rFonts w:hint="eastAsia" w:ascii="宋体" w:hAnsi="宋体"/>
                <w:szCs w:val="21"/>
                <w:highlight w:val="none"/>
              </w:rPr>
              <w:t>及比例</w:t>
            </w:r>
          </w:p>
        </w:tc>
        <w:tc>
          <w:tcPr>
            <w:tcW w:w="5534" w:type="dxa"/>
            <w:tcBorders>
              <w:top w:val="single" w:color="auto" w:sz="4" w:space="0"/>
              <w:left w:val="single" w:color="auto" w:sz="4" w:space="0"/>
              <w:bottom w:val="single" w:color="auto" w:sz="4" w:space="0"/>
              <w:right w:val="single" w:color="auto" w:sz="4" w:space="0"/>
            </w:tcBorders>
            <w:vAlign w:val="center"/>
          </w:tcPr>
          <w:p w14:paraId="0F052E82">
            <w:pPr>
              <w:spacing w:line="440" w:lineRule="atLeast"/>
              <w:rPr>
                <w:rFonts w:ascii="宋体" w:hAnsi="宋体"/>
                <w:color w:val="auto"/>
                <w:szCs w:val="21"/>
                <w:highlight w:val="none"/>
              </w:rPr>
            </w:pPr>
            <w:r>
              <w:rPr>
                <w:rFonts w:hint="eastAsia" w:ascii="宋体" w:hAnsi="宋体"/>
                <w:color w:val="auto"/>
                <w:szCs w:val="21"/>
                <w:highlight w:val="none"/>
              </w:rPr>
              <w:t>100%财政</w:t>
            </w:r>
            <w:r>
              <w:rPr>
                <w:rFonts w:hint="eastAsia" w:ascii="宋体" w:hAnsi="宋体"/>
                <w:color w:val="auto"/>
                <w:szCs w:val="21"/>
                <w:highlight w:val="none"/>
                <w:lang w:val="en-US" w:eastAsia="zh-CN"/>
              </w:rPr>
              <w:t>性</w:t>
            </w:r>
            <w:r>
              <w:rPr>
                <w:rFonts w:hint="eastAsia" w:ascii="宋体" w:hAnsi="宋体"/>
                <w:color w:val="auto"/>
                <w:szCs w:val="21"/>
                <w:highlight w:val="none"/>
              </w:rPr>
              <w:t>资金</w:t>
            </w:r>
          </w:p>
        </w:tc>
      </w:tr>
      <w:tr w14:paraId="188E5548">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4B9ED129">
            <w:pPr>
              <w:spacing w:line="440" w:lineRule="atLeast"/>
              <w:jc w:val="center"/>
              <w:rPr>
                <w:rFonts w:ascii="宋体" w:hAnsi="宋体"/>
                <w:szCs w:val="21"/>
                <w:highlight w:val="none"/>
              </w:rPr>
            </w:pPr>
            <w:r>
              <w:rPr>
                <w:rFonts w:ascii="宋体" w:hAnsi="宋体"/>
                <w:szCs w:val="21"/>
                <w:highlight w:val="none"/>
              </w:rPr>
              <w:t>1.2.2</w:t>
            </w:r>
          </w:p>
        </w:tc>
        <w:tc>
          <w:tcPr>
            <w:tcW w:w="1980" w:type="dxa"/>
            <w:tcBorders>
              <w:top w:val="single" w:color="auto" w:sz="4" w:space="0"/>
              <w:left w:val="single" w:color="auto" w:sz="4" w:space="0"/>
              <w:bottom w:val="single" w:color="auto" w:sz="4" w:space="0"/>
              <w:right w:val="single" w:color="auto" w:sz="4" w:space="0"/>
            </w:tcBorders>
            <w:vAlign w:val="center"/>
          </w:tcPr>
          <w:p w14:paraId="56B20B51">
            <w:pPr>
              <w:spacing w:line="440" w:lineRule="atLeast"/>
              <w:jc w:val="center"/>
              <w:rPr>
                <w:rFonts w:ascii="宋体" w:hAnsi="宋体"/>
                <w:szCs w:val="21"/>
                <w:highlight w:val="none"/>
              </w:rPr>
            </w:pPr>
            <w:r>
              <w:rPr>
                <w:rFonts w:hint="eastAsia" w:ascii="宋体" w:hAnsi="宋体"/>
                <w:szCs w:val="21"/>
                <w:highlight w:val="none"/>
              </w:rPr>
              <w:t>资金</w:t>
            </w:r>
            <w:r>
              <w:rPr>
                <w:rFonts w:ascii="宋体" w:hAnsi="宋体"/>
                <w:szCs w:val="21"/>
                <w:highlight w:val="none"/>
              </w:rPr>
              <w:t>落实情况</w:t>
            </w:r>
          </w:p>
        </w:tc>
        <w:tc>
          <w:tcPr>
            <w:tcW w:w="5534" w:type="dxa"/>
            <w:tcBorders>
              <w:top w:val="single" w:color="auto" w:sz="4" w:space="0"/>
              <w:left w:val="single" w:color="auto" w:sz="4" w:space="0"/>
              <w:bottom w:val="single" w:color="auto" w:sz="4" w:space="0"/>
              <w:right w:val="single" w:color="auto" w:sz="4" w:space="0"/>
            </w:tcBorders>
            <w:vAlign w:val="center"/>
          </w:tcPr>
          <w:p w14:paraId="3D5DBC94">
            <w:pPr>
              <w:spacing w:line="440" w:lineRule="atLeast"/>
              <w:rPr>
                <w:rFonts w:ascii="宋体" w:hAnsi="宋体"/>
                <w:color w:val="auto"/>
                <w:szCs w:val="21"/>
                <w:highlight w:val="none"/>
              </w:rPr>
            </w:pPr>
            <w:r>
              <w:rPr>
                <w:rFonts w:hint="eastAsia" w:ascii="宋体" w:hAnsi="宋体"/>
                <w:color w:val="auto"/>
                <w:szCs w:val="21"/>
                <w:highlight w:val="none"/>
              </w:rPr>
              <w:t>已落实</w:t>
            </w:r>
          </w:p>
        </w:tc>
      </w:tr>
      <w:tr w14:paraId="65508797">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7589E0B7">
            <w:pPr>
              <w:spacing w:line="440" w:lineRule="atLeast"/>
              <w:jc w:val="center"/>
              <w:rPr>
                <w:rFonts w:ascii="宋体" w:hAnsi="宋体"/>
                <w:szCs w:val="21"/>
                <w:highlight w:val="none"/>
              </w:rPr>
            </w:pPr>
            <w:r>
              <w:rPr>
                <w:rFonts w:ascii="宋体" w:hAnsi="宋体"/>
                <w:szCs w:val="21"/>
                <w:highlight w:val="none"/>
              </w:rPr>
              <w:t>1.</w:t>
            </w:r>
            <w:r>
              <w:rPr>
                <w:rFonts w:hint="eastAsia" w:ascii="宋体" w:hAnsi="宋体"/>
                <w:szCs w:val="21"/>
                <w:highlight w:val="none"/>
              </w:rPr>
              <w:t>3</w:t>
            </w:r>
            <w:r>
              <w:rPr>
                <w:rFonts w:ascii="宋体" w:hAnsi="宋体"/>
                <w:szCs w:val="21"/>
                <w:highlight w:val="none"/>
              </w:rPr>
              <w:t>.1</w:t>
            </w:r>
          </w:p>
        </w:tc>
        <w:tc>
          <w:tcPr>
            <w:tcW w:w="1980" w:type="dxa"/>
            <w:tcBorders>
              <w:top w:val="single" w:color="auto" w:sz="4" w:space="0"/>
              <w:left w:val="single" w:color="auto" w:sz="4" w:space="0"/>
              <w:bottom w:val="single" w:color="auto" w:sz="4" w:space="0"/>
              <w:right w:val="single" w:color="auto" w:sz="4" w:space="0"/>
            </w:tcBorders>
            <w:vAlign w:val="center"/>
          </w:tcPr>
          <w:p w14:paraId="5D038304">
            <w:pPr>
              <w:spacing w:line="440" w:lineRule="atLeast"/>
              <w:jc w:val="center"/>
              <w:rPr>
                <w:rFonts w:ascii="宋体" w:hAnsi="宋体"/>
                <w:szCs w:val="21"/>
                <w:highlight w:val="none"/>
              </w:rPr>
            </w:pPr>
            <w:r>
              <w:rPr>
                <w:rFonts w:ascii="宋体" w:hAnsi="宋体"/>
                <w:szCs w:val="21"/>
                <w:highlight w:val="none"/>
              </w:rPr>
              <w:t>招标</w:t>
            </w:r>
            <w:r>
              <w:rPr>
                <w:rFonts w:hint="eastAsia" w:ascii="宋体" w:hAnsi="宋体"/>
                <w:szCs w:val="21"/>
                <w:highlight w:val="none"/>
              </w:rPr>
              <w:t>范围</w:t>
            </w:r>
          </w:p>
        </w:tc>
        <w:tc>
          <w:tcPr>
            <w:tcW w:w="5534" w:type="dxa"/>
            <w:tcBorders>
              <w:top w:val="single" w:color="auto" w:sz="4" w:space="0"/>
              <w:left w:val="single" w:color="auto" w:sz="4" w:space="0"/>
              <w:bottom w:val="single" w:color="auto" w:sz="4" w:space="0"/>
              <w:right w:val="single" w:color="auto" w:sz="4" w:space="0"/>
            </w:tcBorders>
            <w:vAlign w:val="center"/>
          </w:tcPr>
          <w:p w14:paraId="26FA4061">
            <w:pPr>
              <w:spacing w:line="440" w:lineRule="atLeast"/>
              <w:rPr>
                <w:rFonts w:ascii="宋体" w:hAnsi="宋体"/>
                <w:color w:val="auto"/>
                <w:szCs w:val="21"/>
                <w:highlight w:val="none"/>
              </w:rPr>
            </w:pPr>
            <w:r>
              <w:rPr>
                <w:rFonts w:hint="eastAsia" w:ascii="宋体" w:hAnsi="宋体"/>
                <w:color w:val="auto"/>
                <w:szCs w:val="21"/>
                <w:highlight w:val="none"/>
              </w:rPr>
              <w:t>第五章“招标内容及商务技术要求”范围内的招标标的及数量</w:t>
            </w:r>
          </w:p>
        </w:tc>
      </w:tr>
      <w:tr w14:paraId="2D4E425B">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324AA282">
            <w:pPr>
              <w:spacing w:line="440" w:lineRule="atLeast"/>
              <w:jc w:val="center"/>
              <w:rPr>
                <w:rFonts w:ascii="宋体" w:hAnsi="宋体"/>
                <w:szCs w:val="21"/>
                <w:highlight w:val="none"/>
              </w:rPr>
            </w:pPr>
            <w:r>
              <w:rPr>
                <w:rFonts w:ascii="宋体" w:hAnsi="宋体"/>
                <w:szCs w:val="21"/>
                <w:highlight w:val="none"/>
              </w:rPr>
              <w:t>1.3.2</w:t>
            </w:r>
          </w:p>
        </w:tc>
        <w:tc>
          <w:tcPr>
            <w:tcW w:w="1980" w:type="dxa"/>
            <w:tcBorders>
              <w:top w:val="single" w:color="auto" w:sz="4" w:space="0"/>
              <w:left w:val="single" w:color="auto" w:sz="4" w:space="0"/>
              <w:bottom w:val="single" w:color="auto" w:sz="4" w:space="0"/>
              <w:right w:val="single" w:color="auto" w:sz="4" w:space="0"/>
            </w:tcBorders>
            <w:vAlign w:val="center"/>
          </w:tcPr>
          <w:p w14:paraId="75C0A549">
            <w:pPr>
              <w:spacing w:line="440" w:lineRule="atLeast"/>
              <w:jc w:val="center"/>
              <w:rPr>
                <w:rFonts w:ascii="宋体" w:hAnsi="宋体"/>
                <w:szCs w:val="21"/>
                <w:highlight w:val="none"/>
              </w:rPr>
            </w:pPr>
            <w:r>
              <w:rPr>
                <w:rFonts w:hint="eastAsia" w:ascii="宋体" w:hAnsi="宋体"/>
                <w:szCs w:val="21"/>
                <w:highlight w:val="none"/>
              </w:rPr>
              <w:t>合同履行期限</w:t>
            </w:r>
          </w:p>
        </w:tc>
        <w:tc>
          <w:tcPr>
            <w:tcW w:w="5534" w:type="dxa"/>
            <w:tcBorders>
              <w:top w:val="single" w:color="auto" w:sz="4" w:space="0"/>
              <w:left w:val="single" w:color="auto" w:sz="4" w:space="0"/>
              <w:bottom w:val="single" w:color="auto" w:sz="4" w:space="0"/>
              <w:right w:val="single" w:color="auto" w:sz="4" w:space="0"/>
            </w:tcBorders>
            <w:vAlign w:val="center"/>
          </w:tcPr>
          <w:p w14:paraId="4919D03F">
            <w:pPr>
              <w:spacing w:line="440" w:lineRule="atLeast"/>
              <w:rPr>
                <w:rFonts w:ascii="宋体" w:hAnsi="宋体"/>
                <w:color w:val="auto"/>
                <w:szCs w:val="21"/>
                <w:highlight w:val="none"/>
              </w:rPr>
            </w:pPr>
            <w:r>
              <w:rPr>
                <w:rFonts w:hint="eastAsia" w:ascii="宋体" w:hAnsi="宋体" w:eastAsia="宋体" w:cs="Times New Roman"/>
                <w:color w:val="auto"/>
                <w:sz w:val="21"/>
                <w:szCs w:val="21"/>
                <w:highlight w:val="none"/>
                <w:lang w:val="en-US"/>
              </w:rPr>
              <w:t>合同签订生效后</w:t>
            </w:r>
            <w:r>
              <w:rPr>
                <w:rFonts w:hint="eastAsia" w:ascii="宋体" w:hAnsi="宋体" w:eastAsia="宋体" w:cs="Times New Roman"/>
                <w:color w:val="auto"/>
                <w:sz w:val="21"/>
                <w:szCs w:val="21"/>
                <w:highlight w:val="none"/>
                <w:u w:val="single"/>
                <w:lang w:val="en-US" w:eastAsia="zh-CN"/>
              </w:rPr>
              <w:t>180日历天</w:t>
            </w:r>
            <w:r>
              <w:rPr>
                <w:rFonts w:hint="eastAsia" w:ascii="宋体" w:hAnsi="宋体" w:eastAsia="宋体" w:cs="Times New Roman"/>
                <w:color w:val="auto"/>
                <w:sz w:val="21"/>
                <w:szCs w:val="21"/>
                <w:highlight w:val="none"/>
                <w:lang w:val="en-US"/>
              </w:rPr>
              <w:t>完成项目全部工作。</w:t>
            </w:r>
          </w:p>
        </w:tc>
      </w:tr>
      <w:tr w14:paraId="20F93714">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698EBFA7">
            <w:pPr>
              <w:spacing w:line="440" w:lineRule="atLeast"/>
              <w:jc w:val="center"/>
              <w:rPr>
                <w:rFonts w:ascii="宋体" w:hAnsi="宋体"/>
                <w:szCs w:val="21"/>
                <w:highlight w:val="none"/>
              </w:rPr>
            </w:pPr>
            <w:r>
              <w:rPr>
                <w:rFonts w:ascii="宋体" w:hAnsi="宋体"/>
                <w:szCs w:val="21"/>
                <w:highlight w:val="none"/>
              </w:rPr>
              <w:t>1.3.3</w:t>
            </w:r>
          </w:p>
        </w:tc>
        <w:tc>
          <w:tcPr>
            <w:tcW w:w="1980" w:type="dxa"/>
            <w:tcBorders>
              <w:top w:val="single" w:color="auto" w:sz="4" w:space="0"/>
              <w:left w:val="single" w:color="auto" w:sz="4" w:space="0"/>
              <w:bottom w:val="single" w:color="auto" w:sz="4" w:space="0"/>
              <w:right w:val="single" w:color="auto" w:sz="4" w:space="0"/>
            </w:tcBorders>
            <w:vAlign w:val="center"/>
          </w:tcPr>
          <w:p w14:paraId="24342AA8">
            <w:pPr>
              <w:spacing w:line="440" w:lineRule="atLeast"/>
              <w:jc w:val="center"/>
              <w:rPr>
                <w:rFonts w:ascii="宋体" w:hAnsi="宋体"/>
                <w:szCs w:val="21"/>
                <w:highlight w:val="none"/>
              </w:rPr>
            </w:pPr>
            <w:r>
              <w:rPr>
                <w:rFonts w:ascii="宋体" w:hAnsi="宋体"/>
                <w:szCs w:val="21"/>
                <w:highlight w:val="none"/>
              </w:rPr>
              <w:t>质量要求</w:t>
            </w:r>
          </w:p>
        </w:tc>
        <w:tc>
          <w:tcPr>
            <w:tcW w:w="5534" w:type="dxa"/>
            <w:tcBorders>
              <w:top w:val="single" w:color="auto" w:sz="4" w:space="0"/>
              <w:left w:val="single" w:color="auto" w:sz="4" w:space="0"/>
              <w:bottom w:val="single" w:color="auto" w:sz="4" w:space="0"/>
              <w:right w:val="single" w:color="auto" w:sz="4" w:space="0"/>
            </w:tcBorders>
            <w:vAlign w:val="center"/>
          </w:tcPr>
          <w:p w14:paraId="13327DB1">
            <w:pPr>
              <w:spacing w:line="440" w:lineRule="atLeast"/>
              <w:rPr>
                <w:rFonts w:ascii="宋体" w:hAnsi="宋体"/>
                <w:color w:val="auto"/>
                <w:szCs w:val="21"/>
                <w:highlight w:val="none"/>
              </w:rPr>
            </w:pPr>
            <w:r>
              <w:rPr>
                <w:rFonts w:hint="eastAsia" w:ascii="宋体" w:hAnsi="宋体"/>
                <w:color w:val="auto"/>
                <w:szCs w:val="21"/>
                <w:highlight w:val="none"/>
              </w:rPr>
              <w:t>质量符合</w:t>
            </w:r>
            <w:r>
              <w:rPr>
                <w:rFonts w:hint="eastAsia" w:ascii="宋体" w:hAnsi="宋体"/>
                <w:color w:val="auto"/>
                <w:szCs w:val="21"/>
                <w:highlight w:val="none"/>
                <w:u w:val="single"/>
              </w:rPr>
              <w:t>　国家标准　</w:t>
            </w:r>
            <w:r>
              <w:rPr>
                <w:rFonts w:hint="eastAsia" w:ascii="宋体" w:hAnsi="宋体"/>
                <w:color w:val="auto"/>
                <w:szCs w:val="21"/>
                <w:highlight w:val="none"/>
              </w:rPr>
              <w:t>。本项内容要求与第五章“采购内容及商务技术要求”内容不一致时以后者为准。</w:t>
            </w:r>
          </w:p>
        </w:tc>
      </w:tr>
      <w:tr w14:paraId="4CA179BA">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212F5CE4">
            <w:pPr>
              <w:spacing w:line="440" w:lineRule="atLeast"/>
              <w:jc w:val="center"/>
              <w:rPr>
                <w:rFonts w:ascii="宋体" w:hAnsi="宋体"/>
                <w:szCs w:val="21"/>
                <w:highlight w:val="none"/>
              </w:rPr>
            </w:pPr>
            <w:r>
              <w:rPr>
                <w:rFonts w:hint="eastAsia" w:ascii="宋体" w:hAnsi="宋体"/>
                <w:szCs w:val="21"/>
                <w:highlight w:val="none"/>
              </w:rPr>
              <w:t>1.3.4</w:t>
            </w:r>
          </w:p>
        </w:tc>
        <w:tc>
          <w:tcPr>
            <w:tcW w:w="1980" w:type="dxa"/>
            <w:tcBorders>
              <w:top w:val="single" w:color="auto" w:sz="4" w:space="0"/>
              <w:left w:val="single" w:color="auto" w:sz="4" w:space="0"/>
              <w:bottom w:val="single" w:color="auto" w:sz="4" w:space="0"/>
              <w:right w:val="single" w:color="auto" w:sz="4" w:space="0"/>
            </w:tcBorders>
            <w:vAlign w:val="center"/>
          </w:tcPr>
          <w:p w14:paraId="2BAAF5BB">
            <w:pPr>
              <w:spacing w:line="440" w:lineRule="atLeast"/>
              <w:jc w:val="center"/>
              <w:rPr>
                <w:rFonts w:hint="default" w:ascii="宋体" w:hAnsi="宋体" w:eastAsia="宋体"/>
                <w:szCs w:val="21"/>
                <w:highlight w:val="none"/>
                <w:lang w:val="en-US" w:eastAsia="zh-CN"/>
              </w:rPr>
            </w:pPr>
            <w:r>
              <w:rPr>
                <w:rFonts w:hint="eastAsia" w:ascii="宋体" w:hAnsi="宋体"/>
                <w:szCs w:val="21"/>
                <w:highlight w:val="none"/>
                <w:lang w:val="en-US" w:eastAsia="zh-CN"/>
              </w:rPr>
              <w:t>运维期限</w:t>
            </w:r>
          </w:p>
        </w:tc>
        <w:tc>
          <w:tcPr>
            <w:tcW w:w="5534" w:type="dxa"/>
            <w:tcBorders>
              <w:top w:val="single" w:color="auto" w:sz="4" w:space="0"/>
              <w:left w:val="single" w:color="auto" w:sz="4" w:space="0"/>
              <w:bottom w:val="single" w:color="auto" w:sz="4" w:space="0"/>
              <w:right w:val="single" w:color="auto" w:sz="4" w:space="0"/>
            </w:tcBorders>
            <w:vAlign w:val="center"/>
          </w:tcPr>
          <w:p w14:paraId="4E00C128">
            <w:pPr>
              <w:spacing w:line="440" w:lineRule="atLeast"/>
              <w:rPr>
                <w:rFonts w:ascii="宋体" w:hAnsi="宋体"/>
                <w:color w:val="auto"/>
                <w:szCs w:val="21"/>
                <w:highlight w:val="none"/>
              </w:rPr>
            </w:pPr>
            <w:r>
              <w:rPr>
                <w:rFonts w:hint="eastAsia" w:ascii="宋体" w:hAnsi="宋体" w:eastAsia="宋体" w:cs="Times New Roman"/>
                <w:color w:val="auto"/>
                <w:sz w:val="21"/>
                <w:szCs w:val="21"/>
                <w:highlight w:val="none"/>
                <w:lang w:val="en-US" w:eastAsia="zh-CN"/>
              </w:rPr>
              <w:t>运维期限</w:t>
            </w:r>
            <w:r>
              <w:rPr>
                <w:rFonts w:hint="eastAsia" w:ascii="宋体" w:hAnsi="宋体" w:eastAsia="宋体" w:cs="Times New Roman"/>
                <w:color w:val="auto"/>
                <w:sz w:val="21"/>
                <w:szCs w:val="21"/>
                <w:highlight w:val="none"/>
                <w:lang w:val="en-US"/>
              </w:rPr>
              <w:t>为</w:t>
            </w:r>
            <w:r>
              <w:rPr>
                <w:rFonts w:hint="eastAsia" w:ascii="宋体" w:hAnsi="宋体" w:eastAsia="宋体" w:cs="Times New Roman"/>
                <w:color w:val="auto"/>
                <w:sz w:val="21"/>
                <w:szCs w:val="21"/>
                <w:highlight w:val="none"/>
                <w:u w:val="none"/>
                <w:lang w:val="en-US" w:eastAsia="zh-CN"/>
              </w:rPr>
              <w:t>2年</w:t>
            </w:r>
            <w:r>
              <w:rPr>
                <w:rFonts w:hint="eastAsia" w:ascii="宋体" w:hAnsi="宋体" w:eastAsia="宋体" w:cs="Times New Roman"/>
                <w:color w:val="auto"/>
                <w:sz w:val="21"/>
                <w:szCs w:val="21"/>
                <w:highlight w:val="none"/>
                <w:lang w:val="en-US"/>
              </w:rPr>
              <w:t>。（从合同履行结束，项日验收合格之日开始计算。）</w:t>
            </w:r>
          </w:p>
        </w:tc>
      </w:tr>
      <w:tr w14:paraId="2FD85191">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138C78BE">
            <w:pPr>
              <w:spacing w:line="440" w:lineRule="atLeast"/>
              <w:jc w:val="center"/>
              <w:rPr>
                <w:rFonts w:ascii="宋体" w:hAnsi="宋体"/>
                <w:szCs w:val="21"/>
                <w:highlight w:val="none"/>
              </w:rPr>
            </w:pPr>
            <w:r>
              <w:rPr>
                <w:rFonts w:ascii="宋体" w:hAnsi="宋体"/>
                <w:szCs w:val="21"/>
                <w:highlight w:val="none"/>
              </w:rPr>
              <w:t>1.4.1</w:t>
            </w:r>
          </w:p>
        </w:tc>
        <w:tc>
          <w:tcPr>
            <w:tcW w:w="1980" w:type="dxa"/>
            <w:tcBorders>
              <w:top w:val="single" w:color="auto" w:sz="4" w:space="0"/>
              <w:left w:val="single" w:color="auto" w:sz="4" w:space="0"/>
              <w:bottom w:val="single" w:color="auto" w:sz="4" w:space="0"/>
              <w:right w:val="single" w:color="auto" w:sz="4" w:space="0"/>
            </w:tcBorders>
            <w:vAlign w:val="center"/>
          </w:tcPr>
          <w:p w14:paraId="75217553">
            <w:pPr>
              <w:spacing w:line="440" w:lineRule="atLeast"/>
              <w:jc w:val="center"/>
              <w:rPr>
                <w:rFonts w:ascii="宋体" w:hAnsi="宋体"/>
                <w:szCs w:val="21"/>
                <w:highlight w:val="none"/>
              </w:rPr>
            </w:pPr>
            <w:r>
              <w:rPr>
                <w:rFonts w:ascii="宋体" w:hAnsi="宋体"/>
                <w:szCs w:val="21"/>
                <w:highlight w:val="none"/>
              </w:rPr>
              <w:t>供应商资</w:t>
            </w:r>
            <w:r>
              <w:rPr>
                <w:rFonts w:hint="eastAsia" w:ascii="宋体" w:hAnsi="宋体"/>
                <w:szCs w:val="21"/>
                <w:highlight w:val="none"/>
              </w:rPr>
              <w:t>格要求</w:t>
            </w:r>
          </w:p>
        </w:tc>
        <w:tc>
          <w:tcPr>
            <w:tcW w:w="5534" w:type="dxa"/>
            <w:tcBorders>
              <w:top w:val="single" w:color="auto" w:sz="4" w:space="0"/>
              <w:left w:val="single" w:color="auto" w:sz="4" w:space="0"/>
              <w:bottom w:val="single" w:color="auto" w:sz="4" w:space="0"/>
              <w:right w:val="single" w:color="auto" w:sz="4" w:space="0"/>
            </w:tcBorders>
            <w:vAlign w:val="center"/>
          </w:tcPr>
          <w:p w14:paraId="51F3722E">
            <w:pPr>
              <w:spacing w:line="440" w:lineRule="atLeast"/>
              <w:jc w:val="both"/>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供应商资格要求内容同</w:t>
            </w:r>
            <w:r>
              <w:rPr>
                <w:rFonts w:hint="eastAsia" w:ascii="宋体" w:hAnsi="宋体"/>
                <w:color w:val="auto"/>
                <w:szCs w:val="21"/>
                <w:highlight w:val="none"/>
              </w:rPr>
              <w:t>招标公告</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投标邀请函</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中“</w:t>
            </w:r>
            <w:r>
              <w:rPr>
                <w:rFonts w:hint="eastAsia" w:ascii="宋体" w:hAnsi="宋体"/>
                <w:color w:val="auto"/>
                <w:szCs w:val="21"/>
                <w:highlight w:val="none"/>
              </w:rPr>
              <w:t>申请人资格要求</w:t>
            </w:r>
            <w:r>
              <w:rPr>
                <w:rFonts w:hint="eastAsia" w:ascii="宋体" w:hAnsi="宋体"/>
                <w:color w:val="auto"/>
                <w:szCs w:val="21"/>
                <w:highlight w:val="none"/>
                <w:lang w:val="en-US" w:eastAsia="zh-CN"/>
              </w:rPr>
              <w:t>”。</w:t>
            </w:r>
          </w:p>
          <w:p w14:paraId="46B55EF9">
            <w:pPr>
              <w:spacing w:line="440" w:lineRule="atLeast"/>
              <w:jc w:val="both"/>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注：资格要求中“营业执照等证明材料”可分为如下情况：</w:t>
            </w:r>
          </w:p>
          <w:p w14:paraId="7087A408">
            <w:pPr>
              <w:spacing w:line="440" w:lineRule="atLeast"/>
              <w:jc w:val="both"/>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供应商是企业的，应提供有效的企业法人“营业执照”。</w:t>
            </w:r>
          </w:p>
          <w:p w14:paraId="367BDC1E">
            <w:pPr>
              <w:spacing w:line="440" w:lineRule="atLeast"/>
              <w:jc w:val="both"/>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供应商是事业单位的，应提供有效的“事业单位法人证书”。</w:t>
            </w:r>
          </w:p>
          <w:p w14:paraId="28994102">
            <w:pPr>
              <w:spacing w:line="440" w:lineRule="atLeast"/>
              <w:jc w:val="both"/>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供应商是非企业机构的，应提供有效的“执业许可证”、“登记证书”等证明文件。</w:t>
            </w:r>
          </w:p>
          <w:p w14:paraId="76102E9C">
            <w:pPr>
              <w:spacing w:line="440" w:lineRule="atLeast"/>
              <w:jc w:val="both"/>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供应商是个体工商户的，应提供有效的个体工商户“营业执照”。</w:t>
            </w:r>
          </w:p>
          <w:p w14:paraId="5697917C">
            <w:pPr>
              <w:spacing w:line="440" w:lineRule="atLeast"/>
              <w:jc w:val="both"/>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供应商是自然人的，应提供有效的自然人身份证明。（采购文件允许自然人参加投标时适用。）</w:t>
            </w:r>
          </w:p>
          <w:p w14:paraId="375757BE">
            <w:pPr>
              <w:spacing w:line="440" w:lineRule="atLeast"/>
              <w:jc w:val="both"/>
              <w:rPr>
                <w:color w:val="auto"/>
                <w:highlight w:val="none"/>
              </w:rPr>
            </w:pPr>
            <w:r>
              <w:rPr>
                <w:rFonts w:hint="eastAsia" w:ascii="宋体" w:hAnsi="宋体" w:eastAsia="宋体" w:cs="Times New Roman"/>
                <w:color w:val="auto"/>
                <w:szCs w:val="21"/>
                <w:highlight w:val="none"/>
                <w:lang w:val="en-US" w:eastAsia="zh-CN"/>
              </w:rPr>
              <w:t>分支机构参加投标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采购文件允许不具备独立法人资格的分支机构参加投标时适用。）</w:t>
            </w:r>
          </w:p>
        </w:tc>
      </w:tr>
      <w:tr w14:paraId="44C9C064">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5D4BB205">
            <w:pPr>
              <w:spacing w:line="440" w:lineRule="atLeast"/>
              <w:jc w:val="center"/>
              <w:rPr>
                <w:rFonts w:ascii="宋体" w:hAnsi="宋体"/>
                <w:szCs w:val="21"/>
                <w:highlight w:val="none"/>
              </w:rPr>
            </w:pPr>
            <w:r>
              <w:rPr>
                <w:rFonts w:ascii="宋体" w:hAnsi="宋体"/>
                <w:szCs w:val="21"/>
                <w:highlight w:val="none"/>
              </w:rPr>
              <w:t>1.</w:t>
            </w:r>
            <w:r>
              <w:rPr>
                <w:rFonts w:hint="eastAsia" w:ascii="宋体" w:hAnsi="宋体"/>
                <w:szCs w:val="21"/>
                <w:highlight w:val="none"/>
              </w:rPr>
              <w:t>9</w:t>
            </w:r>
            <w:r>
              <w:rPr>
                <w:rFonts w:ascii="宋体" w:hAnsi="宋体"/>
                <w:szCs w:val="21"/>
                <w:highlight w:val="none"/>
              </w:rPr>
              <w:t>.1</w:t>
            </w:r>
          </w:p>
        </w:tc>
        <w:tc>
          <w:tcPr>
            <w:tcW w:w="1980" w:type="dxa"/>
            <w:tcBorders>
              <w:top w:val="single" w:color="auto" w:sz="4" w:space="0"/>
              <w:left w:val="single" w:color="auto" w:sz="4" w:space="0"/>
              <w:bottom w:val="single" w:color="auto" w:sz="4" w:space="0"/>
              <w:right w:val="single" w:color="auto" w:sz="4" w:space="0"/>
            </w:tcBorders>
            <w:vAlign w:val="center"/>
          </w:tcPr>
          <w:p w14:paraId="4DD26C6C">
            <w:pPr>
              <w:spacing w:line="440" w:lineRule="atLeast"/>
              <w:jc w:val="center"/>
              <w:rPr>
                <w:rFonts w:ascii="宋体" w:hAnsi="宋体"/>
                <w:szCs w:val="21"/>
                <w:highlight w:val="none"/>
              </w:rPr>
            </w:pPr>
            <w:r>
              <w:rPr>
                <w:rFonts w:hint="eastAsia" w:ascii="宋体" w:hAnsi="宋体"/>
                <w:szCs w:val="21"/>
                <w:highlight w:val="none"/>
              </w:rPr>
              <w:t>踏勘现场</w:t>
            </w:r>
          </w:p>
        </w:tc>
        <w:tc>
          <w:tcPr>
            <w:tcW w:w="5534" w:type="dxa"/>
            <w:tcBorders>
              <w:top w:val="single" w:color="auto" w:sz="4" w:space="0"/>
              <w:left w:val="single" w:color="auto" w:sz="4" w:space="0"/>
              <w:bottom w:val="single" w:color="auto" w:sz="4" w:space="0"/>
              <w:right w:val="single" w:color="auto" w:sz="4" w:space="0"/>
            </w:tcBorders>
            <w:vAlign w:val="center"/>
          </w:tcPr>
          <w:p w14:paraId="63CDB188">
            <w:pPr>
              <w:pStyle w:val="11"/>
              <w:topLinePunct/>
              <w:spacing w:line="440" w:lineRule="atLeast"/>
              <w:rPr>
                <w:rFonts w:hAnsi="宋体"/>
                <w:color w:val="auto"/>
                <w:sz w:val="21"/>
                <w:szCs w:val="21"/>
                <w:highlight w:val="none"/>
              </w:rPr>
            </w:pPr>
            <w:r>
              <w:rPr>
                <w:rFonts w:hAnsi="宋体"/>
                <w:color w:val="auto"/>
                <w:sz w:val="21"/>
                <w:szCs w:val="21"/>
                <w:highlight w:val="none"/>
              </w:rPr>
              <w:sym w:font="Wingdings" w:char="F0FE"/>
            </w:r>
            <w:r>
              <w:rPr>
                <w:rFonts w:hint="eastAsia" w:hAnsi="宋体"/>
                <w:color w:val="auto"/>
                <w:sz w:val="21"/>
                <w:szCs w:val="21"/>
                <w:highlight w:val="none"/>
              </w:rPr>
              <w:t>不组织，各供应商自行踏勘</w:t>
            </w:r>
          </w:p>
          <w:p w14:paraId="083A3E24">
            <w:pPr>
              <w:spacing w:line="440" w:lineRule="atLeast"/>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rPr>
              <w:t>组织，踏勘时间：　　　踏勘集中地点：</w:t>
            </w:r>
          </w:p>
        </w:tc>
      </w:tr>
      <w:tr w14:paraId="6146ECBA">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62226E20">
            <w:pPr>
              <w:spacing w:line="440" w:lineRule="atLeast"/>
              <w:jc w:val="center"/>
              <w:rPr>
                <w:rFonts w:ascii="宋体" w:hAnsi="宋体"/>
                <w:szCs w:val="21"/>
                <w:highlight w:val="none"/>
              </w:rPr>
            </w:pPr>
            <w:r>
              <w:rPr>
                <w:rFonts w:ascii="宋体" w:hAnsi="宋体"/>
                <w:szCs w:val="21"/>
                <w:highlight w:val="none"/>
              </w:rPr>
              <w:t>1.</w:t>
            </w:r>
            <w:r>
              <w:rPr>
                <w:rFonts w:hint="eastAsia" w:ascii="宋体" w:hAnsi="宋体"/>
                <w:szCs w:val="21"/>
                <w:highlight w:val="none"/>
              </w:rPr>
              <w:t>10</w:t>
            </w:r>
            <w:r>
              <w:rPr>
                <w:rFonts w:ascii="宋体" w:hAnsi="宋体"/>
                <w:szCs w:val="21"/>
                <w:highlight w:val="none"/>
              </w:rPr>
              <w:t>.1</w:t>
            </w:r>
          </w:p>
        </w:tc>
        <w:tc>
          <w:tcPr>
            <w:tcW w:w="1980" w:type="dxa"/>
            <w:tcBorders>
              <w:top w:val="single" w:color="auto" w:sz="4" w:space="0"/>
              <w:left w:val="single" w:color="auto" w:sz="4" w:space="0"/>
              <w:bottom w:val="single" w:color="auto" w:sz="4" w:space="0"/>
              <w:right w:val="single" w:color="auto" w:sz="4" w:space="0"/>
            </w:tcBorders>
            <w:vAlign w:val="center"/>
          </w:tcPr>
          <w:p w14:paraId="3114C5A1">
            <w:pPr>
              <w:spacing w:line="440" w:lineRule="atLeast"/>
              <w:jc w:val="center"/>
              <w:rPr>
                <w:rFonts w:ascii="宋体" w:hAnsi="宋体"/>
                <w:szCs w:val="21"/>
                <w:highlight w:val="none"/>
              </w:rPr>
            </w:pPr>
            <w:r>
              <w:rPr>
                <w:rFonts w:hint="eastAsia" w:ascii="宋体" w:hAnsi="宋体"/>
                <w:szCs w:val="21"/>
                <w:highlight w:val="none"/>
              </w:rPr>
              <w:t>投标预备会</w:t>
            </w:r>
          </w:p>
        </w:tc>
        <w:tc>
          <w:tcPr>
            <w:tcW w:w="5534" w:type="dxa"/>
            <w:tcBorders>
              <w:top w:val="single" w:color="auto" w:sz="4" w:space="0"/>
              <w:left w:val="single" w:color="auto" w:sz="4" w:space="0"/>
              <w:bottom w:val="single" w:color="auto" w:sz="4" w:space="0"/>
              <w:right w:val="single" w:color="auto" w:sz="4" w:space="0"/>
            </w:tcBorders>
            <w:vAlign w:val="center"/>
          </w:tcPr>
          <w:p w14:paraId="2BA33027">
            <w:pPr>
              <w:pStyle w:val="11"/>
              <w:topLinePunct/>
              <w:spacing w:line="440" w:lineRule="atLeast"/>
              <w:rPr>
                <w:rFonts w:hAnsi="宋体"/>
                <w:color w:val="auto"/>
                <w:sz w:val="21"/>
                <w:szCs w:val="21"/>
                <w:highlight w:val="none"/>
              </w:rPr>
            </w:pPr>
            <w:r>
              <w:rPr>
                <w:rFonts w:hAnsi="宋体"/>
                <w:color w:val="auto"/>
                <w:sz w:val="21"/>
                <w:szCs w:val="21"/>
                <w:highlight w:val="none"/>
              </w:rPr>
              <w:sym w:font="Wingdings" w:char="F0FE"/>
            </w:r>
            <w:r>
              <w:rPr>
                <w:rFonts w:hint="eastAsia" w:hAnsi="宋体"/>
                <w:color w:val="auto"/>
                <w:sz w:val="21"/>
                <w:szCs w:val="21"/>
                <w:highlight w:val="none"/>
              </w:rPr>
              <w:t>不召开</w:t>
            </w:r>
          </w:p>
          <w:p w14:paraId="1ED2BC52">
            <w:pPr>
              <w:spacing w:line="440" w:lineRule="atLeast"/>
              <w:rPr>
                <w:rFonts w:ascii="宋体" w:hAnsi="宋体"/>
                <w:color w:val="auto"/>
                <w:szCs w:val="21"/>
                <w:highlight w:val="none"/>
              </w:rPr>
            </w:pPr>
            <w:r>
              <w:rPr>
                <w:rFonts w:ascii="宋体" w:hAnsi="宋体"/>
                <w:color w:val="auto"/>
                <w:sz w:val="32"/>
                <w:szCs w:val="32"/>
                <w:highlight w:val="none"/>
              </w:rPr>
              <w:t>□</w:t>
            </w:r>
            <w:r>
              <w:rPr>
                <w:rFonts w:hint="eastAsia" w:ascii="宋体" w:hAnsi="宋体"/>
                <w:color w:val="auto"/>
                <w:highlight w:val="none"/>
              </w:rPr>
              <w:t>召开，召开时间：　　　　　召开地点：</w:t>
            </w:r>
          </w:p>
        </w:tc>
      </w:tr>
      <w:tr w14:paraId="4DE191F6">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18FD56D0">
            <w:pPr>
              <w:spacing w:line="440" w:lineRule="atLeast"/>
              <w:jc w:val="center"/>
              <w:rPr>
                <w:rFonts w:ascii="宋体" w:hAnsi="宋体"/>
                <w:szCs w:val="21"/>
                <w:highlight w:val="none"/>
              </w:rPr>
            </w:pPr>
            <w:r>
              <w:rPr>
                <w:rFonts w:hint="eastAsia" w:ascii="宋体" w:hAnsi="宋体"/>
                <w:szCs w:val="21"/>
                <w:highlight w:val="none"/>
              </w:rPr>
              <w:t>1.11.1</w:t>
            </w:r>
          </w:p>
        </w:tc>
        <w:tc>
          <w:tcPr>
            <w:tcW w:w="1980" w:type="dxa"/>
            <w:tcBorders>
              <w:top w:val="single" w:color="auto" w:sz="4" w:space="0"/>
              <w:left w:val="single" w:color="auto" w:sz="4" w:space="0"/>
              <w:bottom w:val="single" w:color="auto" w:sz="4" w:space="0"/>
              <w:right w:val="single" w:color="auto" w:sz="4" w:space="0"/>
            </w:tcBorders>
            <w:vAlign w:val="center"/>
          </w:tcPr>
          <w:p w14:paraId="4865FF5F">
            <w:pPr>
              <w:spacing w:line="440" w:lineRule="atLeast"/>
              <w:jc w:val="center"/>
              <w:rPr>
                <w:rFonts w:ascii="宋体" w:hAnsi="宋体"/>
                <w:szCs w:val="21"/>
                <w:highlight w:val="none"/>
              </w:rPr>
            </w:pPr>
            <w:r>
              <w:rPr>
                <w:rFonts w:hint="eastAsia" w:ascii="宋体" w:hAnsi="宋体"/>
                <w:szCs w:val="21"/>
                <w:highlight w:val="none"/>
              </w:rPr>
              <w:t>实质性要求和条件</w:t>
            </w:r>
          </w:p>
        </w:tc>
        <w:tc>
          <w:tcPr>
            <w:tcW w:w="5534" w:type="dxa"/>
            <w:tcBorders>
              <w:top w:val="single" w:color="auto" w:sz="4" w:space="0"/>
              <w:left w:val="single" w:color="auto" w:sz="4" w:space="0"/>
              <w:bottom w:val="single" w:color="auto" w:sz="4" w:space="0"/>
              <w:right w:val="single" w:color="auto" w:sz="4" w:space="0"/>
            </w:tcBorders>
            <w:vAlign w:val="center"/>
          </w:tcPr>
          <w:p w14:paraId="70219CFB">
            <w:pPr>
              <w:pStyle w:val="11"/>
              <w:topLinePunct/>
              <w:spacing w:line="440" w:lineRule="atLeast"/>
              <w:rPr>
                <w:rFonts w:hAnsi="宋体"/>
                <w:color w:val="auto"/>
                <w:sz w:val="21"/>
                <w:szCs w:val="21"/>
                <w:highlight w:val="none"/>
              </w:rPr>
            </w:pPr>
            <w:r>
              <w:rPr>
                <w:rFonts w:hint="eastAsia" w:hAnsi="宋体"/>
                <w:color w:val="auto"/>
                <w:sz w:val="21"/>
                <w:szCs w:val="21"/>
                <w:highlight w:val="none"/>
              </w:rPr>
              <w:t>1、“资格要求”内容。</w:t>
            </w:r>
          </w:p>
          <w:p w14:paraId="53D5B6E3">
            <w:pPr>
              <w:pStyle w:val="11"/>
              <w:topLinePunct/>
              <w:spacing w:line="440" w:lineRule="atLeast"/>
              <w:rPr>
                <w:rFonts w:hAnsi="宋体"/>
                <w:color w:val="auto"/>
                <w:sz w:val="21"/>
                <w:szCs w:val="21"/>
                <w:highlight w:val="none"/>
              </w:rPr>
            </w:pPr>
            <w:r>
              <w:rPr>
                <w:rFonts w:hint="eastAsia" w:hAnsi="宋体"/>
                <w:color w:val="auto"/>
                <w:sz w:val="21"/>
                <w:szCs w:val="21"/>
                <w:highlight w:val="none"/>
              </w:rPr>
              <w:t>2、评标办法前附表中“符合性审查”内容。</w:t>
            </w:r>
          </w:p>
          <w:p w14:paraId="4DA2FAB9">
            <w:pPr>
              <w:pStyle w:val="11"/>
              <w:topLinePunct/>
              <w:spacing w:line="440" w:lineRule="atLeast"/>
              <w:rPr>
                <w:rFonts w:hAnsi="宋体"/>
                <w:color w:val="auto"/>
                <w:sz w:val="21"/>
                <w:szCs w:val="21"/>
                <w:highlight w:val="none"/>
              </w:rPr>
            </w:pPr>
            <w:r>
              <w:rPr>
                <w:rFonts w:hint="eastAsia" w:hAnsi="宋体"/>
                <w:color w:val="auto"/>
                <w:sz w:val="21"/>
                <w:szCs w:val="21"/>
                <w:highlight w:val="none"/>
              </w:rPr>
              <w:t>3、采购</w:t>
            </w:r>
            <w:r>
              <w:rPr>
                <w:rFonts w:hint="eastAsia" w:hAnsi="宋体"/>
                <w:color w:val="auto"/>
                <w:sz w:val="21"/>
                <w:szCs w:val="21"/>
                <w:highlight w:val="none"/>
                <w:lang w:val="en-US" w:eastAsia="zh-CN"/>
              </w:rPr>
              <w:t>文件中注明“实质性要求”内容、或明确不接受的条件、或</w:t>
            </w:r>
            <w:r>
              <w:rPr>
                <w:rFonts w:hint="eastAsia" w:hAnsi="宋体"/>
                <w:color w:val="auto"/>
                <w:sz w:val="21"/>
                <w:szCs w:val="21"/>
                <w:highlight w:val="none"/>
              </w:rPr>
              <w:t>列明的其他构成无效投标的内容。</w:t>
            </w:r>
          </w:p>
        </w:tc>
      </w:tr>
      <w:tr w14:paraId="3F6D0FD7">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0DE9DC5B">
            <w:pPr>
              <w:spacing w:line="440" w:lineRule="atLeast"/>
              <w:jc w:val="center"/>
              <w:rPr>
                <w:rFonts w:ascii="宋体" w:hAnsi="宋体"/>
                <w:szCs w:val="21"/>
                <w:highlight w:val="none"/>
              </w:rPr>
            </w:pPr>
            <w:r>
              <w:rPr>
                <w:rFonts w:ascii="宋体" w:hAnsi="宋体"/>
                <w:szCs w:val="21"/>
                <w:highlight w:val="none"/>
              </w:rPr>
              <w:t>2.1</w:t>
            </w:r>
          </w:p>
        </w:tc>
        <w:tc>
          <w:tcPr>
            <w:tcW w:w="1980" w:type="dxa"/>
            <w:tcBorders>
              <w:top w:val="single" w:color="auto" w:sz="4" w:space="0"/>
              <w:left w:val="single" w:color="auto" w:sz="4" w:space="0"/>
              <w:bottom w:val="single" w:color="auto" w:sz="4" w:space="0"/>
              <w:right w:val="single" w:color="auto" w:sz="4" w:space="0"/>
            </w:tcBorders>
            <w:vAlign w:val="center"/>
          </w:tcPr>
          <w:p w14:paraId="5C866228">
            <w:pPr>
              <w:spacing w:line="440" w:lineRule="atLeast"/>
              <w:jc w:val="center"/>
              <w:rPr>
                <w:rFonts w:ascii="宋体" w:hAnsi="宋体"/>
                <w:szCs w:val="21"/>
                <w:highlight w:val="none"/>
              </w:rPr>
            </w:pPr>
            <w:r>
              <w:rPr>
                <w:rFonts w:ascii="宋体" w:hAnsi="宋体"/>
                <w:szCs w:val="21"/>
                <w:highlight w:val="none"/>
              </w:rPr>
              <w:t>构成招标文件的其他材料</w:t>
            </w:r>
          </w:p>
        </w:tc>
        <w:tc>
          <w:tcPr>
            <w:tcW w:w="5534" w:type="dxa"/>
            <w:tcBorders>
              <w:top w:val="single" w:color="auto" w:sz="4" w:space="0"/>
              <w:left w:val="single" w:color="auto" w:sz="4" w:space="0"/>
              <w:bottom w:val="single" w:color="auto" w:sz="4" w:space="0"/>
              <w:right w:val="single" w:color="auto" w:sz="4" w:space="0"/>
            </w:tcBorders>
            <w:vAlign w:val="center"/>
          </w:tcPr>
          <w:p w14:paraId="6EFB2738">
            <w:pPr>
              <w:spacing w:line="440" w:lineRule="atLeast"/>
              <w:rPr>
                <w:rFonts w:ascii="宋体" w:hAnsi="宋体"/>
                <w:color w:val="auto"/>
                <w:szCs w:val="21"/>
                <w:highlight w:val="none"/>
              </w:rPr>
            </w:pPr>
            <w:r>
              <w:rPr>
                <w:rFonts w:hint="eastAsia" w:ascii="宋体" w:hAnsi="宋体"/>
                <w:color w:val="auto"/>
                <w:szCs w:val="21"/>
                <w:highlight w:val="none"/>
              </w:rPr>
              <w:t>///</w:t>
            </w:r>
          </w:p>
        </w:tc>
      </w:tr>
      <w:tr w14:paraId="79F13385">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7384BBA1">
            <w:pPr>
              <w:spacing w:line="440" w:lineRule="atLeast"/>
              <w:jc w:val="center"/>
              <w:rPr>
                <w:rFonts w:ascii="宋体" w:hAnsi="宋体"/>
                <w:szCs w:val="21"/>
                <w:highlight w:val="none"/>
              </w:rPr>
            </w:pPr>
            <w:r>
              <w:rPr>
                <w:rFonts w:ascii="宋体" w:hAnsi="宋体"/>
                <w:szCs w:val="21"/>
                <w:highlight w:val="none"/>
              </w:rPr>
              <w:t>2.2.1</w:t>
            </w:r>
          </w:p>
        </w:tc>
        <w:tc>
          <w:tcPr>
            <w:tcW w:w="1980" w:type="dxa"/>
            <w:tcBorders>
              <w:top w:val="single" w:color="auto" w:sz="4" w:space="0"/>
              <w:left w:val="single" w:color="auto" w:sz="4" w:space="0"/>
              <w:bottom w:val="single" w:color="auto" w:sz="4" w:space="0"/>
              <w:right w:val="single" w:color="auto" w:sz="4" w:space="0"/>
            </w:tcBorders>
            <w:vAlign w:val="center"/>
          </w:tcPr>
          <w:p w14:paraId="021E64EA">
            <w:pPr>
              <w:spacing w:line="440" w:lineRule="atLeast"/>
              <w:jc w:val="center"/>
              <w:rPr>
                <w:rFonts w:ascii="宋体" w:hAnsi="宋体"/>
                <w:szCs w:val="21"/>
                <w:highlight w:val="none"/>
              </w:rPr>
            </w:pPr>
            <w:r>
              <w:rPr>
                <w:rFonts w:ascii="宋体" w:hAnsi="宋体"/>
                <w:szCs w:val="21"/>
                <w:highlight w:val="none"/>
              </w:rPr>
              <w:t>供应商</w:t>
            </w:r>
            <w:r>
              <w:rPr>
                <w:rFonts w:hint="eastAsia" w:ascii="宋体" w:hAnsi="宋体"/>
                <w:szCs w:val="21"/>
                <w:highlight w:val="none"/>
              </w:rPr>
              <w:t>要求对</w:t>
            </w:r>
            <w:r>
              <w:rPr>
                <w:rFonts w:ascii="宋体" w:hAnsi="宋体"/>
                <w:szCs w:val="21"/>
                <w:highlight w:val="none"/>
              </w:rPr>
              <w:t>招标文件</w:t>
            </w:r>
            <w:r>
              <w:rPr>
                <w:rFonts w:hint="eastAsia" w:ascii="宋体" w:hAnsi="宋体"/>
                <w:szCs w:val="21"/>
                <w:highlight w:val="none"/>
              </w:rPr>
              <w:t>澄清</w:t>
            </w:r>
            <w:r>
              <w:rPr>
                <w:rFonts w:ascii="宋体" w:hAnsi="宋体"/>
                <w:szCs w:val="21"/>
                <w:highlight w:val="none"/>
              </w:rPr>
              <w:t>的时间</w:t>
            </w:r>
          </w:p>
        </w:tc>
        <w:tc>
          <w:tcPr>
            <w:tcW w:w="5534" w:type="dxa"/>
            <w:tcBorders>
              <w:top w:val="single" w:color="auto" w:sz="4" w:space="0"/>
              <w:left w:val="single" w:color="auto" w:sz="4" w:space="0"/>
              <w:bottom w:val="single" w:color="auto" w:sz="4" w:space="0"/>
              <w:right w:val="single" w:color="auto" w:sz="4" w:space="0"/>
            </w:tcBorders>
            <w:vAlign w:val="center"/>
          </w:tcPr>
          <w:p w14:paraId="408EBFF7">
            <w:pPr>
              <w:spacing w:line="440" w:lineRule="atLeast"/>
              <w:rPr>
                <w:rFonts w:ascii="宋体" w:hAnsi="宋体" w:cs="宋体"/>
                <w:color w:val="auto"/>
                <w:kern w:val="0"/>
                <w:szCs w:val="21"/>
                <w:highlight w:val="none"/>
              </w:rPr>
            </w:pPr>
            <w:r>
              <w:rPr>
                <w:rFonts w:hint="eastAsia" w:ascii="宋体" w:hAnsi="宋体" w:cs="宋体"/>
                <w:color w:val="auto"/>
                <w:kern w:val="0"/>
                <w:szCs w:val="21"/>
                <w:highlight w:val="none"/>
              </w:rPr>
              <w:t>获得招标文件之日或招标公告期限届满之日起7个工作日内。</w:t>
            </w:r>
          </w:p>
        </w:tc>
      </w:tr>
      <w:tr w14:paraId="6A744E71">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2E80000D">
            <w:pPr>
              <w:spacing w:line="440" w:lineRule="atLeast"/>
              <w:jc w:val="center"/>
              <w:rPr>
                <w:rFonts w:ascii="宋体" w:hAnsi="宋体"/>
                <w:szCs w:val="21"/>
                <w:highlight w:val="none"/>
              </w:rPr>
            </w:pPr>
            <w:r>
              <w:rPr>
                <w:rFonts w:hint="eastAsia" w:ascii="宋体" w:hAnsi="宋体"/>
                <w:szCs w:val="21"/>
                <w:highlight w:val="none"/>
              </w:rPr>
              <w:t>2.2.2</w:t>
            </w:r>
          </w:p>
        </w:tc>
        <w:tc>
          <w:tcPr>
            <w:tcW w:w="1980" w:type="dxa"/>
            <w:tcBorders>
              <w:top w:val="single" w:color="auto" w:sz="4" w:space="0"/>
              <w:left w:val="single" w:color="auto" w:sz="4" w:space="0"/>
              <w:bottom w:val="single" w:color="auto" w:sz="4" w:space="0"/>
              <w:right w:val="single" w:color="auto" w:sz="4" w:space="0"/>
            </w:tcBorders>
            <w:vAlign w:val="center"/>
          </w:tcPr>
          <w:p w14:paraId="3E302FBA">
            <w:pPr>
              <w:spacing w:line="440" w:lineRule="atLeast"/>
              <w:jc w:val="center"/>
              <w:rPr>
                <w:rFonts w:ascii="宋体" w:hAnsi="宋体"/>
                <w:szCs w:val="21"/>
                <w:highlight w:val="none"/>
              </w:rPr>
            </w:pPr>
            <w:r>
              <w:rPr>
                <w:rFonts w:hint="eastAsia" w:ascii="宋体" w:hAnsi="宋体"/>
                <w:szCs w:val="21"/>
                <w:highlight w:val="none"/>
              </w:rPr>
              <w:t>招标文件澄清和修改发出形式</w:t>
            </w:r>
          </w:p>
        </w:tc>
        <w:tc>
          <w:tcPr>
            <w:tcW w:w="5534" w:type="dxa"/>
            <w:tcBorders>
              <w:top w:val="single" w:color="auto" w:sz="4" w:space="0"/>
              <w:left w:val="single" w:color="auto" w:sz="4" w:space="0"/>
              <w:bottom w:val="single" w:color="auto" w:sz="4" w:space="0"/>
              <w:right w:val="single" w:color="auto" w:sz="4" w:space="0"/>
            </w:tcBorders>
            <w:vAlign w:val="center"/>
          </w:tcPr>
          <w:p w14:paraId="09472E2D">
            <w:pPr>
              <w:spacing w:line="440" w:lineRule="atLeast"/>
              <w:rPr>
                <w:rFonts w:ascii="宋体" w:hAnsi="宋体" w:cs="宋体"/>
                <w:color w:val="auto"/>
                <w:kern w:val="0"/>
                <w:szCs w:val="21"/>
                <w:highlight w:val="none"/>
              </w:rPr>
            </w:pPr>
            <w:r>
              <w:rPr>
                <w:rFonts w:hint="eastAsia" w:ascii="宋体" w:hAnsi="宋体" w:cs="宋体"/>
                <w:color w:val="auto"/>
                <w:kern w:val="0"/>
                <w:szCs w:val="21"/>
                <w:highlight w:val="none"/>
              </w:rPr>
              <w:t>在《河南省政府采购网》和《开封市公共资源交易信息网》公布。</w:t>
            </w:r>
          </w:p>
        </w:tc>
      </w:tr>
      <w:tr w14:paraId="6E0EBF86">
        <w:tblPrEx>
          <w:tblCellMar>
            <w:top w:w="0" w:type="dxa"/>
            <w:left w:w="108" w:type="dxa"/>
            <w:bottom w:w="0" w:type="dxa"/>
            <w:right w:w="108" w:type="dxa"/>
          </w:tblCellMar>
        </w:tblPrEx>
        <w:trPr>
          <w:trHeight w:val="755" w:hRule="atLeast"/>
        </w:trPr>
        <w:tc>
          <w:tcPr>
            <w:tcW w:w="1008" w:type="dxa"/>
            <w:tcBorders>
              <w:top w:val="single" w:color="auto" w:sz="4" w:space="0"/>
              <w:left w:val="single" w:color="auto" w:sz="4" w:space="0"/>
              <w:bottom w:val="single" w:color="auto" w:sz="4" w:space="0"/>
              <w:right w:val="single" w:color="auto" w:sz="4" w:space="0"/>
            </w:tcBorders>
            <w:vAlign w:val="center"/>
          </w:tcPr>
          <w:p w14:paraId="371D8055">
            <w:pPr>
              <w:spacing w:line="440" w:lineRule="atLeast"/>
              <w:jc w:val="center"/>
              <w:rPr>
                <w:rFonts w:ascii="宋体" w:hAnsi="宋体"/>
                <w:szCs w:val="21"/>
                <w:highlight w:val="none"/>
              </w:rPr>
            </w:pPr>
            <w:r>
              <w:rPr>
                <w:rFonts w:ascii="宋体" w:hAnsi="宋体"/>
                <w:szCs w:val="21"/>
                <w:highlight w:val="none"/>
              </w:rPr>
              <w:t>2.</w:t>
            </w:r>
            <w:r>
              <w:rPr>
                <w:rFonts w:hint="eastAsia" w:ascii="宋体" w:hAnsi="宋体"/>
                <w:szCs w:val="21"/>
                <w:highlight w:val="none"/>
              </w:rPr>
              <w:t>2</w:t>
            </w:r>
            <w:r>
              <w:rPr>
                <w:rFonts w:ascii="宋体" w:hAnsi="宋体"/>
                <w:szCs w:val="21"/>
                <w:highlight w:val="none"/>
              </w:rPr>
              <w:t>.</w:t>
            </w:r>
            <w:r>
              <w:rPr>
                <w:rFonts w:hint="eastAsia" w:ascii="宋体" w:hAnsi="宋体"/>
                <w:szCs w:val="21"/>
                <w:highlight w:val="none"/>
              </w:rPr>
              <w:t>3</w:t>
            </w:r>
          </w:p>
        </w:tc>
        <w:tc>
          <w:tcPr>
            <w:tcW w:w="1980" w:type="dxa"/>
            <w:tcBorders>
              <w:top w:val="single" w:color="auto" w:sz="4" w:space="0"/>
              <w:left w:val="single" w:color="auto" w:sz="4" w:space="0"/>
              <w:bottom w:val="single" w:color="auto" w:sz="4" w:space="0"/>
              <w:right w:val="single" w:color="auto" w:sz="4" w:space="0"/>
            </w:tcBorders>
            <w:vAlign w:val="center"/>
          </w:tcPr>
          <w:p w14:paraId="42FB3F48">
            <w:pPr>
              <w:jc w:val="center"/>
              <w:rPr>
                <w:rFonts w:ascii="宋体" w:hAnsi="宋体"/>
                <w:szCs w:val="21"/>
                <w:highlight w:val="none"/>
              </w:rPr>
            </w:pPr>
            <w:r>
              <w:rPr>
                <w:rFonts w:hint="eastAsia" w:ascii="宋体" w:hAnsi="宋体"/>
                <w:szCs w:val="21"/>
                <w:highlight w:val="none"/>
              </w:rPr>
              <w:t>供应商确认收到招标文件澄清和修改的时间</w:t>
            </w:r>
          </w:p>
        </w:tc>
        <w:tc>
          <w:tcPr>
            <w:tcW w:w="5534" w:type="dxa"/>
            <w:tcBorders>
              <w:top w:val="single" w:color="auto" w:sz="4" w:space="0"/>
              <w:left w:val="single" w:color="auto" w:sz="4" w:space="0"/>
              <w:bottom w:val="single" w:color="auto" w:sz="4" w:space="0"/>
              <w:right w:val="single" w:color="auto" w:sz="4" w:space="0"/>
            </w:tcBorders>
            <w:vAlign w:val="center"/>
          </w:tcPr>
          <w:p w14:paraId="6097B692">
            <w:pPr>
              <w:spacing w:line="440" w:lineRule="atLeast"/>
              <w:rPr>
                <w:rFonts w:ascii="宋体" w:hAnsi="宋体"/>
                <w:color w:val="auto"/>
                <w:szCs w:val="21"/>
                <w:highlight w:val="none"/>
              </w:rPr>
            </w:pPr>
            <w:r>
              <w:rPr>
                <w:rFonts w:hint="eastAsia" w:ascii="宋体" w:hAnsi="宋体"/>
                <w:color w:val="auto"/>
                <w:szCs w:val="21"/>
                <w:highlight w:val="none"/>
              </w:rPr>
              <w:t>自招标文件澄清或修改在相关网站发布起，即默认为供应商收到。</w:t>
            </w:r>
          </w:p>
        </w:tc>
      </w:tr>
      <w:tr w14:paraId="2316B234">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06DF0927">
            <w:pPr>
              <w:spacing w:line="440" w:lineRule="atLeast"/>
              <w:jc w:val="center"/>
              <w:rPr>
                <w:rFonts w:ascii="宋体" w:hAnsi="宋体"/>
                <w:szCs w:val="21"/>
                <w:highlight w:val="none"/>
              </w:rPr>
            </w:pPr>
            <w:r>
              <w:rPr>
                <w:rFonts w:ascii="宋体" w:hAnsi="宋体"/>
                <w:szCs w:val="21"/>
                <w:highlight w:val="none"/>
              </w:rPr>
              <w:t>3.1</w:t>
            </w:r>
            <w:r>
              <w:rPr>
                <w:rFonts w:hint="eastAsia" w:ascii="宋体" w:hAnsi="宋体"/>
                <w:szCs w:val="21"/>
                <w:highlight w:val="none"/>
              </w:rPr>
              <w:t>.1</w:t>
            </w:r>
          </w:p>
        </w:tc>
        <w:tc>
          <w:tcPr>
            <w:tcW w:w="1980" w:type="dxa"/>
            <w:tcBorders>
              <w:top w:val="single" w:color="auto" w:sz="4" w:space="0"/>
              <w:left w:val="single" w:color="auto" w:sz="4" w:space="0"/>
              <w:bottom w:val="single" w:color="auto" w:sz="4" w:space="0"/>
              <w:right w:val="single" w:color="auto" w:sz="4" w:space="0"/>
            </w:tcBorders>
            <w:vAlign w:val="center"/>
          </w:tcPr>
          <w:p w14:paraId="6FF8C6BE">
            <w:pPr>
              <w:jc w:val="center"/>
              <w:rPr>
                <w:rFonts w:ascii="宋体" w:hAnsi="宋体"/>
                <w:szCs w:val="21"/>
                <w:highlight w:val="none"/>
              </w:rPr>
            </w:pPr>
            <w:r>
              <w:rPr>
                <w:rFonts w:ascii="宋体" w:hAnsi="宋体"/>
                <w:szCs w:val="21"/>
                <w:highlight w:val="none"/>
              </w:rPr>
              <w:t>构成投标文件的其他材料</w:t>
            </w:r>
          </w:p>
        </w:tc>
        <w:tc>
          <w:tcPr>
            <w:tcW w:w="5534" w:type="dxa"/>
            <w:tcBorders>
              <w:top w:val="single" w:color="auto" w:sz="4" w:space="0"/>
              <w:left w:val="single" w:color="auto" w:sz="4" w:space="0"/>
              <w:bottom w:val="single" w:color="auto" w:sz="4" w:space="0"/>
              <w:right w:val="single" w:color="auto" w:sz="4" w:space="0"/>
            </w:tcBorders>
            <w:vAlign w:val="center"/>
          </w:tcPr>
          <w:p w14:paraId="0A15E0EF">
            <w:pPr>
              <w:spacing w:line="440" w:lineRule="atLeast"/>
              <w:rPr>
                <w:rFonts w:ascii="宋体" w:hAnsi="宋体"/>
                <w:color w:val="auto"/>
                <w:szCs w:val="21"/>
                <w:highlight w:val="none"/>
              </w:rPr>
            </w:pPr>
            <w:r>
              <w:rPr>
                <w:rFonts w:hint="eastAsia" w:ascii="宋体" w:hAnsi="宋体"/>
                <w:color w:val="auto"/>
                <w:szCs w:val="21"/>
                <w:highlight w:val="none"/>
              </w:rPr>
              <w:t>///</w:t>
            </w:r>
          </w:p>
        </w:tc>
      </w:tr>
      <w:tr w14:paraId="4E083817">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3B877E0F">
            <w:pPr>
              <w:spacing w:line="440" w:lineRule="atLeast"/>
              <w:jc w:val="center"/>
              <w:rPr>
                <w:rFonts w:ascii="宋体" w:hAnsi="宋体"/>
                <w:szCs w:val="21"/>
                <w:highlight w:val="none"/>
              </w:rPr>
            </w:pPr>
            <w:r>
              <w:rPr>
                <w:rFonts w:hint="eastAsia" w:ascii="宋体" w:hAnsi="宋体"/>
                <w:szCs w:val="21"/>
                <w:highlight w:val="none"/>
              </w:rPr>
              <w:t>3.2.1</w:t>
            </w:r>
          </w:p>
        </w:tc>
        <w:tc>
          <w:tcPr>
            <w:tcW w:w="1980" w:type="dxa"/>
            <w:tcBorders>
              <w:top w:val="single" w:color="auto" w:sz="4" w:space="0"/>
              <w:left w:val="single" w:color="auto" w:sz="4" w:space="0"/>
              <w:bottom w:val="single" w:color="auto" w:sz="4" w:space="0"/>
              <w:right w:val="single" w:color="auto" w:sz="4" w:space="0"/>
            </w:tcBorders>
            <w:vAlign w:val="center"/>
          </w:tcPr>
          <w:p w14:paraId="5ABB9087">
            <w:pPr>
              <w:spacing w:line="440" w:lineRule="atLeast"/>
              <w:jc w:val="center"/>
              <w:rPr>
                <w:rFonts w:ascii="宋体" w:hAnsi="宋体"/>
                <w:szCs w:val="21"/>
                <w:highlight w:val="none"/>
              </w:rPr>
            </w:pPr>
            <w:r>
              <w:rPr>
                <w:rFonts w:hint="eastAsia" w:ascii="宋体" w:hAnsi="宋体"/>
                <w:szCs w:val="21"/>
                <w:highlight w:val="none"/>
              </w:rPr>
              <w:t>报价范围</w:t>
            </w:r>
          </w:p>
        </w:tc>
        <w:tc>
          <w:tcPr>
            <w:tcW w:w="5534" w:type="dxa"/>
            <w:tcBorders>
              <w:top w:val="single" w:color="auto" w:sz="4" w:space="0"/>
              <w:left w:val="single" w:color="auto" w:sz="4" w:space="0"/>
              <w:bottom w:val="single" w:color="auto" w:sz="4" w:space="0"/>
              <w:right w:val="single" w:color="auto" w:sz="4" w:space="0"/>
            </w:tcBorders>
            <w:vAlign w:val="center"/>
          </w:tcPr>
          <w:p w14:paraId="45D08414">
            <w:pPr>
              <w:spacing w:line="440" w:lineRule="atLeast"/>
              <w:rPr>
                <w:color w:val="auto"/>
                <w:szCs w:val="21"/>
                <w:highlight w:val="none"/>
              </w:rPr>
            </w:pPr>
            <w:r>
              <w:rPr>
                <w:rFonts w:hint="eastAsia"/>
                <w:color w:val="auto"/>
                <w:szCs w:val="21"/>
                <w:highlight w:val="none"/>
              </w:rPr>
              <w:t>供应商应按第五章“招标内容及商务技术要求”，一次性报出不可更改的价格。价格中均应包括：本次服务与之相关的人员、开发、调试、运维、设备所产生的所有费用、各项税费、保险费、意外事故等服务期限届满前全部费用，以及相应的伴随服务费用等。</w:t>
            </w:r>
          </w:p>
        </w:tc>
      </w:tr>
      <w:tr w14:paraId="0FE0F0C6">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3163F5DC">
            <w:pPr>
              <w:spacing w:line="440" w:lineRule="atLeast"/>
              <w:jc w:val="center"/>
              <w:rPr>
                <w:rFonts w:ascii="宋体" w:hAnsi="宋体"/>
                <w:szCs w:val="21"/>
                <w:highlight w:val="none"/>
              </w:rPr>
            </w:pPr>
            <w:r>
              <w:rPr>
                <w:rFonts w:hint="eastAsia" w:ascii="宋体" w:hAnsi="宋体"/>
                <w:szCs w:val="21"/>
                <w:highlight w:val="none"/>
              </w:rPr>
              <w:t>3.2.3</w:t>
            </w:r>
          </w:p>
        </w:tc>
        <w:tc>
          <w:tcPr>
            <w:tcW w:w="1980" w:type="dxa"/>
            <w:tcBorders>
              <w:top w:val="single" w:color="auto" w:sz="4" w:space="0"/>
              <w:left w:val="single" w:color="auto" w:sz="4" w:space="0"/>
              <w:bottom w:val="single" w:color="auto" w:sz="4" w:space="0"/>
              <w:right w:val="single" w:color="auto" w:sz="4" w:space="0"/>
            </w:tcBorders>
            <w:vAlign w:val="center"/>
          </w:tcPr>
          <w:p w14:paraId="26E25F43">
            <w:pPr>
              <w:spacing w:line="440" w:lineRule="atLeast"/>
              <w:jc w:val="center"/>
              <w:rPr>
                <w:rFonts w:ascii="宋体" w:hAnsi="宋体"/>
                <w:szCs w:val="21"/>
                <w:highlight w:val="none"/>
              </w:rPr>
            </w:pPr>
            <w:r>
              <w:rPr>
                <w:rFonts w:hint="eastAsia" w:ascii="宋体" w:hAnsi="宋体"/>
                <w:szCs w:val="21"/>
                <w:highlight w:val="none"/>
              </w:rPr>
              <w:t>最高限价</w:t>
            </w:r>
          </w:p>
          <w:p w14:paraId="15C7701E">
            <w:pPr>
              <w:spacing w:line="440" w:lineRule="atLeast"/>
              <w:jc w:val="center"/>
              <w:rPr>
                <w:rFonts w:ascii="宋体" w:hAnsi="宋体"/>
                <w:szCs w:val="21"/>
                <w:highlight w:val="none"/>
              </w:rPr>
            </w:pPr>
            <w:r>
              <w:rPr>
                <w:rFonts w:hint="eastAsia" w:ascii="宋体" w:hAnsi="宋体"/>
                <w:sz w:val="32"/>
                <w:szCs w:val="32"/>
                <w:highlight w:val="none"/>
              </w:rPr>
              <w:t>/</w:t>
            </w:r>
            <w:r>
              <w:rPr>
                <w:rFonts w:hint="eastAsia" w:ascii="宋体" w:hAnsi="宋体"/>
                <w:szCs w:val="21"/>
                <w:highlight w:val="none"/>
              </w:rPr>
              <w:t>项目预算金额</w:t>
            </w:r>
          </w:p>
        </w:tc>
        <w:tc>
          <w:tcPr>
            <w:tcW w:w="5534" w:type="dxa"/>
            <w:tcBorders>
              <w:top w:val="single" w:color="auto" w:sz="4" w:space="0"/>
              <w:left w:val="single" w:color="auto" w:sz="4" w:space="0"/>
              <w:bottom w:val="single" w:color="auto" w:sz="4" w:space="0"/>
              <w:right w:val="single" w:color="auto" w:sz="4" w:space="0"/>
            </w:tcBorders>
            <w:vAlign w:val="center"/>
          </w:tcPr>
          <w:p w14:paraId="70065C3B">
            <w:pPr>
              <w:spacing w:line="440" w:lineRule="atLeast"/>
              <w:rPr>
                <w:rFonts w:ascii="宋体" w:hAnsi="宋体"/>
                <w:color w:val="auto"/>
                <w:kern w:val="0"/>
                <w:szCs w:val="21"/>
                <w:highlight w:val="none"/>
              </w:rPr>
            </w:pPr>
            <w:r>
              <w:rPr>
                <w:rFonts w:hint="eastAsia" w:ascii="宋体" w:hAnsi="宋体"/>
                <w:color w:val="auto"/>
                <w:kern w:val="0"/>
                <w:szCs w:val="21"/>
                <w:highlight w:val="none"/>
              </w:rPr>
              <w:t>□不设最高限价。</w:t>
            </w:r>
          </w:p>
          <w:p w14:paraId="5E11DCE0">
            <w:pPr>
              <w:spacing w:line="440" w:lineRule="atLeast"/>
              <w:rPr>
                <w:rFonts w:ascii="宋体" w:hAnsi="宋体"/>
                <w:color w:val="auto"/>
                <w:szCs w:val="21"/>
                <w:highlight w:val="none"/>
              </w:rPr>
            </w:pPr>
            <w:r>
              <w:rPr>
                <w:rFonts w:ascii="宋体" w:hAnsi="宋体"/>
                <w:color w:val="auto"/>
                <w:szCs w:val="21"/>
                <w:highlight w:val="none"/>
              </w:rPr>
              <w:sym w:font="Wingdings" w:char="F0FE"/>
            </w:r>
            <w:r>
              <w:rPr>
                <w:rFonts w:hint="eastAsia" w:ascii="宋体" w:hAnsi="宋体"/>
                <w:color w:val="auto"/>
                <w:szCs w:val="21"/>
                <w:highlight w:val="none"/>
              </w:rPr>
              <w:t>设最高限价，最高限价为</w:t>
            </w:r>
            <w:r>
              <w:rPr>
                <w:rFonts w:hint="eastAsia" w:ascii="宋体" w:hAnsi="宋体"/>
                <w:color w:val="auto"/>
                <w:szCs w:val="21"/>
                <w:highlight w:val="none"/>
                <w:lang w:eastAsia="zh-CN"/>
              </w:rPr>
              <w:t>：1148188.07</w:t>
            </w:r>
            <w:r>
              <w:rPr>
                <w:rFonts w:hint="eastAsia" w:ascii="宋体" w:hAnsi="宋体"/>
                <w:color w:val="auto"/>
                <w:szCs w:val="21"/>
                <w:highlight w:val="none"/>
              </w:rPr>
              <w:t>元。</w:t>
            </w:r>
          </w:p>
          <w:p w14:paraId="435D9255">
            <w:pPr>
              <w:spacing w:line="440" w:lineRule="atLeast"/>
              <w:rPr>
                <w:rFonts w:ascii="宋体" w:hAnsi="宋体"/>
                <w:color w:val="auto"/>
                <w:szCs w:val="21"/>
                <w:highlight w:val="none"/>
              </w:rPr>
            </w:pPr>
            <w:r>
              <w:rPr>
                <w:rFonts w:hint="eastAsia" w:ascii="宋体" w:hAnsi="宋体"/>
                <w:color w:val="auto"/>
                <w:szCs w:val="21"/>
                <w:highlight w:val="none"/>
              </w:rPr>
              <w:t>项目预算金额：</w:t>
            </w:r>
            <w:r>
              <w:rPr>
                <w:rFonts w:hint="eastAsia" w:ascii="宋体" w:hAnsi="宋体" w:cs="Times New Roman"/>
                <w:color w:val="auto"/>
                <w:szCs w:val="21"/>
                <w:highlight w:val="none"/>
                <w:lang w:eastAsia="zh-CN"/>
              </w:rPr>
              <w:t>1148188.07</w:t>
            </w:r>
            <w:r>
              <w:rPr>
                <w:rFonts w:hint="eastAsia" w:ascii="宋体" w:hAnsi="宋体" w:eastAsia="宋体" w:cs="Times New Roman"/>
                <w:color w:val="auto"/>
                <w:szCs w:val="21"/>
                <w:highlight w:val="none"/>
              </w:rPr>
              <w:t>元。</w:t>
            </w:r>
          </w:p>
          <w:p w14:paraId="75E401F1">
            <w:pPr>
              <w:spacing w:line="440" w:lineRule="atLeast"/>
              <w:rPr>
                <w:rFonts w:ascii="宋体" w:hAnsi="宋体"/>
                <w:color w:val="auto"/>
                <w:szCs w:val="21"/>
                <w:highlight w:val="none"/>
                <w:u w:val="single"/>
              </w:rPr>
            </w:pPr>
            <w:r>
              <w:rPr>
                <w:rFonts w:hint="eastAsia" w:ascii="宋体" w:hAnsi="宋体"/>
                <w:color w:val="auto"/>
                <w:szCs w:val="21"/>
                <w:highlight w:val="none"/>
              </w:rPr>
              <w:t>投标报价高于最高限价的为无效投标。</w:t>
            </w:r>
          </w:p>
        </w:tc>
      </w:tr>
      <w:tr w14:paraId="3BE37FCA">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165AA8EF">
            <w:pPr>
              <w:spacing w:line="440" w:lineRule="atLeast"/>
              <w:jc w:val="center"/>
              <w:rPr>
                <w:rFonts w:ascii="宋体" w:hAnsi="宋体"/>
                <w:szCs w:val="21"/>
                <w:highlight w:val="none"/>
              </w:rPr>
            </w:pPr>
            <w:r>
              <w:rPr>
                <w:rFonts w:hint="eastAsia" w:ascii="宋体" w:hAnsi="宋体"/>
                <w:szCs w:val="21"/>
                <w:highlight w:val="none"/>
              </w:rPr>
              <w:t>3.2.4</w:t>
            </w:r>
          </w:p>
        </w:tc>
        <w:tc>
          <w:tcPr>
            <w:tcW w:w="1980" w:type="dxa"/>
            <w:tcBorders>
              <w:top w:val="single" w:color="auto" w:sz="4" w:space="0"/>
              <w:left w:val="single" w:color="auto" w:sz="4" w:space="0"/>
              <w:bottom w:val="single" w:color="auto" w:sz="4" w:space="0"/>
              <w:right w:val="single" w:color="auto" w:sz="4" w:space="0"/>
            </w:tcBorders>
            <w:vAlign w:val="center"/>
          </w:tcPr>
          <w:p w14:paraId="0B45C4F7">
            <w:pPr>
              <w:spacing w:line="440" w:lineRule="atLeast"/>
              <w:jc w:val="center"/>
              <w:rPr>
                <w:rFonts w:ascii="宋体" w:hAnsi="宋体"/>
                <w:szCs w:val="21"/>
                <w:highlight w:val="none"/>
              </w:rPr>
            </w:pPr>
            <w:r>
              <w:rPr>
                <w:rFonts w:hint="eastAsia" w:ascii="宋体" w:hAnsi="宋体"/>
                <w:szCs w:val="21"/>
                <w:highlight w:val="none"/>
              </w:rPr>
              <w:t>报价币种</w:t>
            </w:r>
          </w:p>
        </w:tc>
        <w:tc>
          <w:tcPr>
            <w:tcW w:w="5534" w:type="dxa"/>
            <w:tcBorders>
              <w:top w:val="single" w:color="auto" w:sz="4" w:space="0"/>
              <w:left w:val="single" w:color="auto" w:sz="4" w:space="0"/>
              <w:bottom w:val="single" w:color="auto" w:sz="4" w:space="0"/>
              <w:right w:val="single" w:color="auto" w:sz="4" w:space="0"/>
            </w:tcBorders>
            <w:vAlign w:val="center"/>
          </w:tcPr>
          <w:p w14:paraId="6074079A">
            <w:pPr>
              <w:spacing w:line="440" w:lineRule="atLeast"/>
              <w:rPr>
                <w:rFonts w:ascii="宋体" w:hAnsi="宋体"/>
                <w:color w:val="auto"/>
                <w:szCs w:val="21"/>
                <w:highlight w:val="none"/>
              </w:rPr>
            </w:pPr>
            <w:r>
              <w:rPr>
                <w:rFonts w:hint="eastAsia" w:ascii="宋体" w:hAnsi="宋体"/>
                <w:color w:val="auto"/>
                <w:szCs w:val="21"/>
                <w:highlight w:val="none"/>
              </w:rPr>
              <w:t>全部报价均应以人民币为计量货币，并以人民币进行结算。</w:t>
            </w:r>
          </w:p>
        </w:tc>
      </w:tr>
      <w:tr w14:paraId="36BD2183">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3364D290">
            <w:pPr>
              <w:spacing w:line="440" w:lineRule="atLeast"/>
              <w:jc w:val="center"/>
              <w:rPr>
                <w:rFonts w:ascii="宋体" w:hAnsi="宋体"/>
                <w:szCs w:val="21"/>
                <w:highlight w:val="none"/>
              </w:rPr>
            </w:pPr>
            <w:r>
              <w:rPr>
                <w:rFonts w:ascii="宋体" w:hAnsi="宋体"/>
                <w:szCs w:val="21"/>
                <w:highlight w:val="none"/>
              </w:rPr>
              <w:t>3.3</w:t>
            </w:r>
            <w:r>
              <w:rPr>
                <w:rFonts w:hint="eastAsia" w:ascii="宋体" w:hAnsi="宋体"/>
                <w:szCs w:val="21"/>
                <w:highlight w:val="none"/>
              </w:rPr>
              <w:t>.1</w:t>
            </w:r>
          </w:p>
        </w:tc>
        <w:tc>
          <w:tcPr>
            <w:tcW w:w="1980" w:type="dxa"/>
            <w:tcBorders>
              <w:top w:val="single" w:color="auto" w:sz="4" w:space="0"/>
              <w:left w:val="single" w:color="auto" w:sz="4" w:space="0"/>
              <w:bottom w:val="single" w:color="auto" w:sz="4" w:space="0"/>
              <w:right w:val="single" w:color="auto" w:sz="4" w:space="0"/>
            </w:tcBorders>
            <w:vAlign w:val="center"/>
          </w:tcPr>
          <w:p w14:paraId="2C8CD448">
            <w:pPr>
              <w:spacing w:line="440" w:lineRule="atLeast"/>
              <w:jc w:val="center"/>
              <w:rPr>
                <w:rFonts w:ascii="宋体" w:hAnsi="宋体"/>
                <w:szCs w:val="21"/>
                <w:highlight w:val="none"/>
              </w:rPr>
            </w:pPr>
            <w:r>
              <w:rPr>
                <w:rFonts w:ascii="宋体" w:hAnsi="宋体"/>
                <w:szCs w:val="21"/>
                <w:highlight w:val="none"/>
              </w:rPr>
              <w:t>投标有效期</w:t>
            </w:r>
          </w:p>
        </w:tc>
        <w:tc>
          <w:tcPr>
            <w:tcW w:w="5534" w:type="dxa"/>
            <w:tcBorders>
              <w:top w:val="single" w:color="auto" w:sz="4" w:space="0"/>
              <w:left w:val="single" w:color="auto" w:sz="4" w:space="0"/>
              <w:bottom w:val="single" w:color="auto" w:sz="4" w:space="0"/>
              <w:right w:val="single" w:color="auto" w:sz="4" w:space="0"/>
            </w:tcBorders>
            <w:vAlign w:val="center"/>
          </w:tcPr>
          <w:p w14:paraId="4BCF5727">
            <w:pPr>
              <w:spacing w:line="440" w:lineRule="atLeast"/>
              <w:rPr>
                <w:rFonts w:ascii="宋体" w:hAnsi="宋体"/>
                <w:color w:val="auto"/>
                <w:szCs w:val="21"/>
                <w:highlight w:val="none"/>
              </w:rPr>
            </w:pPr>
            <w:r>
              <w:rPr>
                <w:rFonts w:hint="eastAsia" w:ascii="宋体" w:hAnsi="宋体"/>
                <w:color w:val="auto"/>
                <w:szCs w:val="21"/>
                <w:highlight w:val="none"/>
              </w:rPr>
              <w:t>自投标截止日起</w:t>
            </w:r>
            <w:r>
              <w:rPr>
                <w:rFonts w:hint="eastAsia" w:ascii="宋体" w:hAnsi="宋体"/>
                <w:color w:val="auto"/>
                <w:szCs w:val="21"/>
                <w:highlight w:val="none"/>
                <w:u w:val="single"/>
              </w:rPr>
              <w:t>　60　</w:t>
            </w:r>
            <w:r>
              <w:rPr>
                <w:rFonts w:hint="eastAsia" w:ascii="宋体" w:hAnsi="宋体"/>
                <w:color w:val="auto"/>
                <w:szCs w:val="21"/>
                <w:highlight w:val="none"/>
              </w:rPr>
              <w:t>日历天（供应商承诺的投标有效期不得少于该时间要求）。</w:t>
            </w:r>
          </w:p>
        </w:tc>
      </w:tr>
      <w:tr w14:paraId="117BB170">
        <w:tblPrEx>
          <w:tblCellMar>
            <w:top w:w="0" w:type="dxa"/>
            <w:left w:w="108" w:type="dxa"/>
            <w:bottom w:w="0" w:type="dxa"/>
            <w:right w:w="108" w:type="dxa"/>
          </w:tblCellMar>
        </w:tblPrEx>
        <w:trPr>
          <w:trHeight w:val="240" w:hRule="atLeast"/>
        </w:trPr>
        <w:tc>
          <w:tcPr>
            <w:tcW w:w="1008" w:type="dxa"/>
            <w:tcBorders>
              <w:top w:val="single" w:color="auto" w:sz="4" w:space="0"/>
              <w:left w:val="single" w:color="auto" w:sz="4" w:space="0"/>
              <w:bottom w:val="single" w:color="auto" w:sz="4" w:space="0"/>
              <w:right w:val="single" w:color="auto" w:sz="4" w:space="0"/>
            </w:tcBorders>
            <w:vAlign w:val="center"/>
          </w:tcPr>
          <w:p w14:paraId="6987BEE7">
            <w:pPr>
              <w:spacing w:line="440" w:lineRule="atLeast"/>
              <w:jc w:val="center"/>
              <w:rPr>
                <w:rFonts w:ascii="宋体" w:hAnsi="宋体"/>
                <w:szCs w:val="21"/>
                <w:highlight w:val="none"/>
              </w:rPr>
            </w:pPr>
            <w:r>
              <w:rPr>
                <w:rFonts w:ascii="宋体" w:hAnsi="宋体"/>
                <w:szCs w:val="21"/>
                <w:highlight w:val="none"/>
              </w:rPr>
              <w:t>3.4.1</w:t>
            </w:r>
          </w:p>
        </w:tc>
        <w:tc>
          <w:tcPr>
            <w:tcW w:w="1980" w:type="dxa"/>
            <w:tcBorders>
              <w:top w:val="single" w:color="auto" w:sz="4" w:space="0"/>
              <w:left w:val="single" w:color="auto" w:sz="4" w:space="0"/>
              <w:bottom w:val="single" w:color="auto" w:sz="4" w:space="0"/>
              <w:right w:val="single" w:color="auto" w:sz="4" w:space="0"/>
            </w:tcBorders>
            <w:vAlign w:val="center"/>
          </w:tcPr>
          <w:p w14:paraId="3E459A54">
            <w:pPr>
              <w:spacing w:line="440" w:lineRule="atLeast"/>
              <w:jc w:val="center"/>
              <w:rPr>
                <w:rFonts w:ascii="宋体" w:hAnsi="宋体"/>
                <w:szCs w:val="21"/>
                <w:highlight w:val="none"/>
              </w:rPr>
            </w:pPr>
            <w:r>
              <w:rPr>
                <w:rFonts w:ascii="宋体" w:hAnsi="宋体"/>
                <w:szCs w:val="21"/>
                <w:highlight w:val="none"/>
              </w:rPr>
              <w:t>投标保证金</w:t>
            </w:r>
          </w:p>
        </w:tc>
        <w:tc>
          <w:tcPr>
            <w:tcW w:w="5534" w:type="dxa"/>
            <w:tcBorders>
              <w:top w:val="single" w:color="auto" w:sz="4" w:space="0"/>
              <w:left w:val="single" w:color="auto" w:sz="4" w:space="0"/>
              <w:bottom w:val="single" w:color="auto" w:sz="4" w:space="0"/>
              <w:right w:val="single" w:color="auto" w:sz="4" w:space="0"/>
            </w:tcBorders>
            <w:vAlign w:val="center"/>
          </w:tcPr>
          <w:p w14:paraId="4915AC84">
            <w:pPr>
              <w:spacing w:line="440" w:lineRule="atLeast"/>
              <w:rPr>
                <w:rFonts w:ascii="宋体" w:hAnsi="宋体"/>
                <w:color w:val="auto"/>
                <w:szCs w:val="21"/>
                <w:highlight w:val="none"/>
              </w:rPr>
            </w:pPr>
            <w:r>
              <w:rPr>
                <w:rFonts w:hint="eastAsia" w:ascii="宋体" w:hAnsi="宋体"/>
                <w:color w:val="auto"/>
                <w:szCs w:val="21"/>
                <w:highlight w:val="none"/>
              </w:rPr>
              <w:t>免收。</w:t>
            </w:r>
          </w:p>
        </w:tc>
      </w:tr>
      <w:tr w14:paraId="6C7C186A">
        <w:tblPrEx>
          <w:tblCellMar>
            <w:top w:w="0" w:type="dxa"/>
            <w:left w:w="108" w:type="dxa"/>
            <w:bottom w:w="0" w:type="dxa"/>
            <w:right w:w="108" w:type="dxa"/>
          </w:tblCellMar>
        </w:tblPrEx>
        <w:trPr>
          <w:trHeight w:val="225" w:hRule="atLeast"/>
        </w:trPr>
        <w:tc>
          <w:tcPr>
            <w:tcW w:w="1008" w:type="dxa"/>
            <w:tcBorders>
              <w:top w:val="single" w:color="auto" w:sz="4" w:space="0"/>
              <w:left w:val="single" w:color="auto" w:sz="4" w:space="0"/>
              <w:bottom w:val="single" w:color="auto" w:sz="4" w:space="0"/>
              <w:right w:val="single" w:color="auto" w:sz="4" w:space="0"/>
            </w:tcBorders>
            <w:vAlign w:val="center"/>
          </w:tcPr>
          <w:p w14:paraId="7378BC20">
            <w:pPr>
              <w:spacing w:line="440" w:lineRule="atLeast"/>
              <w:jc w:val="center"/>
              <w:rPr>
                <w:rFonts w:ascii="宋体" w:hAnsi="宋体"/>
                <w:szCs w:val="21"/>
                <w:highlight w:val="none"/>
              </w:rPr>
            </w:pPr>
            <w:r>
              <w:rPr>
                <w:rFonts w:ascii="宋体" w:hAnsi="宋体"/>
                <w:szCs w:val="21"/>
                <w:highlight w:val="none"/>
              </w:rPr>
              <w:t>3.</w:t>
            </w:r>
            <w:r>
              <w:rPr>
                <w:rFonts w:hint="eastAsia" w:ascii="宋体" w:hAnsi="宋体"/>
                <w:szCs w:val="21"/>
                <w:highlight w:val="none"/>
              </w:rPr>
              <w:t>6</w:t>
            </w:r>
            <w:r>
              <w:rPr>
                <w:rFonts w:ascii="宋体" w:hAnsi="宋体"/>
                <w:szCs w:val="21"/>
                <w:highlight w:val="none"/>
              </w:rPr>
              <w:t>.3</w:t>
            </w:r>
          </w:p>
        </w:tc>
        <w:tc>
          <w:tcPr>
            <w:tcW w:w="1980" w:type="dxa"/>
            <w:tcBorders>
              <w:top w:val="single" w:color="auto" w:sz="4" w:space="0"/>
              <w:left w:val="single" w:color="auto" w:sz="4" w:space="0"/>
              <w:bottom w:val="single" w:color="auto" w:sz="4" w:space="0"/>
              <w:right w:val="single" w:color="auto" w:sz="4" w:space="0"/>
            </w:tcBorders>
            <w:vAlign w:val="center"/>
          </w:tcPr>
          <w:p w14:paraId="566D8C45">
            <w:pPr>
              <w:spacing w:line="440" w:lineRule="atLeast"/>
              <w:jc w:val="center"/>
              <w:rPr>
                <w:rFonts w:ascii="宋体" w:hAnsi="宋体"/>
                <w:szCs w:val="21"/>
                <w:highlight w:val="none"/>
              </w:rPr>
            </w:pPr>
            <w:r>
              <w:rPr>
                <w:rFonts w:ascii="宋体" w:hAnsi="宋体"/>
                <w:szCs w:val="21"/>
                <w:highlight w:val="none"/>
              </w:rPr>
              <w:t>签字</w:t>
            </w:r>
            <w:r>
              <w:rPr>
                <w:rFonts w:hint="eastAsia" w:ascii="宋体" w:hAnsi="宋体"/>
                <w:szCs w:val="21"/>
                <w:highlight w:val="none"/>
              </w:rPr>
              <w:t>、</w:t>
            </w:r>
            <w:r>
              <w:rPr>
                <w:rFonts w:ascii="宋体" w:hAnsi="宋体"/>
                <w:szCs w:val="21"/>
                <w:highlight w:val="none"/>
              </w:rPr>
              <w:t>盖章要求</w:t>
            </w:r>
          </w:p>
        </w:tc>
        <w:tc>
          <w:tcPr>
            <w:tcW w:w="5534" w:type="dxa"/>
            <w:tcBorders>
              <w:top w:val="single" w:color="auto" w:sz="4" w:space="0"/>
              <w:left w:val="single" w:color="auto" w:sz="4" w:space="0"/>
              <w:bottom w:val="single" w:color="auto" w:sz="4" w:space="0"/>
              <w:right w:val="single" w:color="auto" w:sz="4" w:space="0"/>
            </w:tcBorders>
            <w:vAlign w:val="center"/>
          </w:tcPr>
          <w:p w14:paraId="3C33DD94">
            <w:pPr>
              <w:spacing w:line="440" w:lineRule="atLeast"/>
              <w:rPr>
                <w:rFonts w:ascii="宋体" w:hAnsi="宋体"/>
                <w:color w:val="auto"/>
                <w:szCs w:val="21"/>
                <w:highlight w:val="none"/>
              </w:rPr>
            </w:pPr>
            <w:r>
              <w:rPr>
                <w:rFonts w:hint="eastAsia" w:ascii="宋体" w:hAnsi="宋体"/>
                <w:color w:val="auto"/>
                <w:szCs w:val="21"/>
                <w:highlight w:val="none"/>
              </w:rPr>
              <w:t>投标文件中投标函、法定代表人资格证明（或授权委托书）按投标文件格式要求签字、盖章。</w:t>
            </w:r>
          </w:p>
        </w:tc>
      </w:tr>
      <w:tr w14:paraId="7AB3D5A6">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6561C6E8">
            <w:pPr>
              <w:spacing w:line="440" w:lineRule="atLeast"/>
              <w:jc w:val="center"/>
              <w:rPr>
                <w:rFonts w:ascii="宋体" w:hAnsi="宋体"/>
                <w:szCs w:val="21"/>
                <w:highlight w:val="none"/>
              </w:rPr>
            </w:pPr>
            <w:r>
              <w:rPr>
                <w:rFonts w:hint="eastAsia" w:ascii="宋体" w:hAnsi="宋体"/>
                <w:szCs w:val="21"/>
                <w:highlight w:val="none"/>
              </w:rPr>
              <w:t>4.1.1</w:t>
            </w:r>
          </w:p>
        </w:tc>
        <w:tc>
          <w:tcPr>
            <w:tcW w:w="1980" w:type="dxa"/>
            <w:tcBorders>
              <w:top w:val="single" w:color="auto" w:sz="4" w:space="0"/>
              <w:left w:val="single" w:color="auto" w:sz="4" w:space="0"/>
              <w:bottom w:val="single" w:color="auto" w:sz="4" w:space="0"/>
              <w:right w:val="single" w:color="auto" w:sz="4" w:space="0"/>
            </w:tcBorders>
            <w:vAlign w:val="center"/>
          </w:tcPr>
          <w:p w14:paraId="64A0FCAC">
            <w:pPr>
              <w:spacing w:line="440" w:lineRule="atLeast"/>
              <w:jc w:val="center"/>
              <w:rPr>
                <w:rFonts w:ascii="宋体" w:hAnsi="宋体"/>
                <w:szCs w:val="21"/>
                <w:highlight w:val="none"/>
              </w:rPr>
            </w:pPr>
            <w:r>
              <w:rPr>
                <w:rFonts w:hint="eastAsia" w:ascii="宋体" w:hAnsi="宋体"/>
                <w:szCs w:val="21"/>
                <w:highlight w:val="none"/>
              </w:rPr>
              <w:t>投标文件的加密</w:t>
            </w:r>
          </w:p>
        </w:tc>
        <w:tc>
          <w:tcPr>
            <w:tcW w:w="5534" w:type="dxa"/>
            <w:tcBorders>
              <w:top w:val="single" w:color="auto" w:sz="4" w:space="0"/>
              <w:left w:val="single" w:color="auto" w:sz="4" w:space="0"/>
              <w:bottom w:val="single" w:color="auto" w:sz="4" w:space="0"/>
              <w:right w:val="single" w:color="auto" w:sz="4" w:space="0"/>
            </w:tcBorders>
            <w:vAlign w:val="center"/>
          </w:tcPr>
          <w:p w14:paraId="42DF2E53">
            <w:pPr>
              <w:spacing w:line="440" w:lineRule="atLeast"/>
              <w:rPr>
                <w:rFonts w:ascii="宋体" w:hAnsi="宋体"/>
                <w:color w:val="auto"/>
                <w:szCs w:val="21"/>
                <w:highlight w:val="none"/>
              </w:rPr>
            </w:pPr>
            <w:r>
              <w:rPr>
                <w:rFonts w:hint="eastAsia" w:ascii="宋体" w:hAnsi="宋体"/>
                <w:color w:val="auto"/>
                <w:szCs w:val="21"/>
                <w:highlight w:val="none"/>
              </w:rPr>
              <w:t>按照网上系统要求进行加密、解密。</w:t>
            </w:r>
          </w:p>
        </w:tc>
      </w:tr>
      <w:tr w14:paraId="11B10A51">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25741AFE">
            <w:pPr>
              <w:spacing w:line="440" w:lineRule="atLeast"/>
              <w:jc w:val="center"/>
              <w:rPr>
                <w:rFonts w:ascii="宋体" w:hAnsi="宋体"/>
                <w:szCs w:val="21"/>
                <w:highlight w:val="none"/>
              </w:rPr>
            </w:pPr>
            <w:r>
              <w:rPr>
                <w:rFonts w:hint="eastAsia" w:ascii="宋体" w:hAnsi="宋体"/>
                <w:szCs w:val="21"/>
                <w:highlight w:val="none"/>
              </w:rPr>
              <w:t>4.2.1</w:t>
            </w:r>
          </w:p>
        </w:tc>
        <w:tc>
          <w:tcPr>
            <w:tcW w:w="1980" w:type="dxa"/>
            <w:tcBorders>
              <w:top w:val="single" w:color="auto" w:sz="4" w:space="0"/>
              <w:left w:val="single" w:color="auto" w:sz="4" w:space="0"/>
              <w:bottom w:val="single" w:color="auto" w:sz="4" w:space="0"/>
              <w:right w:val="single" w:color="auto" w:sz="4" w:space="0"/>
            </w:tcBorders>
            <w:vAlign w:val="center"/>
          </w:tcPr>
          <w:p w14:paraId="31401772">
            <w:pPr>
              <w:spacing w:line="440" w:lineRule="atLeast"/>
              <w:jc w:val="center"/>
              <w:rPr>
                <w:rFonts w:ascii="宋体" w:hAnsi="宋体"/>
                <w:szCs w:val="21"/>
                <w:highlight w:val="none"/>
              </w:rPr>
            </w:pPr>
            <w:r>
              <w:rPr>
                <w:rFonts w:hint="eastAsia" w:ascii="宋体" w:hAnsi="宋体"/>
                <w:szCs w:val="21"/>
                <w:highlight w:val="none"/>
              </w:rPr>
              <w:t>投标文件的递交</w:t>
            </w:r>
          </w:p>
        </w:tc>
        <w:tc>
          <w:tcPr>
            <w:tcW w:w="5534" w:type="dxa"/>
            <w:tcBorders>
              <w:top w:val="single" w:color="auto" w:sz="4" w:space="0"/>
              <w:left w:val="single" w:color="auto" w:sz="4" w:space="0"/>
              <w:bottom w:val="single" w:color="auto" w:sz="4" w:space="0"/>
              <w:right w:val="single" w:color="auto" w:sz="4" w:space="0"/>
            </w:tcBorders>
            <w:vAlign w:val="center"/>
          </w:tcPr>
          <w:p w14:paraId="6F1E05B5">
            <w:pPr>
              <w:spacing w:line="440" w:lineRule="atLeast"/>
              <w:rPr>
                <w:rFonts w:ascii="宋体" w:hAnsi="宋体"/>
                <w:color w:val="auto"/>
                <w:szCs w:val="21"/>
                <w:highlight w:val="none"/>
              </w:rPr>
            </w:pPr>
            <w:r>
              <w:rPr>
                <w:rFonts w:hint="eastAsia" w:ascii="宋体" w:hAnsi="宋体"/>
                <w:color w:val="auto"/>
                <w:szCs w:val="21"/>
                <w:highlight w:val="none"/>
              </w:rPr>
              <w:t>在投标截止时间前，通过原下载招标文件的电子交易系统上传、提交投标文件。</w:t>
            </w:r>
          </w:p>
        </w:tc>
      </w:tr>
      <w:tr w14:paraId="22BBED6F">
        <w:tblPrEx>
          <w:tblCellMar>
            <w:top w:w="0" w:type="dxa"/>
            <w:left w:w="108" w:type="dxa"/>
            <w:bottom w:w="0" w:type="dxa"/>
            <w:right w:w="108" w:type="dxa"/>
          </w:tblCellMar>
        </w:tblPrEx>
        <w:trPr>
          <w:trHeight w:val="274" w:hRule="atLeast"/>
        </w:trPr>
        <w:tc>
          <w:tcPr>
            <w:tcW w:w="1008" w:type="dxa"/>
            <w:tcBorders>
              <w:top w:val="single" w:color="auto" w:sz="4" w:space="0"/>
              <w:left w:val="single" w:color="auto" w:sz="4" w:space="0"/>
              <w:bottom w:val="single" w:color="auto" w:sz="4" w:space="0"/>
              <w:right w:val="single" w:color="auto" w:sz="4" w:space="0"/>
            </w:tcBorders>
            <w:vAlign w:val="center"/>
          </w:tcPr>
          <w:p w14:paraId="5160FA21">
            <w:pPr>
              <w:spacing w:line="440" w:lineRule="atLeast"/>
              <w:jc w:val="center"/>
              <w:rPr>
                <w:rFonts w:ascii="宋体" w:hAnsi="宋体"/>
                <w:szCs w:val="21"/>
                <w:highlight w:val="none"/>
              </w:rPr>
            </w:pPr>
            <w:r>
              <w:rPr>
                <w:rFonts w:ascii="宋体" w:hAnsi="宋体"/>
                <w:szCs w:val="21"/>
                <w:highlight w:val="none"/>
              </w:rPr>
              <w:t>5.1</w:t>
            </w:r>
          </w:p>
        </w:tc>
        <w:tc>
          <w:tcPr>
            <w:tcW w:w="1980" w:type="dxa"/>
            <w:tcBorders>
              <w:top w:val="single" w:color="auto" w:sz="4" w:space="0"/>
              <w:left w:val="single" w:color="auto" w:sz="4" w:space="0"/>
              <w:bottom w:val="single" w:color="auto" w:sz="4" w:space="0"/>
              <w:right w:val="single" w:color="auto" w:sz="4" w:space="0"/>
            </w:tcBorders>
            <w:vAlign w:val="center"/>
          </w:tcPr>
          <w:p w14:paraId="168418FF">
            <w:pPr>
              <w:spacing w:line="440" w:lineRule="atLeast"/>
              <w:jc w:val="center"/>
              <w:rPr>
                <w:rFonts w:ascii="宋体" w:hAnsi="宋体"/>
                <w:szCs w:val="21"/>
                <w:highlight w:val="none"/>
              </w:rPr>
            </w:pPr>
            <w:r>
              <w:rPr>
                <w:rFonts w:hint="eastAsia" w:ascii="宋体" w:hAnsi="宋体"/>
                <w:szCs w:val="21"/>
                <w:highlight w:val="none"/>
              </w:rPr>
              <w:t>投标截止及开标时间、地点</w:t>
            </w:r>
          </w:p>
        </w:tc>
        <w:tc>
          <w:tcPr>
            <w:tcW w:w="5534" w:type="dxa"/>
            <w:tcBorders>
              <w:top w:val="single" w:color="auto" w:sz="4" w:space="0"/>
              <w:left w:val="single" w:color="auto" w:sz="4" w:space="0"/>
              <w:bottom w:val="single" w:color="auto" w:sz="4" w:space="0"/>
              <w:right w:val="single" w:color="auto" w:sz="4" w:space="0"/>
            </w:tcBorders>
            <w:vAlign w:val="center"/>
          </w:tcPr>
          <w:p w14:paraId="24CBB909">
            <w:pPr>
              <w:spacing w:line="440" w:lineRule="atLeast"/>
              <w:rPr>
                <w:rFonts w:hint="eastAsia" w:ascii="宋体" w:hAnsi="宋体"/>
                <w:color w:val="auto"/>
                <w:szCs w:val="21"/>
                <w:highlight w:val="yellow"/>
              </w:rPr>
            </w:pPr>
            <w:r>
              <w:rPr>
                <w:rFonts w:hint="eastAsia" w:ascii="宋体" w:hAnsi="宋体"/>
                <w:color w:val="auto"/>
                <w:szCs w:val="21"/>
                <w:highlight w:val="none"/>
              </w:rPr>
              <w:t>投标截止及</w:t>
            </w:r>
            <w:r>
              <w:rPr>
                <w:rFonts w:ascii="宋体" w:hAnsi="宋体"/>
                <w:color w:val="auto"/>
                <w:szCs w:val="21"/>
                <w:highlight w:val="none"/>
              </w:rPr>
              <w:t>开标时间</w:t>
            </w:r>
            <w:r>
              <w:rPr>
                <w:rFonts w:hint="eastAsia" w:ascii="宋体" w:hAnsi="宋体"/>
                <w:color w:val="auto"/>
                <w:szCs w:val="21"/>
                <w:highlight w:val="none"/>
              </w:rPr>
              <w:t>：2026年11月5日09时30分（北京时间）</w:t>
            </w:r>
          </w:p>
          <w:p w14:paraId="228D33D9">
            <w:pPr>
              <w:spacing w:line="440" w:lineRule="atLeast"/>
              <w:jc w:val="left"/>
              <w:rPr>
                <w:rFonts w:ascii="宋体" w:hAnsi="宋体"/>
                <w:color w:val="auto"/>
                <w:szCs w:val="21"/>
                <w:highlight w:val="none"/>
              </w:rPr>
            </w:pPr>
            <w:r>
              <w:rPr>
                <w:rFonts w:ascii="宋体" w:hAnsi="宋体"/>
                <w:color w:val="auto"/>
                <w:szCs w:val="21"/>
                <w:highlight w:val="none"/>
              </w:rPr>
              <w:t>开</w:t>
            </w:r>
            <w:r>
              <w:rPr>
                <w:rFonts w:hint="eastAsia" w:ascii="宋体" w:hAnsi="宋体"/>
                <w:color w:val="auto"/>
                <w:szCs w:val="21"/>
                <w:highlight w:val="none"/>
              </w:rPr>
              <w:t>标地点：《开封市公共资源交易信息网》（http://www.kfsggzyjyw.cn）</w:t>
            </w:r>
          </w:p>
        </w:tc>
      </w:tr>
      <w:tr w14:paraId="23658E37">
        <w:tblPrEx>
          <w:tblCellMar>
            <w:top w:w="0" w:type="dxa"/>
            <w:left w:w="108" w:type="dxa"/>
            <w:bottom w:w="0" w:type="dxa"/>
            <w:right w:w="108" w:type="dxa"/>
          </w:tblCellMar>
        </w:tblPrEx>
        <w:trPr>
          <w:trHeight w:val="381" w:hRule="atLeast"/>
        </w:trPr>
        <w:tc>
          <w:tcPr>
            <w:tcW w:w="1008" w:type="dxa"/>
            <w:tcBorders>
              <w:top w:val="single" w:color="auto" w:sz="4" w:space="0"/>
              <w:left w:val="single" w:color="auto" w:sz="4" w:space="0"/>
              <w:bottom w:val="single" w:color="auto" w:sz="4" w:space="0"/>
              <w:right w:val="single" w:color="auto" w:sz="4" w:space="0"/>
            </w:tcBorders>
            <w:vAlign w:val="center"/>
          </w:tcPr>
          <w:p w14:paraId="0E672C7D">
            <w:pPr>
              <w:spacing w:line="440" w:lineRule="atLeast"/>
              <w:jc w:val="center"/>
              <w:rPr>
                <w:rFonts w:ascii="宋体" w:hAnsi="宋体"/>
                <w:szCs w:val="21"/>
                <w:highlight w:val="none"/>
              </w:rPr>
            </w:pPr>
            <w:r>
              <w:rPr>
                <w:rFonts w:hint="eastAsia" w:ascii="宋体" w:hAnsi="宋体"/>
                <w:szCs w:val="21"/>
                <w:highlight w:val="none"/>
              </w:rPr>
              <w:t>5.2</w:t>
            </w:r>
          </w:p>
        </w:tc>
        <w:tc>
          <w:tcPr>
            <w:tcW w:w="1980" w:type="dxa"/>
            <w:tcBorders>
              <w:top w:val="single" w:color="auto" w:sz="4" w:space="0"/>
              <w:left w:val="single" w:color="auto" w:sz="4" w:space="0"/>
              <w:bottom w:val="single" w:color="auto" w:sz="4" w:space="0"/>
              <w:right w:val="single" w:color="auto" w:sz="4" w:space="0"/>
            </w:tcBorders>
            <w:vAlign w:val="center"/>
          </w:tcPr>
          <w:p w14:paraId="790AE762">
            <w:pPr>
              <w:spacing w:line="440" w:lineRule="atLeast"/>
              <w:jc w:val="center"/>
              <w:rPr>
                <w:rFonts w:hint="eastAsia" w:ascii="宋体" w:hAnsi="宋体" w:eastAsia="宋体" w:cs="Times New Roman"/>
                <w:szCs w:val="21"/>
                <w:highlight w:val="none"/>
              </w:rPr>
            </w:pPr>
            <w:r>
              <w:rPr>
                <w:rFonts w:hint="eastAsia" w:ascii="宋体" w:hAnsi="宋体" w:eastAsia="宋体" w:cs="Times New Roman"/>
                <w:szCs w:val="21"/>
                <w:highlight w:val="none"/>
              </w:rPr>
              <w:t>开标程序</w:t>
            </w:r>
          </w:p>
        </w:tc>
        <w:tc>
          <w:tcPr>
            <w:tcW w:w="5534" w:type="dxa"/>
            <w:tcBorders>
              <w:top w:val="single" w:color="auto" w:sz="4" w:space="0"/>
              <w:left w:val="single" w:color="auto" w:sz="4" w:space="0"/>
              <w:bottom w:val="single" w:color="auto" w:sz="4" w:space="0"/>
              <w:right w:val="single" w:color="auto" w:sz="4" w:space="0"/>
            </w:tcBorders>
            <w:vAlign w:val="center"/>
          </w:tcPr>
          <w:p w14:paraId="3599D428">
            <w:pPr>
              <w:spacing w:line="440" w:lineRule="atLeast"/>
              <w:ind w:firstLine="420"/>
              <w:rPr>
                <w:rFonts w:ascii="宋体" w:hAnsi="宋体"/>
                <w:color w:val="auto"/>
                <w:szCs w:val="21"/>
                <w:highlight w:val="none"/>
              </w:rPr>
            </w:pPr>
            <w:r>
              <w:rPr>
                <w:rFonts w:hint="eastAsia" w:ascii="宋体" w:hAnsi="宋体"/>
                <w:color w:val="auto"/>
                <w:szCs w:val="21"/>
                <w:highlight w:val="none"/>
              </w:rPr>
              <w:t>网上开标。</w:t>
            </w:r>
          </w:p>
          <w:p w14:paraId="549E7EAE">
            <w:pPr>
              <w:spacing w:line="440" w:lineRule="atLeast"/>
              <w:ind w:firstLine="420"/>
              <w:rPr>
                <w:rFonts w:ascii="宋体" w:hAnsi="宋体"/>
                <w:color w:val="auto"/>
                <w:szCs w:val="21"/>
                <w:highlight w:val="none"/>
              </w:rPr>
            </w:pPr>
            <w:r>
              <w:rPr>
                <w:rFonts w:hint="eastAsia" w:ascii="宋体" w:hAnsi="宋体"/>
                <w:color w:val="auto"/>
                <w:szCs w:val="21"/>
                <w:highlight w:val="none"/>
              </w:rPr>
              <w:t>1、网上解密投标文件。供应商应提前使用CA密钥进入电子交易系统，开标时间到，尽快对其电子投标文件完成解密（系统默认解密时长为40分钟），不能成功解密者，自行承担其投标文件不能开标的责任。</w:t>
            </w:r>
          </w:p>
          <w:p w14:paraId="5756EFF0">
            <w:pPr>
              <w:spacing w:line="440" w:lineRule="atLeast"/>
              <w:ind w:firstLine="420"/>
              <w:rPr>
                <w:rFonts w:ascii="宋体" w:hAnsi="宋体"/>
                <w:color w:val="auto"/>
                <w:szCs w:val="21"/>
                <w:highlight w:val="none"/>
              </w:rPr>
            </w:pPr>
            <w:r>
              <w:rPr>
                <w:rFonts w:hint="eastAsia" w:ascii="宋体" w:hAnsi="宋体"/>
                <w:color w:val="auto"/>
                <w:szCs w:val="21"/>
                <w:highlight w:val="none"/>
              </w:rPr>
              <w:t>2、部分供应商投标文件未解密或解密失败的，程序可以继续进行。若解密成功的投标不足 3 家，该项目标段废标。</w:t>
            </w:r>
          </w:p>
          <w:p w14:paraId="4224D8C5">
            <w:pPr>
              <w:spacing w:line="440" w:lineRule="atLeast"/>
              <w:ind w:firstLine="420"/>
              <w:rPr>
                <w:rFonts w:ascii="宋体" w:hAnsi="宋体"/>
                <w:color w:val="auto"/>
                <w:szCs w:val="21"/>
                <w:highlight w:val="none"/>
              </w:rPr>
            </w:pPr>
            <w:r>
              <w:rPr>
                <w:rFonts w:hint="eastAsia" w:ascii="宋体" w:hAnsi="宋体"/>
                <w:color w:val="auto"/>
                <w:szCs w:val="21"/>
                <w:highlight w:val="none"/>
              </w:rPr>
              <w:t>3、开标结束。</w:t>
            </w:r>
          </w:p>
        </w:tc>
      </w:tr>
      <w:tr w14:paraId="548B74B0">
        <w:tblPrEx>
          <w:tblCellMar>
            <w:top w:w="0" w:type="dxa"/>
            <w:left w:w="108" w:type="dxa"/>
            <w:bottom w:w="0" w:type="dxa"/>
            <w:right w:w="108" w:type="dxa"/>
          </w:tblCellMar>
        </w:tblPrEx>
        <w:trPr>
          <w:trHeight w:val="880" w:hRule="atLeast"/>
        </w:trPr>
        <w:tc>
          <w:tcPr>
            <w:tcW w:w="1008" w:type="dxa"/>
            <w:tcBorders>
              <w:top w:val="single" w:color="auto" w:sz="4" w:space="0"/>
              <w:left w:val="single" w:color="auto" w:sz="4" w:space="0"/>
              <w:bottom w:val="single" w:color="auto" w:sz="4" w:space="0"/>
              <w:right w:val="single" w:color="auto" w:sz="4" w:space="0"/>
            </w:tcBorders>
            <w:vAlign w:val="center"/>
          </w:tcPr>
          <w:p w14:paraId="317F9459">
            <w:pPr>
              <w:spacing w:line="440" w:lineRule="atLeast"/>
              <w:jc w:val="center"/>
              <w:rPr>
                <w:rFonts w:ascii="宋体" w:hAnsi="宋体"/>
                <w:szCs w:val="21"/>
                <w:highlight w:val="none"/>
              </w:rPr>
            </w:pPr>
            <w:r>
              <w:rPr>
                <w:rFonts w:ascii="宋体" w:hAnsi="宋体"/>
                <w:szCs w:val="21"/>
                <w:highlight w:val="none"/>
              </w:rPr>
              <w:t>6.1.1</w:t>
            </w:r>
          </w:p>
        </w:tc>
        <w:tc>
          <w:tcPr>
            <w:tcW w:w="1980" w:type="dxa"/>
            <w:tcBorders>
              <w:top w:val="single" w:color="auto" w:sz="4" w:space="0"/>
              <w:left w:val="single" w:color="auto" w:sz="4" w:space="0"/>
              <w:bottom w:val="single" w:color="auto" w:sz="4" w:space="0"/>
              <w:right w:val="single" w:color="auto" w:sz="4" w:space="0"/>
            </w:tcBorders>
            <w:vAlign w:val="center"/>
          </w:tcPr>
          <w:p w14:paraId="2DA07C1F">
            <w:pPr>
              <w:spacing w:line="440" w:lineRule="atLeast"/>
              <w:jc w:val="center"/>
              <w:rPr>
                <w:rFonts w:hint="eastAsia" w:ascii="宋体" w:hAnsi="宋体" w:eastAsia="宋体" w:cs="Times New Roman"/>
                <w:szCs w:val="21"/>
                <w:highlight w:val="none"/>
              </w:rPr>
            </w:pPr>
            <w:r>
              <w:rPr>
                <w:rFonts w:hint="eastAsia" w:ascii="宋体" w:hAnsi="宋体" w:eastAsia="宋体" w:cs="Times New Roman"/>
                <w:szCs w:val="21"/>
                <w:highlight w:val="none"/>
              </w:rPr>
              <w:t>评标委员会的组建</w:t>
            </w:r>
          </w:p>
        </w:tc>
        <w:tc>
          <w:tcPr>
            <w:tcW w:w="5534" w:type="dxa"/>
            <w:tcBorders>
              <w:top w:val="single" w:color="auto" w:sz="4" w:space="0"/>
              <w:left w:val="single" w:color="auto" w:sz="4" w:space="0"/>
              <w:bottom w:val="single" w:color="auto" w:sz="4" w:space="0"/>
              <w:right w:val="single" w:color="auto" w:sz="4" w:space="0"/>
            </w:tcBorders>
            <w:vAlign w:val="center"/>
          </w:tcPr>
          <w:p w14:paraId="57C50261">
            <w:pPr>
              <w:spacing w:line="440" w:lineRule="atLeast"/>
              <w:rPr>
                <w:rFonts w:ascii="宋体" w:hAnsi="宋体"/>
                <w:color w:val="auto"/>
                <w:szCs w:val="21"/>
                <w:highlight w:val="none"/>
              </w:rPr>
            </w:pPr>
            <w:r>
              <w:rPr>
                <w:rFonts w:hint="eastAsia" w:ascii="宋体" w:hAnsi="宋体"/>
                <w:color w:val="auto"/>
                <w:szCs w:val="21"/>
                <w:highlight w:val="none"/>
              </w:rPr>
              <w:t>评标委员会构成：由采购人代表和评审专家共</w:t>
            </w:r>
            <w:r>
              <w:rPr>
                <w:rFonts w:hint="eastAsia" w:ascii="宋体" w:hAnsi="宋体"/>
                <w:color w:val="auto"/>
                <w:szCs w:val="21"/>
                <w:highlight w:val="none"/>
                <w:u w:val="single"/>
                <w:lang w:val="en-US" w:eastAsia="zh-CN"/>
              </w:rPr>
              <w:t>5</w:t>
            </w:r>
            <w:r>
              <w:rPr>
                <w:rFonts w:hint="eastAsia" w:ascii="宋体" w:hAnsi="宋体"/>
                <w:color w:val="auto"/>
                <w:szCs w:val="21"/>
                <w:highlight w:val="none"/>
              </w:rPr>
              <w:t>人组成，其中评审专家不少于成员总数的三分之二。</w:t>
            </w:r>
          </w:p>
          <w:p w14:paraId="15B79875">
            <w:pPr>
              <w:spacing w:line="440" w:lineRule="atLeast"/>
              <w:rPr>
                <w:rFonts w:ascii="宋体" w:hAnsi="宋体"/>
                <w:color w:val="auto"/>
                <w:szCs w:val="21"/>
                <w:highlight w:val="none"/>
              </w:rPr>
            </w:pPr>
            <w:r>
              <w:rPr>
                <w:rFonts w:ascii="宋体" w:hAnsi="宋体"/>
                <w:color w:val="auto"/>
                <w:szCs w:val="21"/>
                <w:highlight w:val="none"/>
              </w:rPr>
              <w:t>评标专家确定方式</w:t>
            </w:r>
            <w:r>
              <w:rPr>
                <w:rFonts w:hint="eastAsia" w:ascii="宋体" w:hAnsi="宋体"/>
                <w:color w:val="auto"/>
                <w:szCs w:val="21"/>
                <w:highlight w:val="none"/>
              </w:rPr>
              <w:t>：从招投标主管部门专家库中随机抽取。</w:t>
            </w:r>
          </w:p>
        </w:tc>
      </w:tr>
      <w:tr w14:paraId="6D23EBEB">
        <w:tblPrEx>
          <w:tblCellMar>
            <w:top w:w="0" w:type="dxa"/>
            <w:left w:w="108" w:type="dxa"/>
            <w:bottom w:w="0" w:type="dxa"/>
            <w:right w:w="108" w:type="dxa"/>
          </w:tblCellMar>
        </w:tblPrEx>
        <w:trPr>
          <w:trHeight w:val="880" w:hRule="atLeast"/>
        </w:trPr>
        <w:tc>
          <w:tcPr>
            <w:tcW w:w="1008" w:type="dxa"/>
            <w:tcBorders>
              <w:top w:val="single" w:color="auto" w:sz="4" w:space="0"/>
              <w:left w:val="single" w:color="auto" w:sz="4" w:space="0"/>
              <w:right w:val="single" w:color="auto" w:sz="4" w:space="0"/>
            </w:tcBorders>
            <w:vAlign w:val="center"/>
          </w:tcPr>
          <w:p w14:paraId="50AA8FE6">
            <w:pPr>
              <w:spacing w:line="440" w:lineRule="atLeast"/>
              <w:jc w:val="center"/>
              <w:rPr>
                <w:rFonts w:ascii="宋体" w:hAnsi="宋体"/>
                <w:szCs w:val="21"/>
                <w:highlight w:val="none"/>
              </w:rPr>
            </w:pPr>
            <w:r>
              <w:rPr>
                <w:rFonts w:ascii="宋体" w:hAnsi="宋体"/>
                <w:szCs w:val="21"/>
                <w:highlight w:val="none"/>
              </w:rPr>
              <w:t>7.1</w:t>
            </w:r>
          </w:p>
        </w:tc>
        <w:tc>
          <w:tcPr>
            <w:tcW w:w="1980" w:type="dxa"/>
            <w:tcBorders>
              <w:top w:val="single" w:color="auto" w:sz="4" w:space="0"/>
              <w:left w:val="single" w:color="auto" w:sz="4" w:space="0"/>
              <w:right w:val="single" w:color="auto" w:sz="4" w:space="0"/>
            </w:tcBorders>
            <w:vAlign w:val="center"/>
          </w:tcPr>
          <w:p w14:paraId="604BD53A">
            <w:pPr>
              <w:spacing w:line="440" w:lineRule="atLeast"/>
              <w:jc w:val="center"/>
              <w:rPr>
                <w:rFonts w:hint="eastAsia" w:ascii="宋体" w:hAnsi="宋体" w:eastAsia="宋体" w:cs="Times New Roman"/>
                <w:szCs w:val="21"/>
                <w:highlight w:val="none"/>
              </w:rPr>
            </w:pPr>
            <w:r>
              <w:rPr>
                <w:rFonts w:hint="eastAsia" w:ascii="宋体" w:hAnsi="宋体" w:eastAsia="宋体" w:cs="Times New Roman"/>
                <w:szCs w:val="21"/>
                <w:highlight w:val="none"/>
              </w:rPr>
              <w:t>是否授权评标委员会确定中标人</w:t>
            </w:r>
          </w:p>
        </w:tc>
        <w:tc>
          <w:tcPr>
            <w:tcW w:w="5534" w:type="dxa"/>
            <w:tcBorders>
              <w:top w:val="single" w:color="auto" w:sz="4" w:space="0"/>
              <w:left w:val="single" w:color="auto" w:sz="4" w:space="0"/>
              <w:right w:val="single" w:color="auto" w:sz="4" w:space="0"/>
            </w:tcBorders>
            <w:vAlign w:val="center"/>
          </w:tcPr>
          <w:p w14:paraId="3BC63B87">
            <w:pPr>
              <w:spacing w:line="440" w:lineRule="atLeast"/>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rPr>
              <w:t>是</w:t>
            </w:r>
          </w:p>
          <w:p w14:paraId="3E32BCF5">
            <w:pPr>
              <w:spacing w:line="440" w:lineRule="atLeast"/>
              <w:rPr>
                <w:rFonts w:ascii="宋体" w:hAnsi="宋体"/>
                <w:color w:val="auto"/>
                <w:szCs w:val="21"/>
                <w:highlight w:val="none"/>
              </w:rPr>
            </w:pPr>
            <w:r>
              <w:rPr>
                <w:rFonts w:ascii="宋体" w:hAnsi="宋体"/>
                <w:color w:val="auto"/>
                <w:szCs w:val="21"/>
                <w:highlight w:val="none"/>
              </w:rPr>
              <w:sym w:font="Wingdings" w:char="F0FE"/>
            </w:r>
            <w:r>
              <w:rPr>
                <w:rFonts w:hint="eastAsia" w:ascii="宋体" w:hAnsi="宋体"/>
                <w:color w:val="auto"/>
                <w:szCs w:val="21"/>
                <w:highlight w:val="none"/>
              </w:rPr>
              <w:t>否，</w:t>
            </w:r>
            <w:r>
              <w:rPr>
                <w:rFonts w:ascii="宋体" w:hAnsi="宋体"/>
                <w:color w:val="auto"/>
                <w:szCs w:val="21"/>
                <w:highlight w:val="none"/>
              </w:rPr>
              <w:t>推荐的中标候选人数</w:t>
            </w:r>
            <w:r>
              <w:rPr>
                <w:rFonts w:hint="eastAsia" w:ascii="宋体" w:hAnsi="宋体"/>
                <w:color w:val="auto"/>
                <w:szCs w:val="21"/>
                <w:highlight w:val="none"/>
              </w:rPr>
              <w:t>：3人。</w:t>
            </w:r>
          </w:p>
        </w:tc>
      </w:tr>
      <w:tr w14:paraId="48C10A85">
        <w:tblPrEx>
          <w:tblCellMar>
            <w:top w:w="0" w:type="dxa"/>
            <w:left w:w="108" w:type="dxa"/>
            <w:bottom w:w="0" w:type="dxa"/>
            <w:right w:w="108" w:type="dxa"/>
          </w:tblCellMar>
        </w:tblPrEx>
        <w:trPr>
          <w:trHeight w:val="90" w:hRule="atLeast"/>
        </w:trPr>
        <w:tc>
          <w:tcPr>
            <w:tcW w:w="1008" w:type="dxa"/>
            <w:tcBorders>
              <w:top w:val="single" w:color="auto" w:sz="4" w:space="0"/>
              <w:left w:val="single" w:color="auto" w:sz="4" w:space="0"/>
              <w:right w:val="single" w:color="auto" w:sz="4" w:space="0"/>
            </w:tcBorders>
            <w:vAlign w:val="center"/>
          </w:tcPr>
          <w:p w14:paraId="73CEF094">
            <w:pPr>
              <w:spacing w:line="440" w:lineRule="atLeast"/>
              <w:jc w:val="center"/>
              <w:rPr>
                <w:rFonts w:ascii="宋体" w:hAnsi="宋体"/>
                <w:szCs w:val="21"/>
                <w:highlight w:val="none"/>
              </w:rPr>
            </w:pPr>
            <w:r>
              <w:rPr>
                <w:rFonts w:hint="eastAsia" w:ascii="宋体" w:hAnsi="宋体"/>
                <w:szCs w:val="21"/>
                <w:highlight w:val="none"/>
              </w:rPr>
              <w:t>7.2</w:t>
            </w:r>
          </w:p>
        </w:tc>
        <w:tc>
          <w:tcPr>
            <w:tcW w:w="1980" w:type="dxa"/>
            <w:tcBorders>
              <w:top w:val="single" w:color="auto" w:sz="4" w:space="0"/>
              <w:left w:val="single" w:color="auto" w:sz="4" w:space="0"/>
              <w:right w:val="single" w:color="auto" w:sz="4" w:space="0"/>
            </w:tcBorders>
            <w:vAlign w:val="center"/>
          </w:tcPr>
          <w:p w14:paraId="588312E8">
            <w:pPr>
              <w:spacing w:line="440" w:lineRule="atLeast"/>
              <w:jc w:val="center"/>
              <w:rPr>
                <w:rFonts w:hint="eastAsia" w:ascii="宋体" w:hAnsi="宋体" w:eastAsia="宋体" w:cs="Times New Roman"/>
                <w:szCs w:val="21"/>
                <w:highlight w:val="none"/>
              </w:rPr>
            </w:pPr>
            <w:r>
              <w:rPr>
                <w:rFonts w:hint="eastAsia" w:ascii="宋体" w:hAnsi="宋体" w:eastAsia="宋体" w:cs="Times New Roman"/>
                <w:szCs w:val="21"/>
                <w:highlight w:val="none"/>
              </w:rPr>
              <w:t>中标人公布媒介</w:t>
            </w:r>
          </w:p>
        </w:tc>
        <w:tc>
          <w:tcPr>
            <w:tcW w:w="5534" w:type="dxa"/>
            <w:tcBorders>
              <w:top w:val="single" w:color="auto" w:sz="4" w:space="0"/>
              <w:left w:val="single" w:color="auto" w:sz="4" w:space="0"/>
              <w:right w:val="single" w:color="auto" w:sz="4" w:space="0"/>
            </w:tcBorders>
            <w:vAlign w:val="center"/>
          </w:tcPr>
          <w:p w14:paraId="04347F64">
            <w:pPr>
              <w:spacing w:line="440" w:lineRule="atLeast"/>
              <w:rPr>
                <w:rFonts w:ascii="宋体" w:hAnsi="宋体"/>
                <w:color w:val="auto"/>
                <w:szCs w:val="21"/>
                <w:highlight w:val="none"/>
              </w:rPr>
            </w:pPr>
            <w:r>
              <w:rPr>
                <w:rFonts w:hint="eastAsia" w:ascii="宋体" w:hAnsi="宋体"/>
                <w:color w:val="auto"/>
                <w:szCs w:val="21"/>
                <w:highlight w:val="none"/>
              </w:rPr>
              <w:t>《河南省政府采购网》《开封市公共资源交易信息网》</w:t>
            </w:r>
          </w:p>
        </w:tc>
      </w:tr>
      <w:tr w14:paraId="64FA5920">
        <w:tblPrEx>
          <w:tblCellMar>
            <w:top w:w="0" w:type="dxa"/>
            <w:left w:w="108" w:type="dxa"/>
            <w:bottom w:w="0" w:type="dxa"/>
            <w:right w:w="108" w:type="dxa"/>
          </w:tblCellMar>
        </w:tblPrEx>
        <w:trPr>
          <w:trHeight w:val="880" w:hRule="atLeast"/>
        </w:trPr>
        <w:tc>
          <w:tcPr>
            <w:tcW w:w="1008" w:type="dxa"/>
            <w:tcBorders>
              <w:top w:val="single" w:color="auto" w:sz="4" w:space="0"/>
              <w:left w:val="single" w:color="auto" w:sz="4" w:space="0"/>
              <w:right w:val="single" w:color="auto" w:sz="4" w:space="0"/>
            </w:tcBorders>
            <w:vAlign w:val="center"/>
          </w:tcPr>
          <w:p w14:paraId="47970E4E">
            <w:pPr>
              <w:spacing w:line="440" w:lineRule="atLeast"/>
              <w:jc w:val="center"/>
              <w:rPr>
                <w:rFonts w:ascii="宋体" w:hAnsi="宋体"/>
                <w:szCs w:val="21"/>
                <w:highlight w:val="none"/>
              </w:rPr>
            </w:pPr>
            <w:r>
              <w:rPr>
                <w:rFonts w:hint="eastAsia" w:ascii="宋体" w:hAnsi="宋体"/>
                <w:szCs w:val="21"/>
                <w:highlight w:val="none"/>
              </w:rPr>
              <w:t>7.3</w:t>
            </w:r>
          </w:p>
        </w:tc>
        <w:tc>
          <w:tcPr>
            <w:tcW w:w="1980" w:type="dxa"/>
            <w:tcBorders>
              <w:top w:val="single" w:color="auto" w:sz="4" w:space="0"/>
              <w:left w:val="single" w:color="auto" w:sz="4" w:space="0"/>
              <w:right w:val="single" w:color="auto" w:sz="4" w:space="0"/>
            </w:tcBorders>
            <w:vAlign w:val="center"/>
          </w:tcPr>
          <w:p w14:paraId="74825697">
            <w:pPr>
              <w:spacing w:line="440" w:lineRule="atLeast"/>
              <w:jc w:val="center"/>
              <w:rPr>
                <w:rFonts w:hint="eastAsia" w:ascii="宋体" w:hAnsi="宋体" w:eastAsia="宋体" w:cs="Times New Roman"/>
                <w:szCs w:val="21"/>
                <w:highlight w:val="none"/>
              </w:rPr>
            </w:pPr>
            <w:r>
              <w:rPr>
                <w:rFonts w:hint="eastAsia" w:ascii="宋体" w:hAnsi="宋体" w:eastAsia="宋体" w:cs="Times New Roman"/>
                <w:szCs w:val="21"/>
                <w:highlight w:val="none"/>
              </w:rPr>
              <w:t>中标通知书</w:t>
            </w:r>
          </w:p>
        </w:tc>
        <w:tc>
          <w:tcPr>
            <w:tcW w:w="5534" w:type="dxa"/>
            <w:tcBorders>
              <w:top w:val="single" w:color="auto" w:sz="4" w:space="0"/>
              <w:left w:val="single" w:color="auto" w:sz="4" w:space="0"/>
              <w:right w:val="single" w:color="auto" w:sz="4" w:space="0"/>
            </w:tcBorders>
            <w:vAlign w:val="center"/>
          </w:tcPr>
          <w:p w14:paraId="0EA8CC46">
            <w:pPr>
              <w:spacing w:line="440" w:lineRule="atLeast"/>
              <w:rPr>
                <w:rFonts w:ascii="宋体" w:hAnsi="宋体"/>
                <w:color w:val="auto"/>
                <w:szCs w:val="21"/>
                <w:highlight w:val="none"/>
              </w:rPr>
            </w:pPr>
            <w:r>
              <w:rPr>
                <w:rFonts w:hint="eastAsia" w:ascii="宋体" w:hAnsi="宋体" w:cs="宋体"/>
                <w:color w:val="auto"/>
                <w:szCs w:val="21"/>
                <w:highlight w:val="none"/>
              </w:rPr>
              <w:t>中标人确定后，开封市政府采购中心协同采购人和开封市公共资源交易中心</w:t>
            </w:r>
            <w:r>
              <w:rPr>
                <w:rFonts w:hint="eastAsia" w:ascii="宋体" w:hAnsi="宋体"/>
                <w:color w:val="auto"/>
                <w:szCs w:val="21"/>
                <w:highlight w:val="none"/>
              </w:rPr>
              <w:t>向中标人发出《中标通知书》。</w:t>
            </w:r>
          </w:p>
        </w:tc>
      </w:tr>
      <w:tr w14:paraId="1366C7E8">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0057A98F">
            <w:pPr>
              <w:spacing w:line="440" w:lineRule="atLeast"/>
              <w:jc w:val="center"/>
              <w:rPr>
                <w:rFonts w:ascii="宋体" w:hAnsi="宋体"/>
                <w:szCs w:val="21"/>
                <w:highlight w:val="none"/>
              </w:rPr>
            </w:pPr>
            <w:r>
              <w:rPr>
                <w:rFonts w:ascii="宋体" w:hAnsi="宋体"/>
                <w:szCs w:val="21"/>
                <w:highlight w:val="none"/>
              </w:rPr>
              <w:t>7.</w:t>
            </w:r>
            <w:r>
              <w:rPr>
                <w:rFonts w:hint="eastAsia" w:ascii="宋体" w:hAnsi="宋体"/>
                <w:szCs w:val="21"/>
                <w:highlight w:val="none"/>
              </w:rPr>
              <w:t>4</w:t>
            </w:r>
            <w:r>
              <w:rPr>
                <w:rFonts w:ascii="宋体" w:hAnsi="宋体"/>
                <w:szCs w:val="21"/>
                <w:highlight w:val="none"/>
              </w:rPr>
              <w:t>.1</w:t>
            </w:r>
          </w:p>
        </w:tc>
        <w:tc>
          <w:tcPr>
            <w:tcW w:w="1980" w:type="dxa"/>
            <w:tcBorders>
              <w:top w:val="single" w:color="auto" w:sz="4" w:space="0"/>
              <w:left w:val="single" w:color="auto" w:sz="4" w:space="0"/>
              <w:bottom w:val="single" w:color="auto" w:sz="4" w:space="0"/>
              <w:right w:val="single" w:color="auto" w:sz="4" w:space="0"/>
            </w:tcBorders>
            <w:vAlign w:val="center"/>
          </w:tcPr>
          <w:p w14:paraId="518A9E7C">
            <w:pPr>
              <w:spacing w:line="440" w:lineRule="atLeast"/>
              <w:jc w:val="center"/>
              <w:rPr>
                <w:rFonts w:hint="eastAsia" w:ascii="宋体" w:hAnsi="宋体" w:eastAsia="宋体" w:cs="Times New Roman"/>
                <w:szCs w:val="21"/>
                <w:highlight w:val="none"/>
              </w:rPr>
            </w:pPr>
            <w:r>
              <w:rPr>
                <w:rFonts w:hint="eastAsia" w:ascii="宋体" w:hAnsi="宋体" w:eastAsia="宋体" w:cs="Times New Roman"/>
                <w:szCs w:val="21"/>
                <w:highlight w:val="none"/>
              </w:rPr>
              <w:t>履约担保</w:t>
            </w:r>
          </w:p>
        </w:tc>
        <w:tc>
          <w:tcPr>
            <w:tcW w:w="5534" w:type="dxa"/>
            <w:tcBorders>
              <w:top w:val="single" w:color="auto" w:sz="4" w:space="0"/>
              <w:left w:val="single" w:color="auto" w:sz="4" w:space="0"/>
              <w:bottom w:val="single" w:color="auto" w:sz="4" w:space="0"/>
              <w:right w:val="single" w:color="auto" w:sz="4" w:space="0"/>
            </w:tcBorders>
            <w:vAlign w:val="center"/>
          </w:tcPr>
          <w:p w14:paraId="36EE0B24">
            <w:pPr>
              <w:spacing w:line="440" w:lineRule="atLeast"/>
              <w:rPr>
                <w:rFonts w:ascii="宋体" w:hAnsi="宋体"/>
                <w:color w:val="auto"/>
                <w:szCs w:val="21"/>
                <w:highlight w:val="none"/>
              </w:rPr>
            </w:pPr>
            <w:r>
              <w:rPr>
                <w:rFonts w:hint="eastAsia" w:ascii="宋体" w:hAnsi="宋体"/>
                <w:color w:val="auto"/>
                <w:szCs w:val="21"/>
                <w:highlight w:val="none"/>
              </w:rPr>
              <w:t>//</w:t>
            </w:r>
          </w:p>
        </w:tc>
      </w:tr>
      <w:tr w14:paraId="0DE15B5F">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6345D1B1">
            <w:pPr>
              <w:spacing w:line="440" w:lineRule="atLeast"/>
              <w:jc w:val="center"/>
              <w:rPr>
                <w:rFonts w:ascii="宋体" w:hAnsi="宋体"/>
                <w:szCs w:val="21"/>
                <w:highlight w:val="none"/>
              </w:rPr>
            </w:pPr>
            <w:r>
              <w:rPr>
                <w:rFonts w:hint="eastAsia" w:ascii="宋体" w:hAnsi="宋体"/>
                <w:szCs w:val="21"/>
                <w:highlight w:val="none"/>
              </w:rPr>
              <w:t>7.5.1</w:t>
            </w:r>
          </w:p>
        </w:tc>
        <w:tc>
          <w:tcPr>
            <w:tcW w:w="1980" w:type="dxa"/>
            <w:tcBorders>
              <w:top w:val="single" w:color="auto" w:sz="4" w:space="0"/>
              <w:left w:val="single" w:color="auto" w:sz="4" w:space="0"/>
              <w:bottom w:val="single" w:color="auto" w:sz="4" w:space="0"/>
              <w:right w:val="single" w:color="auto" w:sz="4" w:space="0"/>
            </w:tcBorders>
            <w:vAlign w:val="center"/>
          </w:tcPr>
          <w:p w14:paraId="12661679">
            <w:pPr>
              <w:spacing w:line="440" w:lineRule="atLeast"/>
              <w:jc w:val="center"/>
              <w:rPr>
                <w:rFonts w:hint="eastAsia" w:ascii="宋体" w:hAnsi="宋体" w:eastAsia="宋体" w:cs="Times New Roman"/>
                <w:szCs w:val="21"/>
                <w:highlight w:val="none"/>
              </w:rPr>
            </w:pPr>
            <w:r>
              <w:rPr>
                <w:rFonts w:hint="eastAsia" w:ascii="宋体" w:hAnsi="宋体" w:eastAsia="宋体" w:cs="Times New Roman"/>
                <w:szCs w:val="21"/>
                <w:highlight w:val="none"/>
              </w:rPr>
              <w:t>签订合同</w:t>
            </w:r>
          </w:p>
        </w:tc>
        <w:tc>
          <w:tcPr>
            <w:tcW w:w="5534" w:type="dxa"/>
            <w:tcBorders>
              <w:top w:val="single" w:color="auto" w:sz="4" w:space="0"/>
              <w:left w:val="single" w:color="auto" w:sz="4" w:space="0"/>
              <w:bottom w:val="single" w:color="auto" w:sz="4" w:space="0"/>
              <w:right w:val="single" w:color="auto" w:sz="4" w:space="0"/>
            </w:tcBorders>
            <w:vAlign w:val="center"/>
          </w:tcPr>
          <w:p w14:paraId="49C9E0CB">
            <w:pPr>
              <w:spacing w:line="440" w:lineRule="atLeast"/>
              <w:rPr>
                <w:rFonts w:ascii="宋体" w:hAnsi="宋体"/>
                <w:color w:val="auto"/>
                <w:szCs w:val="21"/>
                <w:highlight w:val="none"/>
              </w:rPr>
            </w:pPr>
            <w:r>
              <w:rPr>
                <w:rFonts w:hint="eastAsia" w:ascii="宋体" w:hAnsi="宋体"/>
                <w:color w:val="auto"/>
                <w:szCs w:val="21"/>
                <w:highlight w:val="none"/>
              </w:rPr>
              <w:t>中标人按《中标通知书》约定时间（无约定时，应在中标通知书发出时间30日内），根据招标文件和中标人的投标文件与采购人签订合同。</w:t>
            </w:r>
          </w:p>
        </w:tc>
      </w:tr>
      <w:tr w14:paraId="7B08CDBA">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4DAD2611">
            <w:pPr>
              <w:spacing w:line="440" w:lineRule="atLeast"/>
              <w:jc w:val="center"/>
              <w:rPr>
                <w:rFonts w:ascii="宋体" w:hAnsi="宋体"/>
                <w:szCs w:val="21"/>
                <w:highlight w:val="none"/>
              </w:rPr>
            </w:pPr>
            <w:r>
              <w:rPr>
                <w:rFonts w:hint="eastAsia" w:ascii="宋体" w:hAnsi="宋体"/>
                <w:szCs w:val="21"/>
                <w:highlight w:val="none"/>
              </w:rPr>
              <w:t>8.5</w:t>
            </w:r>
          </w:p>
        </w:tc>
        <w:tc>
          <w:tcPr>
            <w:tcW w:w="1980" w:type="dxa"/>
            <w:tcBorders>
              <w:top w:val="single" w:color="auto" w:sz="4" w:space="0"/>
              <w:left w:val="single" w:color="auto" w:sz="4" w:space="0"/>
              <w:bottom w:val="single" w:color="auto" w:sz="4" w:space="0"/>
              <w:right w:val="single" w:color="auto" w:sz="4" w:space="0"/>
            </w:tcBorders>
            <w:vAlign w:val="center"/>
          </w:tcPr>
          <w:p w14:paraId="38AF123C">
            <w:pPr>
              <w:spacing w:line="440" w:lineRule="atLeast"/>
              <w:jc w:val="center"/>
              <w:rPr>
                <w:rFonts w:hint="eastAsia" w:ascii="宋体" w:hAnsi="宋体" w:eastAsia="宋体" w:cs="Times New Roman"/>
                <w:szCs w:val="21"/>
                <w:highlight w:val="none"/>
              </w:rPr>
            </w:pPr>
            <w:r>
              <w:rPr>
                <w:rFonts w:hint="eastAsia" w:ascii="宋体" w:hAnsi="宋体" w:eastAsia="宋体" w:cs="Times New Roman"/>
                <w:szCs w:val="21"/>
                <w:highlight w:val="none"/>
              </w:rPr>
              <w:t>询问和质疑</w:t>
            </w:r>
          </w:p>
          <w:p w14:paraId="7B74A2C6">
            <w:pPr>
              <w:spacing w:line="440" w:lineRule="atLeast"/>
              <w:jc w:val="center"/>
              <w:rPr>
                <w:rFonts w:hint="eastAsia" w:ascii="宋体" w:hAnsi="宋体" w:eastAsia="宋体" w:cs="Times New Roman"/>
                <w:szCs w:val="21"/>
                <w:highlight w:val="none"/>
              </w:rPr>
            </w:pPr>
          </w:p>
          <w:p w14:paraId="3BC59F13">
            <w:pPr>
              <w:spacing w:line="440" w:lineRule="atLeast"/>
              <w:jc w:val="center"/>
              <w:rPr>
                <w:rFonts w:hint="eastAsia" w:ascii="宋体" w:hAnsi="宋体" w:eastAsia="宋体" w:cs="Times New Roman"/>
                <w:szCs w:val="21"/>
                <w:highlight w:val="none"/>
              </w:rPr>
            </w:pPr>
            <w:r>
              <w:rPr>
                <w:rFonts w:hint="eastAsia" w:ascii="宋体" w:hAnsi="宋体" w:eastAsia="宋体" w:cs="Times New Roman"/>
                <w:szCs w:val="21"/>
                <w:highlight w:val="none"/>
              </w:rPr>
              <w:t>（包括对招标文件、采购过程、成交或成交结果）</w:t>
            </w:r>
          </w:p>
        </w:tc>
        <w:tc>
          <w:tcPr>
            <w:tcW w:w="5534" w:type="dxa"/>
            <w:tcBorders>
              <w:top w:val="single" w:color="auto" w:sz="4" w:space="0"/>
              <w:left w:val="single" w:color="auto" w:sz="4" w:space="0"/>
              <w:bottom w:val="single" w:color="auto" w:sz="4" w:space="0"/>
              <w:right w:val="single" w:color="auto" w:sz="4" w:space="0"/>
            </w:tcBorders>
            <w:vAlign w:val="center"/>
          </w:tcPr>
          <w:p w14:paraId="1B834A11">
            <w:pPr>
              <w:spacing w:line="440" w:lineRule="atLeast"/>
              <w:rPr>
                <w:rFonts w:ascii="宋体" w:hAnsi="宋体"/>
                <w:color w:val="auto"/>
                <w:szCs w:val="21"/>
                <w:highlight w:val="none"/>
              </w:rPr>
            </w:pPr>
            <w:r>
              <w:rPr>
                <w:rFonts w:hint="eastAsia" w:ascii="宋体" w:hAnsi="宋体"/>
                <w:color w:val="auto"/>
                <w:szCs w:val="21"/>
                <w:highlight w:val="none"/>
              </w:rPr>
              <w:t>　　1、询问。供应商有疑问的，可先按政府采购法第五十一条向采购人、代理机构提出询问，通过面对面、电话形式沟通，属于理解偏差等小问题可当即解决，如仍有异议可提出质疑。（联系人和电话见本表第1.1.2和1.1.3.）</w:t>
            </w:r>
          </w:p>
          <w:p w14:paraId="5610A62B">
            <w:pPr>
              <w:spacing w:line="440" w:lineRule="atLeast"/>
              <w:ind w:firstLine="426"/>
              <w:rPr>
                <w:rFonts w:ascii="宋体" w:hAnsi="宋体"/>
                <w:color w:val="auto"/>
                <w:szCs w:val="21"/>
                <w:highlight w:val="none"/>
              </w:rPr>
            </w:pPr>
            <w:r>
              <w:rPr>
                <w:rFonts w:hint="eastAsia" w:ascii="宋体" w:hAnsi="宋体"/>
                <w:color w:val="auto"/>
                <w:szCs w:val="21"/>
                <w:highlight w:val="none"/>
              </w:rPr>
              <w:t>2、质疑（格式参照财政部2018年发布的《质疑函范本》）。对招标文件的质疑，应当在收到招标文件之日或招标公告期满之日起7个工作日内</w:t>
            </w:r>
            <w:r>
              <w:rPr>
                <w:rFonts w:hint="eastAsia" w:ascii="宋体" w:hAnsi="宋体"/>
                <w:color w:val="auto"/>
                <w:szCs w:val="21"/>
                <w:highlight w:val="none"/>
                <w:lang w:val="en-US" w:eastAsia="zh-CN"/>
              </w:rPr>
              <w:t>且在开标时间前</w:t>
            </w:r>
            <w:r>
              <w:rPr>
                <w:rFonts w:hint="eastAsia" w:ascii="宋体" w:hAnsi="宋体"/>
                <w:color w:val="auto"/>
                <w:szCs w:val="21"/>
                <w:highlight w:val="none"/>
              </w:rPr>
              <w:t>提出（</w:t>
            </w:r>
            <w:r>
              <w:rPr>
                <w:rFonts w:hint="eastAsia" w:ascii="宋体" w:hAnsi="宋体" w:cs="宋体"/>
                <w:color w:val="auto"/>
                <w:kern w:val="0"/>
                <w:szCs w:val="21"/>
                <w:highlight w:val="none"/>
              </w:rPr>
              <w:t>在公告期限届满之前下载招标文件的，对招标文件的质疑期限从下载之日起计算；在招标公告期限届满之后下载招标文件的，对招标文件的质疑期限从公告期限届满之日起计算。</w:t>
            </w:r>
            <w:r>
              <w:rPr>
                <w:rFonts w:hint="eastAsia" w:ascii="宋体" w:hAnsi="宋体"/>
                <w:color w:val="auto"/>
                <w:szCs w:val="21"/>
                <w:highlight w:val="none"/>
              </w:rPr>
              <w:t>）；对</w:t>
            </w:r>
            <w:r>
              <w:rPr>
                <w:rFonts w:hint="eastAsia" w:ascii="宋体" w:hAnsi="宋体"/>
                <w:color w:val="auto"/>
                <w:szCs w:val="21"/>
                <w:highlight w:val="none"/>
                <w:lang w:val="en-US" w:eastAsia="zh-CN"/>
              </w:rPr>
              <w:t>采购</w:t>
            </w:r>
            <w:r>
              <w:rPr>
                <w:rFonts w:hint="eastAsia" w:ascii="宋体" w:hAnsi="宋体"/>
                <w:color w:val="auto"/>
                <w:szCs w:val="21"/>
                <w:highlight w:val="none"/>
              </w:rPr>
              <w:t>过程的质疑，应在知道或者应知其权益受到损害之日起7个工作日内提出； 对</w:t>
            </w:r>
            <w:r>
              <w:rPr>
                <w:rFonts w:hint="eastAsia" w:ascii="宋体" w:hAnsi="宋体"/>
                <w:color w:val="auto"/>
                <w:szCs w:val="21"/>
                <w:highlight w:val="none"/>
                <w:lang w:val="en-US" w:eastAsia="zh-CN"/>
              </w:rPr>
              <w:t>中标</w:t>
            </w:r>
            <w:r>
              <w:rPr>
                <w:rFonts w:hint="eastAsia" w:ascii="宋体" w:hAnsi="宋体"/>
                <w:color w:val="auto"/>
                <w:szCs w:val="21"/>
                <w:highlight w:val="none"/>
              </w:rPr>
              <w:t>或成交结果有质疑的，应在</w:t>
            </w:r>
            <w:r>
              <w:rPr>
                <w:rFonts w:hint="eastAsia" w:ascii="宋体" w:hAnsi="宋体"/>
                <w:color w:val="auto"/>
                <w:szCs w:val="21"/>
                <w:highlight w:val="none"/>
                <w:lang w:val="en-US" w:eastAsia="zh-CN"/>
              </w:rPr>
              <w:t>中标</w:t>
            </w:r>
            <w:r>
              <w:rPr>
                <w:rFonts w:hint="eastAsia" w:ascii="宋体" w:hAnsi="宋体"/>
                <w:color w:val="auto"/>
                <w:szCs w:val="21"/>
                <w:highlight w:val="none"/>
              </w:rPr>
              <w:t>或成交公告期满之日起7个工作日内提出。通过《开封市公共资源交易信息网》凭CA密钥登录，线上提起，并同时打电话提醒采购人和采购代理机构注意及时查收。</w:t>
            </w:r>
          </w:p>
          <w:p w14:paraId="1B61DF6D">
            <w:pPr>
              <w:spacing w:line="440" w:lineRule="atLeast"/>
              <w:ind w:firstLine="426"/>
              <w:rPr>
                <w:rFonts w:ascii="宋体" w:hAnsi="宋体"/>
                <w:color w:val="auto"/>
                <w:szCs w:val="21"/>
                <w:highlight w:val="none"/>
              </w:rPr>
            </w:pPr>
            <w:r>
              <w:rPr>
                <w:rFonts w:hint="eastAsia" w:ascii="宋体" w:hAnsi="宋体"/>
                <w:color w:val="auto"/>
                <w:szCs w:val="21"/>
                <w:highlight w:val="none"/>
              </w:rPr>
              <w:t>供应商应在法定质疑期内一次性提出针对同一采购程序环节的质疑</w:t>
            </w:r>
            <w:r>
              <w:rPr>
                <w:rFonts w:hint="eastAsia" w:ascii="宋体" w:hAnsi="宋体"/>
                <w:color w:val="auto"/>
                <w:szCs w:val="21"/>
                <w:highlight w:val="none"/>
                <w:lang w:eastAsia="zh-CN"/>
              </w:rPr>
              <w:t>，</w:t>
            </w:r>
            <w:r>
              <w:rPr>
                <w:color w:val="auto"/>
                <w:sz w:val="21"/>
                <w:szCs w:val="21"/>
                <w:highlight w:val="none"/>
              </w:rPr>
              <w:t>针对同一采购程序环节再次提出的质疑，采购人、采购代理机构有权不予答复。</w:t>
            </w:r>
          </w:p>
        </w:tc>
      </w:tr>
      <w:tr w14:paraId="7D0F0F56">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02E7E7C8">
            <w:pPr>
              <w:spacing w:line="440" w:lineRule="atLeast"/>
              <w:jc w:val="center"/>
              <w:rPr>
                <w:rFonts w:hint="eastAsia" w:ascii="宋体" w:hAnsi="宋体" w:eastAsia="宋体"/>
                <w:b/>
                <w:bCs/>
                <w:szCs w:val="21"/>
                <w:highlight w:val="none"/>
                <w:lang w:val="en-US" w:eastAsia="zh-CN"/>
              </w:rPr>
            </w:pPr>
            <w:r>
              <w:rPr>
                <w:rFonts w:hint="eastAsia" w:ascii="宋体" w:hAnsi="宋体"/>
                <w:b/>
                <w:bCs/>
                <w:szCs w:val="21"/>
                <w:highlight w:val="none"/>
                <w:lang w:val="en-US" w:eastAsia="zh-CN"/>
              </w:rPr>
              <w:t>9</w:t>
            </w:r>
          </w:p>
        </w:tc>
        <w:tc>
          <w:tcPr>
            <w:tcW w:w="7514" w:type="dxa"/>
            <w:gridSpan w:val="2"/>
            <w:tcBorders>
              <w:top w:val="single" w:color="auto" w:sz="4" w:space="0"/>
              <w:left w:val="single" w:color="auto" w:sz="4" w:space="0"/>
              <w:bottom w:val="single" w:color="auto" w:sz="4" w:space="0"/>
              <w:right w:val="single" w:color="auto" w:sz="4" w:space="0"/>
            </w:tcBorders>
            <w:vAlign w:val="center"/>
          </w:tcPr>
          <w:p w14:paraId="3EA6719E">
            <w:pPr>
              <w:spacing w:line="440" w:lineRule="atLeast"/>
              <w:jc w:val="center"/>
              <w:rPr>
                <w:rFonts w:hint="eastAsia" w:ascii="宋体" w:hAnsi="宋体"/>
                <w:b/>
                <w:bCs/>
                <w:color w:val="auto"/>
                <w:szCs w:val="21"/>
                <w:highlight w:val="none"/>
              </w:rPr>
            </w:pPr>
            <w:r>
              <w:rPr>
                <w:rFonts w:hint="eastAsia" w:ascii="宋体" w:hAnsi="宋体"/>
                <w:b/>
                <w:bCs/>
                <w:color w:val="auto"/>
                <w:szCs w:val="21"/>
                <w:highlight w:val="none"/>
                <w:lang w:val="en-US" w:eastAsia="zh-CN"/>
              </w:rPr>
              <w:t>政府采购政策</w:t>
            </w:r>
          </w:p>
        </w:tc>
      </w:tr>
      <w:tr w14:paraId="3EBDD5F9">
        <w:tblPrEx>
          <w:tblCellMar>
            <w:top w:w="0" w:type="dxa"/>
            <w:left w:w="108" w:type="dxa"/>
            <w:bottom w:w="0" w:type="dxa"/>
            <w:right w:w="108" w:type="dxa"/>
          </w:tblCellMar>
        </w:tblPrEx>
        <w:trPr>
          <w:trHeight w:val="671" w:hRule="atLeast"/>
        </w:trPr>
        <w:tc>
          <w:tcPr>
            <w:tcW w:w="1008" w:type="dxa"/>
            <w:tcBorders>
              <w:top w:val="single" w:color="auto" w:sz="4" w:space="0"/>
              <w:left w:val="single" w:color="auto" w:sz="4" w:space="0"/>
              <w:bottom w:val="single" w:color="auto" w:sz="4" w:space="0"/>
              <w:right w:val="single" w:color="auto" w:sz="4" w:space="0"/>
            </w:tcBorders>
            <w:vAlign w:val="center"/>
          </w:tcPr>
          <w:p w14:paraId="1E51639F">
            <w:pPr>
              <w:spacing w:line="440" w:lineRule="atLeast"/>
              <w:jc w:val="center"/>
              <w:rPr>
                <w:rFonts w:hint="default" w:ascii="宋体" w:hAnsi="宋体"/>
                <w:szCs w:val="21"/>
                <w:highlight w:val="none"/>
                <w:lang w:val="en-US" w:eastAsia="zh-CN"/>
              </w:rPr>
            </w:pPr>
            <w:r>
              <w:rPr>
                <w:rFonts w:hint="eastAsia" w:ascii="宋体" w:hAnsi="宋体"/>
                <w:szCs w:val="21"/>
                <w:highlight w:val="none"/>
                <w:lang w:val="en-US" w:eastAsia="zh-CN"/>
              </w:rPr>
              <w:t>9.1.1</w:t>
            </w:r>
          </w:p>
        </w:tc>
        <w:tc>
          <w:tcPr>
            <w:tcW w:w="1980" w:type="dxa"/>
            <w:tcBorders>
              <w:top w:val="single" w:color="auto" w:sz="4" w:space="0"/>
              <w:left w:val="single" w:color="auto" w:sz="4" w:space="0"/>
              <w:bottom w:val="single" w:color="auto" w:sz="4" w:space="0"/>
              <w:right w:val="single" w:color="auto" w:sz="4" w:space="0"/>
            </w:tcBorders>
            <w:vAlign w:val="center"/>
          </w:tcPr>
          <w:p w14:paraId="46CE860B">
            <w:pPr>
              <w:spacing w:line="440" w:lineRule="atLeast"/>
              <w:jc w:val="center"/>
              <w:rPr>
                <w:rFonts w:hint="eastAsia" w:ascii="宋体" w:hAnsi="宋体" w:eastAsia="宋体" w:cs="Times New Roman"/>
                <w:szCs w:val="21"/>
                <w:highlight w:val="none"/>
              </w:rPr>
            </w:pPr>
            <w:r>
              <w:rPr>
                <w:rFonts w:hint="eastAsia" w:ascii="宋体" w:hAnsi="宋体" w:eastAsia="宋体" w:cs="Times New Roman"/>
                <w:szCs w:val="21"/>
                <w:highlight w:val="none"/>
                <w:lang w:val="en-US" w:eastAsia="zh-CN"/>
              </w:rPr>
              <w:t>中小企业扶持政策</w:t>
            </w:r>
          </w:p>
        </w:tc>
        <w:tc>
          <w:tcPr>
            <w:tcW w:w="5534" w:type="dxa"/>
            <w:tcBorders>
              <w:top w:val="single" w:color="auto" w:sz="4" w:space="0"/>
              <w:left w:val="single" w:color="auto" w:sz="4" w:space="0"/>
              <w:bottom w:val="single" w:color="auto" w:sz="4" w:space="0"/>
              <w:right w:val="single" w:color="auto" w:sz="4" w:space="0"/>
            </w:tcBorders>
            <w:vAlign w:val="center"/>
          </w:tcPr>
          <w:p w14:paraId="70B63126">
            <w:pPr>
              <w:spacing w:line="440" w:lineRule="atLeast"/>
              <w:ind w:firstLine="426"/>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符合中小微企业扶持政策的供应商提供符合规定格式要求的《中小企业声明函》。（如涉及）</w:t>
            </w:r>
          </w:p>
        </w:tc>
      </w:tr>
      <w:tr w14:paraId="6DDF5453">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5BD17D5C">
            <w:pPr>
              <w:spacing w:line="440" w:lineRule="atLeast"/>
              <w:jc w:val="center"/>
              <w:rPr>
                <w:rFonts w:hint="default" w:ascii="宋体" w:hAnsi="宋体"/>
                <w:szCs w:val="21"/>
                <w:highlight w:val="none"/>
                <w:lang w:val="en-US" w:eastAsia="zh-CN"/>
              </w:rPr>
            </w:pPr>
            <w:r>
              <w:rPr>
                <w:rFonts w:hint="eastAsia" w:ascii="宋体" w:hAnsi="宋体"/>
                <w:szCs w:val="21"/>
                <w:highlight w:val="none"/>
                <w:lang w:val="en-US" w:eastAsia="zh-CN"/>
              </w:rPr>
              <w:t>9.1.2</w:t>
            </w:r>
          </w:p>
        </w:tc>
        <w:tc>
          <w:tcPr>
            <w:tcW w:w="1980" w:type="dxa"/>
            <w:tcBorders>
              <w:top w:val="single" w:color="auto" w:sz="4" w:space="0"/>
              <w:left w:val="single" w:color="auto" w:sz="4" w:space="0"/>
              <w:bottom w:val="single" w:color="auto" w:sz="4" w:space="0"/>
              <w:right w:val="single" w:color="auto" w:sz="4" w:space="0"/>
            </w:tcBorders>
            <w:vAlign w:val="center"/>
          </w:tcPr>
          <w:p w14:paraId="157F3CE8">
            <w:pPr>
              <w:spacing w:line="440" w:lineRule="atLeast"/>
              <w:jc w:val="center"/>
              <w:rPr>
                <w:rFonts w:hint="eastAsia" w:ascii="宋体" w:hAnsi="宋体" w:eastAsia="宋体" w:cs="Times New Roman"/>
                <w:szCs w:val="21"/>
                <w:highlight w:val="none"/>
              </w:rPr>
            </w:pPr>
            <w:r>
              <w:rPr>
                <w:rFonts w:hint="eastAsia" w:ascii="宋体" w:hAnsi="宋体" w:eastAsia="宋体" w:cs="Times New Roman"/>
                <w:szCs w:val="21"/>
                <w:highlight w:val="none"/>
                <w:lang w:val="en-US" w:eastAsia="zh-CN"/>
              </w:rPr>
              <w:t>监狱企业扶持政策</w:t>
            </w:r>
          </w:p>
        </w:tc>
        <w:tc>
          <w:tcPr>
            <w:tcW w:w="5534" w:type="dxa"/>
            <w:tcBorders>
              <w:top w:val="single" w:color="auto" w:sz="4" w:space="0"/>
              <w:left w:val="single" w:color="auto" w:sz="4" w:space="0"/>
              <w:bottom w:val="single" w:color="auto" w:sz="4" w:space="0"/>
              <w:right w:val="single" w:color="auto" w:sz="4" w:space="0"/>
            </w:tcBorders>
            <w:vAlign w:val="center"/>
          </w:tcPr>
          <w:p w14:paraId="1CBA23EB">
            <w:pPr>
              <w:spacing w:line="440" w:lineRule="atLeast"/>
              <w:ind w:firstLine="426"/>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符合监狱企业扶持政策的供应商提供由省级以上监狱管理局、戒毒管理局（含新疆生产建设兵团）出具的属于监狱企业的证明文件。（如涉及）</w:t>
            </w:r>
          </w:p>
        </w:tc>
      </w:tr>
      <w:tr w14:paraId="08F38C83">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48AED6FE">
            <w:pPr>
              <w:spacing w:line="440" w:lineRule="atLeast"/>
              <w:jc w:val="center"/>
              <w:rPr>
                <w:rFonts w:hint="default" w:ascii="宋体" w:hAnsi="宋体"/>
                <w:szCs w:val="21"/>
                <w:highlight w:val="none"/>
                <w:lang w:val="en-US" w:eastAsia="zh-CN"/>
              </w:rPr>
            </w:pPr>
            <w:r>
              <w:rPr>
                <w:rFonts w:hint="eastAsia" w:ascii="宋体" w:hAnsi="宋体"/>
                <w:szCs w:val="21"/>
                <w:highlight w:val="none"/>
                <w:lang w:val="en-US" w:eastAsia="zh-CN"/>
              </w:rPr>
              <w:t>9.1.3</w:t>
            </w:r>
          </w:p>
        </w:tc>
        <w:tc>
          <w:tcPr>
            <w:tcW w:w="1980" w:type="dxa"/>
            <w:tcBorders>
              <w:top w:val="single" w:color="auto" w:sz="4" w:space="0"/>
              <w:left w:val="single" w:color="auto" w:sz="4" w:space="0"/>
              <w:bottom w:val="single" w:color="auto" w:sz="4" w:space="0"/>
              <w:right w:val="single" w:color="auto" w:sz="4" w:space="0"/>
            </w:tcBorders>
            <w:vAlign w:val="center"/>
          </w:tcPr>
          <w:p w14:paraId="7FF7A36E">
            <w:pPr>
              <w:spacing w:line="440" w:lineRule="atLeast"/>
              <w:jc w:val="center"/>
              <w:rPr>
                <w:rFonts w:hint="eastAsia" w:ascii="宋体" w:hAnsi="宋体" w:eastAsia="宋体" w:cs="Times New Roman"/>
                <w:szCs w:val="21"/>
                <w:highlight w:val="none"/>
              </w:rPr>
            </w:pPr>
            <w:r>
              <w:rPr>
                <w:rFonts w:hint="eastAsia" w:ascii="宋体" w:hAnsi="宋体" w:eastAsia="宋体" w:cs="Times New Roman"/>
                <w:szCs w:val="21"/>
                <w:highlight w:val="none"/>
                <w:lang w:val="en-US" w:eastAsia="zh-CN"/>
              </w:rPr>
              <w:t>残疾人福利性单位扶持政策</w:t>
            </w:r>
          </w:p>
        </w:tc>
        <w:tc>
          <w:tcPr>
            <w:tcW w:w="5534" w:type="dxa"/>
            <w:tcBorders>
              <w:top w:val="single" w:color="auto" w:sz="4" w:space="0"/>
              <w:left w:val="single" w:color="auto" w:sz="4" w:space="0"/>
              <w:bottom w:val="single" w:color="auto" w:sz="4" w:space="0"/>
              <w:right w:val="single" w:color="auto" w:sz="4" w:space="0"/>
            </w:tcBorders>
            <w:vAlign w:val="center"/>
          </w:tcPr>
          <w:p w14:paraId="79694EE6">
            <w:pPr>
              <w:spacing w:line="440" w:lineRule="atLeast"/>
              <w:ind w:firstLine="426"/>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符合残疾人福利性单位扶持政策的供应商提供符合规定格式要求的《残疾人福利性单位声明函》。（如涉及）</w:t>
            </w:r>
          </w:p>
        </w:tc>
      </w:tr>
      <w:tr w14:paraId="3F3E9C43">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5E57C773">
            <w:pPr>
              <w:spacing w:line="440" w:lineRule="atLeast"/>
              <w:jc w:val="center"/>
              <w:rPr>
                <w:rFonts w:hint="default" w:ascii="宋体" w:hAnsi="宋体"/>
                <w:szCs w:val="21"/>
                <w:highlight w:val="none"/>
                <w:lang w:val="en-US" w:eastAsia="zh-CN"/>
              </w:rPr>
            </w:pPr>
            <w:r>
              <w:rPr>
                <w:rFonts w:hint="eastAsia" w:ascii="宋体" w:hAnsi="宋体"/>
                <w:szCs w:val="21"/>
                <w:highlight w:val="none"/>
                <w:lang w:val="en-US" w:eastAsia="zh-CN"/>
              </w:rPr>
              <w:t>9.2</w:t>
            </w:r>
          </w:p>
        </w:tc>
        <w:tc>
          <w:tcPr>
            <w:tcW w:w="1980" w:type="dxa"/>
            <w:tcBorders>
              <w:top w:val="single" w:color="auto" w:sz="4" w:space="0"/>
              <w:left w:val="single" w:color="auto" w:sz="4" w:space="0"/>
              <w:bottom w:val="single" w:color="auto" w:sz="4" w:space="0"/>
              <w:right w:val="single" w:color="auto" w:sz="4" w:space="0"/>
            </w:tcBorders>
            <w:vAlign w:val="center"/>
          </w:tcPr>
          <w:p w14:paraId="13B1DAD9">
            <w:pPr>
              <w:spacing w:line="440" w:lineRule="atLeast"/>
              <w:jc w:val="center"/>
              <w:rPr>
                <w:rFonts w:hint="eastAsia" w:ascii="宋体" w:hAnsi="宋体" w:eastAsia="宋体" w:cs="Times New Roman"/>
                <w:szCs w:val="21"/>
                <w:highlight w:val="none"/>
              </w:rPr>
            </w:pPr>
            <w:r>
              <w:rPr>
                <w:rFonts w:hint="eastAsia" w:ascii="宋体" w:hAnsi="宋体" w:eastAsia="宋体" w:cs="Times New Roman"/>
                <w:szCs w:val="21"/>
                <w:highlight w:val="none"/>
                <w:lang w:val="en-US" w:eastAsia="zh-CN"/>
              </w:rPr>
              <w:t>政府采购节能产品、环境标志产品。</w:t>
            </w:r>
          </w:p>
        </w:tc>
        <w:tc>
          <w:tcPr>
            <w:tcW w:w="5534" w:type="dxa"/>
            <w:tcBorders>
              <w:top w:val="single" w:color="auto" w:sz="4" w:space="0"/>
              <w:left w:val="single" w:color="auto" w:sz="4" w:space="0"/>
              <w:bottom w:val="single" w:color="auto" w:sz="4" w:space="0"/>
              <w:right w:val="single" w:color="auto" w:sz="4" w:space="0"/>
            </w:tcBorders>
            <w:vAlign w:val="center"/>
          </w:tcPr>
          <w:p w14:paraId="462038C7">
            <w:pPr>
              <w:spacing w:line="440" w:lineRule="atLeast"/>
              <w:ind w:firstLine="426"/>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采购人拟采购的产品属于品目清单范围中强制采购的，供应商须在投标文件中附所投产品的国家规定的认证机构出具的、处于有效期之内的节能产品认证证书扫描件并加盖公章，否则为无效投标。</w:t>
            </w:r>
          </w:p>
          <w:p w14:paraId="6D8FAC1B">
            <w:pPr>
              <w:spacing w:line="440" w:lineRule="atLeast"/>
              <w:ind w:firstLine="426"/>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采购人拟采购的产品属于品目清单范围中优先采购的，供应商须在投标文件中附所投产品的国家规定的认证机构出具的、处于有效期之内的节能产品、环境标志产品认证证书扫描件并加盖公章，否则不享受环境标志产品、节能产品优先采购政策。（如涉及）</w:t>
            </w:r>
          </w:p>
        </w:tc>
      </w:tr>
      <w:tr w14:paraId="4779181E">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7CF22021">
            <w:pPr>
              <w:spacing w:line="440" w:lineRule="atLeast"/>
              <w:jc w:val="center"/>
              <w:rPr>
                <w:rFonts w:hint="default" w:ascii="宋体" w:hAnsi="宋体"/>
                <w:szCs w:val="21"/>
                <w:highlight w:val="none"/>
                <w:lang w:val="en-US" w:eastAsia="zh-CN"/>
              </w:rPr>
            </w:pPr>
            <w:r>
              <w:rPr>
                <w:rFonts w:hint="eastAsia" w:ascii="宋体" w:hAnsi="宋体"/>
                <w:szCs w:val="21"/>
                <w:highlight w:val="none"/>
                <w:lang w:val="en-US" w:eastAsia="zh-CN"/>
              </w:rPr>
              <w:t>9.3</w:t>
            </w:r>
          </w:p>
          <w:p w14:paraId="0FE6A0D3">
            <w:pPr>
              <w:spacing w:line="440" w:lineRule="atLeast"/>
              <w:jc w:val="center"/>
              <w:rPr>
                <w:rFonts w:hint="eastAsia" w:ascii="宋体" w:hAnsi="宋体"/>
                <w:szCs w:val="21"/>
                <w:highlight w:val="none"/>
                <w:lang w:val="en-US" w:eastAsia="zh-CN"/>
              </w:rPr>
            </w:pPr>
          </w:p>
        </w:tc>
        <w:tc>
          <w:tcPr>
            <w:tcW w:w="1980" w:type="dxa"/>
            <w:tcBorders>
              <w:top w:val="single" w:color="auto" w:sz="4" w:space="0"/>
              <w:left w:val="single" w:color="auto" w:sz="4" w:space="0"/>
              <w:bottom w:val="single" w:color="auto" w:sz="4" w:space="0"/>
              <w:right w:val="single" w:color="auto" w:sz="4" w:space="0"/>
            </w:tcBorders>
            <w:vAlign w:val="center"/>
          </w:tcPr>
          <w:p w14:paraId="752705C5">
            <w:pPr>
              <w:spacing w:line="440" w:lineRule="atLeast"/>
              <w:jc w:val="center"/>
              <w:rPr>
                <w:rFonts w:hint="default"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支持乡村产业振兴</w:t>
            </w:r>
          </w:p>
        </w:tc>
        <w:tc>
          <w:tcPr>
            <w:tcW w:w="5534" w:type="dxa"/>
            <w:tcBorders>
              <w:top w:val="single" w:color="auto" w:sz="4" w:space="0"/>
              <w:left w:val="single" w:color="auto" w:sz="4" w:space="0"/>
              <w:bottom w:val="single" w:color="auto" w:sz="4" w:space="0"/>
              <w:right w:val="single" w:color="auto" w:sz="4" w:space="0"/>
            </w:tcBorders>
            <w:vAlign w:val="center"/>
          </w:tcPr>
          <w:p w14:paraId="580B6903">
            <w:pPr>
              <w:spacing w:line="440" w:lineRule="atLeast"/>
              <w:ind w:firstLine="426"/>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落实财库〔2021〕19号文有关要求。本项目对于支持乡村振兴的相关要求见第五章 招标内容及商务技术要求（如涉及）。</w:t>
            </w:r>
          </w:p>
        </w:tc>
      </w:tr>
      <w:tr w14:paraId="774D55E8">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461B9FFE">
            <w:pPr>
              <w:spacing w:line="440" w:lineRule="atLeast"/>
              <w:jc w:val="center"/>
              <w:rPr>
                <w:rFonts w:hint="default" w:ascii="宋体" w:hAnsi="宋体"/>
                <w:szCs w:val="21"/>
                <w:highlight w:val="none"/>
                <w:lang w:val="en-US" w:eastAsia="zh-CN"/>
              </w:rPr>
            </w:pPr>
            <w:r>
              <w:rPr>
                <w:rFonts w:hint="eastAsia" w:ascii="宋体" w:hAnsi="宋体"/>
                <w:szCs w:val="21"/>
                <w:highlight w:val="none"/>
                <w:lang w:val="en-US" w:eastAsia="zh-CN"/>
              </w:rPr>
              <w:t>9.4</w:t>
            </w:r>
          </w:p>
        </w:tc>
        <w:tc>
          <w:tcPr>
            <w:tcW w:w="1980" w:type="dxa"/>
            <w:tcBorders>
              <w:top w:val="single" w:color="auto" w:sz="4" w:space="0"/>
              <w:left w:val="single" w:color="auto" w:sz="4" w:space="0"/>
              <w:bottom w:val="single" w:color="auto" w:sz="4" w:space="0"/>
              <w:right w:val="single" w:color="auto" w:sz="4" w:space="0"/>
            </w:tcBorders>
            <w:vAlign w:val="center"/>
          </w:tcPr>
          <w:p w14:paraId="2E5824A8">
            <w:pPr>
              <w:spacing w:line="440" w:lineRule="atLeast"/>
              <w:jc w:val="center"/>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正版软件</w:t>
            </w:r>
          </w:p>
        </w:tc>
        <w:tc>
          <w:tcPr>
            <w:tcW w:w="5534" w:type="dxa"/>
            <w:tcBorders>
              <w:top w:val="single" w:color="auto" w:sz="4" w:space="0"/>
              <w:left w:val="single" w:color="auto" w:sz="4" w:space="0"/>
              <w:bottom w:val="single" w:color="auto" w:sz="4" w:space="0"/>
              <w:right w:val="single" w:color="auto" w:sz="4" w:space="0"/>
            </w:tcBorders>
            <w:vAlign w:val="center"/>
          </w:tcPr>
          <w:p w14:paraId="3D122CA9">
            <w:pPr>
              <w:spacing w:line="440" w:lineRule="atLeast"/>
              <w:ind w:firstLine="426"/>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各级政府部门在购置计算机办公设备时，必须采购预装正版操作系统软件的计算机产品。相关要求见第五章 招标内容及商务技术要求。（如涉及）</w:t>
            </w:r>
          </w:p>
        </w:tc>
      </w:tr>
      <w:tr w14:paraId="78C0FBA2">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3F15D3F6">
            <w:pPr>
              <w:spacing w:line="440" w:lineRule="atLeast"/>
              <w:jc w:val="center"/>
              <w:rPr>
                <w:rFonts w:hint="default" w:ascii="宋体" w:hAnsi="宋体"/>
                <w:szCs w:val="21"/>
                <w:highlight w:val="none"/>
                <w:lang w:val="en-US" w:eastAsia="zh-CN"/>
              </w:rPr>
            </w:pPr>
            <w:r>
              <w:rPr>
                <w:rFonts w:hint="eastAsia" w:ascii="宋体" w:hAnsi="宋体"/>
                <w:szCs w:val="21"/>
                <w:highlight w:val="none"/>
                <w:lang w:val="en-US" w:eastAsia="zh-CN"/>
              </w:rPr>
              <w:t>9.5</w:t>
            </w:r>
          </w:p>
        </w:tc>
        <w:tc>
          <w:tcPr>
            <w:tcW w:w="1980" w:type="dxa"/>
            <w:tcBorders>
              <w:top w:val="single" w:color="auto" w:sz="4" w:space="0"/>
              <w:left w:val="single" w:color="auto" w:sz="4" w:space="0"/>
              <w:bottom w:val="single" w:color="auto" w:sz="4" w:space="0"/>
              <w:right w:val="single" w:color="auto" w:sz="4" w:space="0"/>
            </w:tcBorders>
            <w:vAlign w:val="center"/>
          </w:tcPr>
          <w:p w14:paraId="54FF14E1">
            <w:pPr>
              <w:spacing w:line="440" w:lineRule="atLeast"/>
              <w:jc w:val="center"/>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政务信息系统</w:t>
            </w:r>
          </w:p>
        </w:tc>
        <w:tc>
          <w:tcPr>
            <w:tcW w:w="5534" w:type="dxa"/>
            <w:tcBorders>
              <w:top w:val="single" w:color="auto" w:sz="4" w:space="0"/>
              <w:left w:val="single" w:color="auto" w:sz="4" w:space="0"/>
              <w:bottom w:val="single" w:color="auto" w:sz="4" w:space="0"/>
              <w:right w:val="single" w:color="auto" w:sz="4" w:space="0"/>
            </w:tcBorders>
            <w:vAlign w:val="center"/>
          </w:tcPr>
          <w:p w14:paraId="27F9D15E">
            <w:pPr>
              <w:spacing w:line="440" w:lineRule="atLeast"/>
              <w:ind w:firstLine="426"/>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符合《政务信息系统政府采购管理暂行办法》（财库〔2017〕210号）相关要求。（如涉及）</w:t>
            </w:r>
          </w:p>
        </w:tc>
      </w:tr>
      <w:tr w14:paraId="24215FEE">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0A654401">
            <w:pPr>
              <w:spacing w:line="440" w:lineRule="atLeast"/>
              <w:jc w:val="center"/>
              <w:rPr>
                <w:rFonts w:hint="default" w:ascii="宋体" w:hAnsi="宋体"/>
                <w:szCs w:val="21"/>
                <w:highlight w:val="none"/>
                <w:lang w:val="en-US" w:eastAsia="zh-CN"/>
              </w:rPr>
            </w:pPr>
            <w:r>
              <w:rPr>
                <w:rFonts w:hint="eastAsia" w:ascii="宋体" w:hAnsi="宋体"/>
                <w:szCs w:val="21"/>
                <w:highlight w:val="none"/>
                <w:lang w:val="en-US" w:eastAsia="zh-CN"/>
              </w:rPr>
              <w:t>9.6</w:t>
            </w:r>
          </w:p>
        </w:tc>
        <w:tc>
          <w:tcPr>
            <w:tcW w:w="1980" w:type="dxa"/>
            <w:tcBorders>
              <w:top w:val="single" w:color="auto" w:sz="4" w:space="0"/>
              <w:left w:val="single" w:color="auto" w:sz="4" w:space="0"/>
              <w:bottom w:val="single" w:color="auto" w:sz="4" w:space="0"/>
              <w:right w:val="single" w:color="auto" w:sz="4" w:space="0"/>
            </w:tcBorders>
            <w:vAlign w:val="center"/>
          </w:tcPr>
          <w:p w14:paraId="195B55FE">
            <w:pPr>
              <w:spacing w:line="440" w:lineRule="atLeast"/>
              <w:jc w:val="center"/>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网络关键设备和网络安全专用产品</w:t>
            </w:r>
          </w:p>
        </w:tc>
        <w:tc>
          <w:tcPr>
            <w:tcW w:w="5534" w:type="dxa"/>
            <w:tcBorders>
              <w:top w:val="single" w:color="auto" w:sz="4" w:space="0"/>
              <w:left w:val="single" w:color="auto" w:sz="4" w:space="0"/>
              <w:bottom w:val="single" w:color="auto" w:sz="4" w:space="0"/>
              <w:right w:val="single" w:color="auto" w:sz="4" w:space="0"/>
            </w:tcBorders>
            <w:vAlign w:val="center"/>
          </w:tcPr>
          <w:p w14:paraId="0A5621FF">
            <w:pPr>
              <w:spacing w:line="440" w:lineRule="atLeast"/>
              <w:ind w:firstLine="426"/>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列入《网络关键设备和网络安全专用产品目录》的产品应当按照《信息安全技术网络安全专用产品安全技术要求》，由具备资格的机构安全认证合格或者通过安全检测。（如涉及）</w:t>
            </w:r>
          </w:p>
        </w:tc>
      </w:tr>
      <w:tr w14:paraId="5F20296D">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2952E246">
            <w:pPr>
              <w:spacing w:line="440" w:lineRule="atLeast"/>
              <w:jc w:val="center"/>
              <w:rPr>
                <w:rFonts w:hint="default" w:ascii="宋体" w:hAnsi="宋体"/>
                <w:szCs w:val="21"/>
                <w:highlight w:val="none"/>
                <w:lang w:val="en-US" w:eastAsia="zh-CN"/>
              </w:rPr>
            </w:pPr>
            <w:r>
              <w:rPr>
                <w:rFonts w:hint="eastAsia" w:ascii="宋体" w:hAnsi="宋体"/>
                <w:szCs w:val="21"/>
                <w:highlight w:val="none"/>
                <w:lang w:val="en-US" w:eastAsia="zh-CN"/>
              </w:rPr>
              <w:t>9.7</w:t>
            </w:r>
          </w:p>
        </w:tc>
        <w:tc>
          <w:tcPr>
            <w:tcW w:w="1980" w:type="dxa"/>
            <w:tcBorders>
              <w:top w:val="single" w:color="auto" w:sz="4" w:space="0"/>
              <w:left w:val="single" w:color="auto" w:sz="4" w:space="0"/>
              <w:bottom w:val="single" w:color="auto" w:sz="4" w:space="0"/>
              <w:right w:val="single" w:color="auto" w:sz="4" w:space="0"/>
            </w:tcBorders>
            <w:vAlign w:val="center"/>
          </w:tcPr>
          <w:p w14:paraId="78F99868">
            <w:pPr>
              <w:spacing w:line="440" w:lineRule="atLeast"/>
              <w:jc w:val="center"/>
              <w:rPr>
                <w:rFonts w:hint="default"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政府采购需求标准</w:t>
            </w:r>
          </w:p>
        </w:tc>
        <w:tc>
          <w:tcPr>
            <w:tcW w:w="5534" w:type="dxa"/>
            <w:tcBorders>
              <w:top w:val="single" w:color="auto" w:sz="4" w:space="0"/>
              <w:left w:val="single" w:color="auto" w:sz="4" w:space="0"/>
              <w:bottom w:val="single" w:color="auto" w:sz="4" w:space="0"/>
              <w:right w:val="single" w:color="auto" w:sz="4" w:space="0"/>
            </w:tcBorders>
            <w:vAlign w:val="center"/>
          </w:tcPr>
          <w:p w14:paraId="45ACFB37">
            <w:pPr>
              <w:spacing w:line="440" w:lineRule="atLeast"/>
              <w:ind w:firstLine="426"/>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财政部 工业和信息化部 关于印发《台式计算机政府采购需求标准（2023年版）》的通知 财库〔2023〕29号；</w:t>
            </w:r>
          </w:p>
          <w:p w14:paraId="30BE4241">
            <w:pPr>
              <w:spacing w:line="440" w:lineRule="atLeast"/>
              <w:ind w:firstLine="426"/>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财政部 工业和信息化部 关于印发《便携式计算机政府采购需求标准（2023年版）》的通知 财库〔2023〕30号；</w:t>
            </w:r>
          </w:p>
          <w:p w14:paraId="31CDB536">
            <w:pPr>
              <w:spacing w:line="440" w:lineRule="atLeast"/>
              <w:ind w:firstLine="426"/>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财政部 工业和信息化部 关于印发《一体式计算机政府采购需求标准（2023年版）》的通知 财库〔2023〕31号；</w:t>
            </w:r>
          </w:p>
          <w:p w14:paraId="32464D40">
            <w:pPr>
              <w:spacing w:line="440" w:lineRule="atLeast"/>
              <w:ind w:firstLine="426"/>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财政部 工业和信息化部 关于印发《工作站政府采购需求标准（2023年版）》的通知 财库〔2023〕32号；</w:t>
            </w:r>
          </w:p>
          <w:p w14:paraId="7DDB6BF4">
            <w:pPr>
              <w:spacing w:line="440" w:lineRule="atLeast"/>
              <w:ind w:firstLine="426"/>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财政部 工业和信息化部 关于印发《通用服务器政府采购需求标准（2023年版）》的通知 财库〔2023〕33号；</w:t>
            </w:r>
          </w:p>
          <w:p w14:paraId="475C00D9">
            <w:pPr>
              <w:spacing w:line="440" w:lineRule="atLeast"/>
              <w:ind w:firstLine="426"/>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财政部 工业和信息化部 关于印发《操作系统政府采购需求标准（2023年版）》的通知 财库〔2023〕34号；</w:t>
            </w:r>
          </w:p>
          <w:p w14:paraId="00FE94D2">
            <w:pPr>
              <w:spacing w:line="440" w:lineRule="atLeast"/>
              <w:ind w:firstLine="426"/>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财政部 工业和信息化部 关于印发《数据库政府采购需求标准（2023年版）》的通知 财库〔2023〕35号；</w:t>
            </w:r>
          </w:p>
          <w:p w14:paraId="12FB8D9B">
            <w:pPr>
              <w:spacing w:line="440" w:lineRule="atLeast"/>
              <w:ind w:firstLine="426"/>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财政部 生态环境部 工业和信息化部关于印发《绿色数据中心政府采购需求标准（试行）》的通知 财库〔2023</w:t>
            </w:r>
            <w:r>
              <w:rPr>
                <w:rFonts w:hint="default" w:ascii="宋体" w:hAnsi="宋体" w:eastAsia="宋体" w:cs="Times New Roman"/>
                <w:color w:val="auto"/>
                <w:szCs w:val="21"/>
                <w:highlight w:val="none"/>
                <w:lang w:val="en-US" w:eastAsia="zh-CN"/>
              </w:rPr>
              <w:t>〕</w:t>
            </w:r>
            <w:r>
              <w:rPr>
                <w:rFonts w:hint="eastAsia" w:ascii="宋体" w:hAnsi="宋体" w:eastAsia="宋体" w:cs="Times New Roman"/>
                <w:color w:val="auto"/>
                <w:szCs w:val="21"/>
                <w:highlight w:val="none"/>
                <w:lang w:val="en-US" w:eastAsia="zh-CN"/>
              </w:rPr>
              <w:t>7</w:t>
            </w:r>
            <w:r>
              <w:rPr>
                <w:rFonts w:hint="default" w:ascii="宋体" w:hAnsi="宋体" w:eastAsia="宋体" w:cs="Times New Roman"/>
                <w:color w:val="auto"/>
                <w:szCs w:val="21"/>
                <w:highlight w:val="none"/>
                <w:lang w:val="en-US" w:eastAsia="zh-CN"/>
              </w:rPr>
              <w:t>号</w:t>
            </w:r>
            <w:r>
              <w:rPr>
                <w:rFonts w:hint="eastAsia" w:ascii="宋体" w:hAnsi="宋体" w:eastAsia="宋体" w:cs="Times New Roman"/>
                <w:color w:val="auto"/>
                <w:szCs w:val="21"/>
                <w:highlight w:val="none"/>
                <w:lang w:val="en-US" w:eastAsia="zh-CN"/>
              </w:rPr>
              <w:t>；</w:t>
            </w:r>
          </w:p>
          <w:p w14:paraId="506826CC">
            <w:pPr>
              <w:spacing w:line="440" w:lineRule="atLeast"/>
              <w:ind w:firstLine="426"/>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财政部办公厅关于印发《物业管理服务政府采购需求标准（办公场所类）（试行）》的通知 财办库〔2024〕113号 （参考使用）。</w:t>
            </w:r>
          </w:p>
          <w:p w14:paraId="6419BCA1">
            <w:pPr>
              <w:spacing w:line="440" w:lineRule="atLeast"/>
              <w:ind w:firstLine="426"/>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财政部办公厅 生态环境部办公厅 国家邮政局办公室关于印发《商品包装政府采购需求标准（试行）》、《快递包装政府采购需求标准（试行）》的通知（财办库〔2020〕123号）。</w:t>
            </w:r>
          </w:p>
          <w:p w14:paraId="29072A23">
            <w:pPr>
              <w:spacing w:line="440" w:lineRule="atLeast"/>
              <w:ind w:firstLine="426"/>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财政部门会同有关部门制定发布的其他政府采购需求标准。有更新和调整时按最新要求执行。</w:t>
            </w:r>
          </w:p>
          <w:p w14:paraId="3A962C0D">
            <w:pPr>
              <w:spacing w:line="440" w:lineRule="atLeast"/>
              <w:ind w:firstLine="426"/>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（如涉及）</w:t>
            </w:r>
          </w:p>
        </w:tc>
      </w:tr>
      <w:tr w14:paraId="21B74DEA">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shd w:val="clear" w:color="auto" w:fill="auto"/>
            <w:vAlign w:val="center"/>
          </w:tcPr>
          <w:p w14:paraId="237B9056">
            <w:pPr>
              <w:spacing w:line="440" w:lineRule="atLeast"/>
              <w:jc w:val="center"/>
              <w:rPr>
                <w:rFonts w:hint="default"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9.8.4</w:t>
            </w:r>
          </w:p>
        </w:tc>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2C6CADBB">
            <w:pPr>
              <w:spacing w:line="440" w:lineRule="atLeast"/>
              <w:jc w:val="center"/>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本国产品支持政策</w:t>
            </w:r>
          </w:p>
        </w:tc>
        <w:tc>
          <w:tcPr>
            <w:tcW w:w="5534" w:type="dxa"/>
            <w:tcBorders>
              <w:top w:val="single" w:color="auto" w:sz="4" w:space="0"/>
              <w:left w:val="single" w:color="auto" w:sz="4" w:space="0"/>
              <w:bottom w:val="single" w:color="auto" w:sz="4" w:space="0"/>
              <w:right w:val="single" w:color="auto" w:sz="4" w:space="0"/>
            </w:tcBorders>
            <w:shd w:val="clear" w:color="auto" w:fill="auto"/>
            <w:vAlign w:val="center"/>
          </w:tcPr>
          <w:p w14:paraId="6229BFF5">
            <w:pPr>
              <w:spacing w:line="440" w:lineRule="atLeast"/>
              <w:ind w:firstLine="426"/>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供应商根据《国务院办公厅关于在政府采购中实施本国产品标准及相关政策的通知》（国办发〔2025〕34号），按要求提供相关资料。详见供应商须知正文和第三章评标办法前附表有关内容。</w:t>
            </w:r>
          </w:p>
        </w:tc>
      </w:tr>
      <w:tr w14:paraId="47A07702">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shd w:val="clear" w:color="auto" w:fill="auto"/>
            <w:vAlign w:val="center"/>
          </w:tcPr>
          <w:p w14:paraId="0CDC94C9">
            <w:pPr>
              <w:spacing w:line="440" w:lineRule="atLeast"/>
              <w:jc w:val="center"/>
              <w:rPr>
                <w:rFonts w:hint="default" w:ascii="宋体" w:hAnsi="宋体"/>
                <w:szCs w:val="21"/>
                <w:highlight w:val="none"/>
                <w:lang w:val="en-US" w:eastAsia="zh-CN"/>
              </w:rPr>
            </w:pPr>
            <w:r>
              <w:rPr>
                <w:rFonts w:hint="eastAsia" w:ascii="宋体" w:hAnsi="宋体"/>
                <w:b w:val="0"/>
                <w:bCs w:val="0"/>
                <w:color w:val="auto"/>
                <w:szCs w:val="21"/>
                <w:highlight w:val="none"/>
                <w:lang w:val="en-US" w:eastAsia="zh-CN"/>
              </w:rPr>
              <w:t>9.9</w:t>
            </w:r>
          </w:p>
        </w:tc>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395FF2FE">
            <w:pPr>
              <w:spacing w:line="440" w:lineRule="atLeast"/>
              <w:jc w:val="center"/>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政府采购合同融资政策</w:t>
            </w:r>
          </w:p>
        </w:tc>
        <w:tc>
          <w:tcPr>
            <w:tcW w:w="5534" w:type="dxa"/>
            <w:tcBorders>
              <w:top w:val="single" w:color="auto" w:sz="4" w:space="0"/>
              <w:left w:val="single" w:color="auto" w:sz="4" w:space="0"/>
              <w:bottom w:val="single" w:color="auto" w:sz="4" w:space="0"/>
              <w:right w:val="single" w:color="auto" w:sz="4" w:space="0"/>
            </w:tcBorders>
            <w:shd w:val="clear" w:color="auto" w:fill="auto"/>
            <w:vAlign w:val="center"/>
          </w:tcPr>
          <w:p w14:paraId="599320EB">
            <w:pPr>
              <w:spacing w:line="440" w:lineRule="atLeast"/>
              <w:ind w:firstLine="426"/>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融资渠道及要求按照第四章中的 《开封市政府采购合同履约保函政策告知函》有关内容。</w:t>
            </w:r>
          </w:p>
        </w:tc>
      </w:tr>
      <w:tr w14:paraId="4BB4E664">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3F1618F7">
            <w:pPr>
              <w:spacing w:line="440" w:lineRule="atLeast"/>
              <w:jc w:val="center"/>
              <w:rPr>
                <w:rFonts w:ascii="宋体" w:hAnsi="宋体"/>
                <w:b/>
                <w:szCs w:val="21"/>
                <w:highlight w:val="none"/>
              </w:rPr>
            </w:pPr>
            <w:r>
              <w:rPr>
                <w:rFonts w:hint="eastAsia" w:ascii="宋体" w:hAnsi="宋体"/>
                <w:b/>
                <w:szCs w:val="21"/>
                <w:highlight w:val="none"/>
              </w:rPr>
              <w:t>10</w:t>
            </w:r>
          </w:p>
        </w:tc>
        <w:tc>
          <w:tcPr>
            <w:tcW w:w="7514" w:type="dxa"/>
            <w:gridSpan w:val="2"/>
            <w:tcBorders>
              <w:top w:val="single" w:color="auto" w:sz="4" w:space="0"/>
              <w:left w:val="single" w:color="auto" w:sz="4" w:space="0"/>
              <w:bottom w:val="single" w:color="auto" w:sz="4" w:space="0"/>
              <w:right w:val="single" w:color="auto" w:sz="4" w:space="0"/>
            </w:tcBorders>
            <w:vAlign w:val="center"/>
          </w:tcPr>
          <w:p w14:paraId="5C860A7A">
            <w:pPr>
              <w:spacing w:line="440" w:lineRule="atLeast"/>
              <w:jc w:val="center"/>
              <w:rPr>
                <w:rFonts w:ascii="宋体" w:hAnsi="宋体"/>
                <w:b/>
                <w:color w:val="auto"/>
                <w:szCs w:val="21"/>
                <w:highlight w:val="none"/>
              </w:rPr>
            </w:pPr>
            <w:r>
              <w:rPr>
                <w:rFonts w:hint="eastAsia" w:ascii="宋体" w:hAnsi="宋体"/>
                <w:b/>
                <w:color w:val="auto"/>
                <w:szCs w:val="21"/>
                <w:highlight w:val="none"/>
              </w:rPr>
              <w:t>需要</w:t>
            </w:r>
            <w:r>
              <w:rPr>
                <w:rFonts w:ascii="宋体" w:hAnsi="宋体"/>
                <w:b/>
                <w:color w:val="auto"/>
                <w:szCs w:val="21"/>
                <w:highlight w:val="none"/>
              </w:rPr>
              <w:t>补充</w:t>
            </w:r>
            <w:r>
              <w:rPr>
                <w:rFonts w:hint="eastAsia" w:ascii="宋体" w:hAnsi="宋体"/>
                <w:b/>
                <w:color w:val="auto"/>
                <w:szCs w:val="21"/>
                <w:highlight w:val="none"/>
              </w:rPr>
              <w:t>的其他</w:t>
            </w:r>
            <w:r>
              <w:rPr>
                <w:rFonts w:ascii="宋体" w:hAnsi="宋体"/>
                <w:b/>
                <w:color w:val="auto"/>
                <w:szCs w:val="21"/>
                <w:highlight w:val="none"/>
              </w:rPr>
              <w:t>内容</w:t>
            </w:r>
          </w:p>
        </w:tc>
      </w:tr>
      <w:tr w14:paraId="638894CA">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05DB1CB3">
            <w:pPr>
              <w:spacing w:line="440" w:lineRule="atLeast"/>
              <w:jc w:val="center"/>
              <w:rPr>
                <w:rFonts w:ascii="宋体" w:hAnsi="宋体"/>
                <w:szCs w:val="21"/>
                <w:highlight w:val="none"/>
              </w:rPr>
            </w:pPr>
            <w:r>
              <w:rPr>
                <w:rFonts w:hint="eastAsia" w:ascii="宋体" w:hAnsi="宋体"/>
                <w:szCs w:val="21"/>
                <w:highlight w:val="none"/>
              </w:rPr>
              <w:t>10.1</w:t>
            </w:r>
          </w:p>
        </w:tc>
        <w:tc>
          <w:tcPr>
            <w:tcW w:w="1980" w:type="dxa"/>
            <w:tcBorders>
              <w:top w:val="single" w:color="auto" w:sz="4" w:space="0"/>
              <w:left w:val="single" w:color="auto" w:sz="4" w:space="0"/>
              <w:bottom w:val="single" w:color="auto" w:sz="4" w:space="0"/>
              <w:right w:val="single" w:color="auto" w:sz="4" w:space="0"/>
            </w:tcBorders>
            <w:vAlign w:val="center"/>
          </w:tcPr>
          <w:p w14:paraId="7C593D3B">
            <w:pPr>
              <w:spacing w:line="440" w:lineRule="atLeast"/>
              <w:ind w:firstLine="0" w:firstLineChars="0"/>
              <w:jc w:val="center"/>
              <w:rPr>
                <w:rFonts w:ascii="宋体" w:hAnsi="宋体"/>
                <w:szCs w:val="21"/>
                <w:highlight w:val="none"/>
              </w:rPr>
            </w:pPr>
            <w:r>
              <w:rPr>
                <w:rFonts w:hint="eastAsia" w:ascii="宋体" w:hAnsi="宋体" w:eastAsia="宋体" w:cs="Times New Roman"/>
                <w:color w:val="auto"/>
                <w:sz w:val="21"/>
                <w:szCs w:val="21"/>
                <w:highlight w:val="none"/>
                <w:lang w:val="en-US"/>
              </w:rPr>
              <w:t>付款方式</w:t>
            </w:r>
          </w:p>
        </w:tc>
        <w:tc>
          <w:tcPr>
            <w:tcW w:w="5534" w:type="dxa"/>
            <w:tcBorders>
              <w:top w:val="single" w:color="auto" w:sz="4" w:space="0"/>
              <w:left w:val="single" w:color="auto" w:sz="4" w:space="0"/>
              <w:bottom w:val="single" w:color="auto" w:sz="4" w:space="0"/>
              <w:right w:val="single" w:color="auto" w:sz="4" w:space="0"/>
            </w:tcBorders>
            <w:vAlign w:val="center"/>
          </w:tcPr>
          <w:p w14:paraId="7ED07F6D">
            <w:pPr>
              <w:spacing w:line="440" w:lineRule="atLeast"/>
              <w:ind w:firstLine="0" w:firstLineChars="0"/>
              <w:rPr>
                <w:rFonts w:ascii="宋体" w:hAnsi="宋体"/>
                <w:color w:val="auto"/>
                <w:szCs w:val="21"/>
                <w:highlight w:val="none"/>
              </w:rPr>
            </w:pPr>
            <w:r>
              <w:rPr>
                <w:rFonts w:hint="default" w:ascii="宋体" w:hAnsi="宋体" w:eastAsia="宋体" w:cs="Times New Roman"/>
                <w:color w:val="auto"/>
                <w:sz w:val="21"/>
                <w:szCs w:val="21"/>
                <w:highlight w:val="none"/>
                <w:lang w:val="en-US" w:eastAsia="zh-CN"/>
              </w:rPr>
              <w:t>合同签订后，甲方根据项目建设进度及交付成果支付相应款项。项目完成全部建设内容并通过竣工验收后，甲方向乙方支付合同总金额的 40%；运维期满 1 年，甲方向乙方支付合同总金额的 30%；剩余合同总金额的 30% 待运维期满 2 年，由甲方一次性付清。</w:t>
            </w:r>
          </w:p>
        </w:tc>
      </w:tr>
      <w:tr w14:paraId="3A21AD6A">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7DB32DEB">
            <w:pPr>
              <w:spacing w:line="440" w:lineRule="atLeast"/>
              <w:jc w:val="center"/>
              <w:rPr>
                <w:rFonts w:ascii="宋体" w:hAnsi="宋体"/>
                <w:szCs w:val="21"/>
                <w:highlight w:val="none"/>
              </w:rPr>
            </w:pPr>
            <w:r>
              <w:rPr>
                <w:rFonts w:hint="eastAsia" w:ascii="宋体" w:hAnsi="宋体"/>
                <w:szCs w:val="21"/>
                <w:highlight w:val="none"/>
              </w:rPr>
              <w:t>10.2</w:t>
            </w:r>
          </w:p>
        </w:tc>
        <w:tc>
          <w:tcPr>
            <w:tcW w:w="1980" w:type="dxa"/>
            <w:tcBorders>
              <w:top w:val="single" w:color="auto" w:sz="4" w:space="0"/>
              <w:left w:val="single" w:color="auto" w:sz="4" w:space="0"/>
              <w:bottom w:val="single" w:color="auto" w:sz="4" w:space="0"/>
              <w:right w:val="single" w:color="auto" w:sz="4" w:space="0"/>
            </w:tcBorders>
            <w:vAlign w:val="center"/>
          </w:tcPr>
          <w:p w14:paraId="76B7ADBA">
            <w:pPr>
              <w:spacing w:line="440" w:lineRule="atLeast"/>
              <w:jc w:val="center"/>
              <w:rPr>
                <w:rFonts w:ascii="宋体" w:hAnsi="宋体"/>
                <w:szCs w:val="21"/>
                <w:highlight w:val="none"/>
              </w:rPr>
            </w:pPr>
            <w:r>
              <w:rPr>
                <w:rFonts w:hint="eastAsia" w:ascii="宋体" w:hAnsi="宋体"/>
                <w:szCs w:val="21"/>
                <w:highlight w:val="none"/>
              </w:rPr>
              <w:t>交易服务费</w:t>
            </w:r>
          </w:p>
        </w:tc>
        <w:tc>
          <w:tcPr>
            <w:tcW w:w="5534" w:type="dxa"/>
            <w:tcBorders>
              <w:top w:val="single" w:color="auto" w:sz="4" w:space="0"/>
              <w:left w:val="single" w:color="auto" w:sz="4" w:space="0"/>
              <w:bottom w:val="single" w:color="auto" w:sz="4" w:space="0"/>
              <w:right w:val="single" w:color="auto" w:sz="4" w:space="0"/>
            </w:tcBorders>
            <w:vAlign w:val="center"/>
          </w:tcPr>
          <w:p w14:paraId="2E9AF21B">
            <w:pPr>
              <w:spacing w:line="440" w:lineRule="atLeast"/>
              <w:rPr>
                <w:rFonts w:ascii="宋体" w:hAnsi="宋体"/>
                <w:color w:val="auto"/>
                <w:szCs w:val="21"/>
                <w:highlight w:val="none"/>
              </w:rPr>
            </w:pPr>
            <w:r>
              <w:rPr>
                <w:rFonts w:hint="eastAsia" w:ascii="宋体" w:hAnsi="宋体"/>
                <w:color w:val="auto"/>
                <w:szCs w:val="21"/>
                <w:highlight w:val="none"/>
              </w:rPr>
              <w:t>免收。</w:t>
            </w:r>
          </w:p>
        </w:tc>
      </w:tr>
      <w:tr w14:paraId="372A6492">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258FDC78">
            <w:pPr>
              <w:spacing w:line="440" w:lineRule="atLeast"/>
              <w:jc w:val="center"/>
              <w:rPr>
                <w:rFonts w:ascii="宋体" w:hAnsi="宋体"/>
                <w:szCs w:val="21"/>
                <w:highlight w:val="none"/>
              </w:rPr>
            </w:pPr>
            <w:r>
              <w:rPr>
                <w:rFonts w:hint="eastAsia" w:ascii="宋体" w:hAnsi="宋体"/>
                <w:szCs w:val="21"/>
                <w:highlight w:val="none"/>
              </w:rPr>
              <w:t>10.3</w:t>
            </w:r>
          </w:p>
        </w:tc>
        <w:tc>
          <w:tcPr>
            <w:tcW w:w="1980" w:type="dxa"/>
            <w:tcBorders>
              <w:top w:val="single" w:color="auto" w:sz="4" w:space="0"/>
              <w:left w:val="single" w:color="auto" w:sz="4" w:space="0"/>
              <w:bottom w:val="single" w:color="auto" w:sz="4" w:space="0"/>
              <w:right w:val="single" w:color="auto" w:sz="4" w:space="0"/>
            </w:tcBorders>
            <w:vAlign w:val="center"/>
          </w:tcPr>
          <w:p w14:paraId="77D12747">
            <w:pPr>
              <w:spacing w:line="440" w:lineRule="atLeast"/>
              <w:jc w:val="center"/>
              <w:rPr>
                <w:rFonts w:ascii="宋体" w:hAnsi="宋体"/>
                <w:szCs w:val="21"/>
                <w:highlight w:val="none"/>
              </w:rPr>
            </w:pPr>
            <w:r>
              <w:rPr>
                <w:rFonts w:hint="eastAsia" w:ascii="宋体" w:hAnsi="宋体"/>
                <w:szCs w:val="21"/>
                <w:highlight w:val="none"/>
              </w:rPr>
              <w:t>中标服务费</w:t>
            </w:r>
          </w:p>
        </w:tc>
        <w:tc>
          <w:tcPr>
            <w:tcW w:w="5534" w:type="dxa"/>
            <w:tcBorders>
              <w:top w:val="single" w:color="auto" w:sz="4" w:space="0"/>
              <w:left w:val="single" w:color="auto" w:sz="4" w:space="0"/>
              <w:bottom w:val="single" w:color="auto" w:sz="4" w:space="0"/>
              <w:right w:val="single" w:color="auto" w:sz="4" w:space="0"/>
            </w:tcBorders>
            <w:vAlign w:val="center"/>
          </w:tcPr>
          <w:p w14:paraId="6A5B9505">
            <w:pPr>
              <w:spacing w:line="440" w:lineRule="atLeast"/>
              <w:jc w:val="left"/>
              <w:rPr>
                <w:rFonts w:ascii="宋体" w:hAnsi="宋体"/>
                <w:color w:val="auto"/>
                <w:szCs w:val="21"/>
                <w:highlight w:val="none"/>
              </w:rPr>
            </w:pPr>
            <w:r>
              <w:rPr>
                <w:rFonts w:hint="eastAsia" w:ascii="宋体" w:hAnsi="宋体"/>
                <w:color w:val="auto"/>
                <w:szCs w:val="21"/>
                <w:highlight w:val="none"/>
              </w:rPr>
              <w:t>免收。</w:t>
            </w:r>
          </w:p>
        </w:tc>
      </w:tr>
      <w:tr w14:paraId="56D89677">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474AF06F">
            <w:pPr>
              <w:spacing w:line="440" w:lineRule="atLeast"/>
              <w:jc w:val="center"/>
              <w:rPr>
                <w:rFonts w:ascii="宋体" w:hAnsi="宋体"/>
                <w:szCs w:val="21"/>
                <w:highlight w:val="none"/>
              </w:rPr>
            </w:pPr>
            <w:r>
              <w:rPr>
                <w:rFonts w:hint="eastAsia" w:ascii="宋体" w:hAnsi="宋体"/>
                <w:szCs w:val="21"/>
                <w:highlight w:val="none"/>
              </w:rPr>
              <w:t>10.4</w:t>
            </w:r>
          </w:p>
        </w:tc>
        <w:tc>
          <w:tcPr>
            <w:tcW w:w="1980" w:type="dxa"/>
            <w:tcBorders>
              <w:top w:val="single" w:color="auto" w:sz="4" w:space="0"/>
              <w:left w:val="single" w:color="auto" w:sz="4" w:space="0"/>
              <w:bottom w:val="single" w:color="auto" w:sz="4" w:space="0"/>
              <w:right w:val="single" w:color="auto" w:sz="4" w:space="0"/>
            </w:tcBorders>
            <w:vAlign w:val="center"/>
          </w:tcPr>
          <w:p w14:paraId="799E26D5">
            <w:pPr>
              <w:spacing w:line="440" w:lineRule="atLeast"/>
              <w:jc w:val="center"/>
              <w:rPr>
                <w:rFonts w:ascii="宋体" w:hAnsi="宋体"/>
                <w:color w:val="000000"/>
                <w:szCs w:val="21"/>
                <w:highlight w:val="none"/>
              </w:rPr>
            </w:pPr>
            <w:r>
              <w:rPr>
                <w:rFonts w:hint="eastAsia" w:ascii="宋体" w:hAnsi="宋体"/>
                <w:color w:val="000000"/>
                <w:szCs w:val="21"/>
                <w:highlight w:val="none"/>
              </w:rPr>
              <w:t>解释权</w:t>
            </w:r>
          </w:p>
        </w:tc>
        <w:tc>
          <w:tcPr>
            <w:tcW w:w="5534" w:type="dxa"/>
            <w:tcBorders>
              <w:top w:val="single" w:color="auto" w:sz="4" w:space="0"/>
              <w:left w:val="single" w:color="auto" w:sz="4" w:space="0"/>
              <w:bottom w:val="single" w:color="auto" w:sz="4" w:space="0"/>
              <w:right w:val="single" w:color="auto" w:sz="4" w:space="0"/>
            </w:tcBorders>
            <w:vAlign w:val="center"/>
          </w:tcPr>
          <w:p w14:paraId="12B449C9">
            <w:pPr>
              <w:spacing w:line="440" w:lineRule="atLeast"/>
              <w:rPr>
                <w:rFonts w:ascii="宋体" w:hAnsi="宋体"/>
                <w:color w:val="auto"/>
                <w:szCs w:val="21"/>
                <w:highlight w:val="none"/>
              </w:rPr>
            </w:pPr>
            <w:r>
              <w:rPr>
                <w:rFonts w:hint="eastAsia" w:ascii="宋体" w:hAnsi="宋体"/>
                <w:color w:val="auto"/>
                <w:szCs w:val="21"/>
                <w:highlight w:val="none"/>
              </w:rPr>
              <w:t>构成本招标文件的各个组成部分应互为解释、互为说明，如有不明确或不一致，除招标文件中有特别规定外，在招标投标和评标阶段的优先解释顺序如下：按招标公告（投标邀请书）、供应商须知、评标办法、招标内容及商务技术要求、投标文件格式的先后顺序解释；同一组成部分中就同一事项的规定或约定不一致的，以编排顺序在后者为准；同一组成部分不同版本之间有不一致的，以形成时间在后者为准。按本款前述规定仍不能形成结论的，由采购人或采购代理机构负责解释。</w:t>
            </w:r>
          </w:p>
        </w:tc>
      </w:tr>
      <w:tr w14:paraId="18264618">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381AF2F5">
            <w:pPr>
              <w:spacing w:line="440" w:lineRule="atLeast"/>
              <w:jc w:val="center"/>
              <w:rPr>
                <w:rFonts w:ascii="宋体" w:hAnsi="宋体"/>
                <w:szCs w:val="21"/>
                <w:highlight w:val="none"/>
              </w:rPr>
            </w:pPr>
            <w:r>
              <w:rPr>
                <w:rFonts w:hint="eastAsia" w:ascii="宋体" w:hAnsi="宋体"/>
                <w:szCs w:val="21"/>
                <w:highlight w:val="none"/>
              </w:rPr>
              <w:t>10.5</w:t>
            </w:r>
          </w:p>
        </w:tc>
        <w:tc>
          <w:tcPr>
            <w:tcW w:w="1980" w:type="dxa"/>
            <w:tcBorders>
              <w:top w:val="single" w:color="auto" w:sz="4" w:space="0"/>
              <w:left w:val="single" w:color="auto" w:sz="4" w:space="0"/>
              <w:bottom w:val="single" w:color="auto" w:sz="4" w:space="0"/>
              <w:right w:val="single" w:color="auto" w:sz="4" w:space="0"/>
            </w:tcBorders>
            <w:vAlign w:val="center"/>
          </w:tcPr>
          <w:p w14:paraId="734DCA7F">
            <w:pPr>
              <w:spacing w:line="440" w:lineRule="atLeast"/>
              <w:jc w:val="center"/>
              <w:rPr>
                <w:rFonts w:ascii="宋体" w:hAnsi="宋体"/>
                <w:color w:val="000000"/>
                <w:szCs w:val="21"/>
                <w:highlight w:val="none"/>
              </w:rPr>
            </w:pPr>
            <w:r>
              <w:rPr>
                <w:rFonts w:hint="eastAsia" w:ascii="宋体" w:hAnsi="宋体"/>
                <w:color w:val="000000"/>
                <w:szCs w:val="21"/>
                <w:highlight w:val="none"/>
              </w:rPr>
              <w:t>业务咨询</w:t>
            </w:r>
          </w:p>
        </w:tc>
        <w:tc>
          <w:tcPr>
            <w:tcW w:w="5534" w:type="dxa"/>
            <w:tcBorders>
              <w:top w:val="single" w:color="auto" w:sz="4" w:space="0"/>
              <w:left w:val="single" w:color="auto" w:sz="4" w:space="0"/>
              <w:bottom w:val="single" w:color="auto" w:sz="4" w:space="0"/>
              <w:right w:val="single" w:color="auto" w:sz="4" w:space="0"/>
            </w:tcBorders>
            <w:vAlign w:val="center"/>
          </w:tcPr>
          <w:p w14:paraId="323EEDE7">
            <w:pPr>
              <w:spacing w:line="440" w:lineRule="atLeast"/>
              <w:rPr>
                <w:rFonts w:ascii="宋体" w:hAnsi="宋体"/>
                <w:color w:val="auto"/>
                <w:szCs w:val="21"/>
                <w:highlight w:val="none"/>
              </w:rPr>
            </w:pPr>
            <w:r>
              <w:rPr>
                <w:rFonts w:hint="eastAsia" w:ascii="宋体" w:hAnsi="宋体"/>
                <w:color w:val="auto"/>
                <w:szCs w:val="21"/>
                <w:highlight w:val="none"/>
              </w:rPr>
              <w:t>开封市政府采购中心免费提供政府采购相关业务咨询。</w:t>
            </w:r>
          </w:p>
          <w:p w14:paraId="5D490EBB">
            <w:pPr>
              <w:spacing w:line="440" w:lineRule="atLeast"/>
              <w:rPr>
                <w:rFonts w:ascii="宋体" w:hAnsi="宋体"/>
                <w:color w:val="auto"/>
                <w:szCs w:val="21"/>
                <w:highlight w:val="none"/>
              </w:rPr>
            </w:pPr>
            <w:r>
              <w:rPr>
                <w:rFonts w:hint="eastAsia" w:ascii="宋体" w:hAnsi="宋体"/>
                <w:color w:val="auto"/>
                <w:szCs w:val="21"/>
                <w:highlight w:val="none"/>
              </w:rPr>
              <w:t>电话：0371—23856102   23856103</w:t>
            </w:r>
          </w:p>
          <w:p w14:paraId="17E99A85">
            <w:pPr>
              <w:spacing w:line="440" w:lineRule="atLeast"/>
              <w:rPr>
                <w:rFonts w:ascii="宋体" w:hAnsi="宋体"/>
                <w:color w:val="auto"/>
                <w:szCs w:val="21"/>
                <w:highlight w:val="none"/>
              </w:rPr>
            </w:pPr>
            <w:r>
              <w:rPr>
                <w:rFonts w:hint="eastAsia" w:ascii="宋体" w:hAnsi="宋体"/>
                <w:color w:val="auto"/>
                <w:szCs w:val="21"/>
                <w:highlight w:val="none"/>
              </w:rPr>
              <w:t>地址：开封市郑开大道与三大街交汇处路北，开封市民之家6楼西头向北6067房间（政府采购）</w:t>
            </w:r>
          </w:p>
        </w:tc>
      </w:tr>
      <w:tr w14:paraId="25D4A421">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74484106">
            <w:pPr>
              <w:spacing w:line="440" w:lineRule="atLeast"/>
              <w:jc w:val="center"/>
              <w:rPr>
                <w:rFonts w:hint="eastAsia" w:ascii="宋体" w:hAnsi="宋体"/>
                <w:szCs w:val="21"/>
                <w:highlight w:val="none"/>
              </w:rPr>
            </w:pPr>
            <w:r>
              <w:rPr>
                <w:rFonts w:hint="eastAsia" w:ascii="宋体" w:hAnsi="宋体"/>
                <w:szCs w:val="21"/>
                <w:highlight w:val="none"/>
                <w:lang w:val="en-US" w:eastAsia="zh-CN"/>
              </w:rPr>
              <w:t>10.6</w:t>
            </w:r>
          </w:p>
        </w:tc>
        <w:tc>
          <w:tcPr>
            <w:tcW w:w="1980" w:type="dxa"/>
            <w:tcBorders>
              <w:top w:val="single" w:color="auto" w:sz="4" w:space="0"/>
              <w:left w:val="single" w:color="auto" w:sz="4" w:space="0"/>
              <w:bottom w:val="single" w:color="auto" w:sz="4" w:space="0"/>
              <w:right w:val="single" w:color="auto" w:sz="4" w:space="0"/>
            </w:tcBorders>
            <w:vAlign w:val="center"/>
          </w:tcPr>
          <w:p w14:paraId="2E97565A">
            <w:pPr>
              <w:keepNext w:val="0"/>
              <w:keepLines w:val="0"/>
              <w:pageBreakBefore w:val="0"/>
              <w:widowControl w:val="0"/>
              <w:kinsoku/>
              <w:wordWrap/>
              <w:overflowPunct/>
              <w:topLinePunct w:val="0"/>
              <w:autoSpaceDE/>
              <w:autoSpaceDN/>
              <w:bidi w:val="0"/>
              <w:spacing w:line="240" w:lineRule="auto"/>
              <w:jc w:val="center"/>
              <w:textAlignment w:val="auto"/>
              <w:rPr>
                <w:rFonts w:hint="eastAsia" w:ascii="宋体" w:hAnsi="宋体"/>
                <w:color w:val="000000"/>
                <w:szCs w:val="21"/>
                <w:highlight w:val="none"/>
              </w:rPr>
            </w:pPr>
            <w:r>
              <w:rPr>
                <w:rFonts w:hint="eastAsia" w:ascii="宋体" w:hAnsi="宋体" w:eastAsia="宋体" w:cs="宋体"/>
                <w:color w:val="auto"/>
                <w:kern w:val="2"/>
                <w:sz w:val="21"/>
                <w:szCs w:val="21"/>
                <w:highlight w:val="none"/>
                <w:lang w:val="en-US" w:eastAsia="zh-CN" w:bidi="ar-SA"/>
              </w:rPr>
              <w:t>分支机构</w:t>
            </w:r>
          </w:p>
        </w:tc>
        <w:tc>
          <w:tcPr>
            <w:tcW w:w="5534" w:type="dxa"/>
            <w:tcBorders>
              <w:top w:val="single" w:color="auto" w:sz="4" w:space="0"/>
              <w:left w:val="single" w:color="auto" w:sz="4" w:space="0"/>
              <w:bottom w:val="single" w:color="auto" w:sz="4" w:space="0"/>
              <w:right w:val="single" w:color="auto" w:sz="4" w:space="0"/>
            </w:tcBorders>
            <w:vAlign w:val="top"/>
          </w:tcPr>
          <w:p w14:paraId="156BEC63">
            <w:pPr>
              <w:spacing w:line="440" w:lineRule="atLeast"/>
              <w:ind w:firstLine="426"/>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根据《中华人民共和国政府采购法实施条例》释义，银行、保险、石油石化、电力、电信等有行业特殊情况的，可以允许法人的分支机构参加投标和政府采购活动。分支机构参加投标或政府采购活动须具有其总公司（行）授权，分支机构资质按其总公司（行）授权范围认定或出具总公司的有关文件或制度等能够证明总公司授权其独立开展业务的证明。具体情况按照采购文件有关要求确定。</w:t>
            </w:r>
          </w:p>
        </w:tc>
      </w:tr>
      <w:tr w14:paraId="43832D00">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07DBA42F">
            <w:pPr>
              <w:spacing w:line="440" w:lineRule="atLeast"/>
              <w:jc w:val="center"/>
              <w:rPr>
                <w:rFonts w:hint="eastAsia" w:ascii="宋体" w:hAnsi="宋体"/>
                <w:szCs w:val="21"/>
                <w:highlight w:val="none"/>
              </w:rPr>
            </w:pPr>
            <w:r>
              <w:rPr>
                <w:rFonts w:hint="eastAsia" w:ascii="宋体" w:hAnsi="宋体"/>
                <w:szCs w:val="21"/>
                <w:highlight w:val="none"/>
                <w:lang w:val="en-US" w:eastAsia="zh-CN"/>
              </w:rPr>
              <w:t>10.7</w:t>
            </w:r>
          </w:p>
        </w:tc>
        <w:tc>
          <w:tcPr>
            <w:tcW w:w="1980" w:type="dxa"/>
            <w:tcBorders>
              <w:top w:val="single" w:color="auto" w:sz="4" w:space="0"/>
              <w:left w:val="single" w:color="auto" w:sz="4" w:space="0"/>
              <w:bottom w:val="single" w:color="auto" w:sz="4" w:space="0"/>
              <w:right w:val="single" w:color="auto" w:sz="4" w:space="0"/>
            </w:tcBorders>
            <w:vAlign w:val="center"/>
          </w:tcPr>
          <w:p w14:paraId="1C682B40">
            <w:pPr>
              <w:keepNext w:val="0"/>
              <w:keepLines w:val="0"/>
              <w:pageBreakBefore w:val="0"/>
              <w:widowControl w:val="0"/>
              <w:kinsoku/>
              <w:wordWrap/>
              <w:overflowPunct/>
              <w:topLinePunct w:val="0"/>
              <w:autoSpaceDE/>
              <w:autoSpaceDN/>
              <w:bidi w:val="0"/>
              <w:spacing w:line="240" w:lineRule="auto"/>
              <w:jc w:val="center"/>
              <w:textAlignment w:val="auto"/>
              <w:rPr>
                <w:rFonts w:hint="eastAsia" w:ascii="宋体" w:hAnsi="宋体"/>
                <w:color w:val="000000"/>
                <w:szCs w:val="21"/>
                <w:highlight w:val="none"/>
              </w:rPr>
            </w:pPr>
            <w:r>
              <w:rPr>
                <w:rFonts w:hint="eastAsia" w:ascii="宋体" w:hAnsi="宋体" w:cs="宋体"/>
                <w:color w:val="auto"/>
                <w:kern w:val="2"/>
                <w:sz w:val="21"/>
                <w:szCs w:val="21"/>
                <w:highlight w:val="none"/>
                <w:lang w:val="en-US" w:eastAsia="zh-CN" w:bidi="ar-SA"/>
              </w:rPr>
              <w:t>有关说明</w:t>
            </w:r>
          </w:p>
        </w:tc>
        <w:tc>
          <w:tcPr>
            <w:tcW w:w="5534" w:type="dxa"/>
            <w:tcBorders>
              <w:top w:val="single" w:color="auto" w:sz="4" w:space="0"/>
              <w:left w:val="single" w:color="auto" w:sz="4" w:space="0"/>
              <w:bottom w:val="single" w:color="auto" w:sz="4" w:space="0"/>
              <w:right w:val="single" w:color="auto" w:sz="4" w:space="0"/>
            </w:tcBorders>
            <w:vAlign w:val="top"/>
          </w:tcPr>
          <w:p w14:paraId="699C8B29">
            <w:pPr>
              <w:spacing w:line="440" w:lineRule="atLeast"/>
              <w:ind w:firstLine="426"/>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采购文件。为叙述方便，有时将招标文件、谈判文件、询价文件、磋商文件等泛称为采购文件。</w:t>
            </w:r>
          </w:p>
          <w:p w14:paraId="1AF8C459">
            <w:pPr>
              <w:spacing w:line="440" w:lineRule="atLeast"/>
              <w:ind w:firstLine="426"/>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原件扫描件。要求提供的原件扫描件均应为能准确反映原件色彩原貌的彩色扫描件。</w:t>
            </w:r>
          </w:p>
        </w:tc>
      </w:tr>
      <w:tr w14:paraId="77C6B492">
        <w:tblPrEx>
          <w:tblCellMar>
            <w:top w:w="0" w:type="dxa"/>
            <w:left w:w="108" w:type="dxa"/>
            <w:bottom w:w="0" w:type="dxa"/>
            <w:right w:w="108" w:type="dxa"/>
          </w:tblCellMar>
        </w:tblPrEx>
        <w:trPr>
          <w:trHeight w:val="56" w:hRule="atLeast"/>
        </w:trPr>
        <w:tc>
          <w:tcPr>
            <w:tcW w:w="1008" w:type="dxa"/>
            <w:tcBorders>
              <w:top w:val="single" w:color="auto" w:sz="4" w:space="0"/>
              <w:left w:val="single" w:color="auto" w:sz="4" w:space="0"/>
              <w:bottom w:val="single" w:color="auto" w:sz="4" w:space="0"/>
              <w:right w:val="single" w:color="auto" w:sz="4" w:space="0"/>
            </w:tcBorders>
            <w:vAlign w:val="center"/>
          </w:tcPr>
          <w:p w14:paraId="22C76764">
            <w:pPr>
              <w:spacing w:line="440" w:lineRule="atLeast"/>
              <w:jc w:val="center"/>
              <w:rPr>
                <w:rFonts w:ascii="宋体" w:hAnsi="宋体"/>
                <w:szCs w:val="21"/>
                <w:highlight w:val="none"/>
              </w:rPr>
            </w:pPr>
            <w:r>
              <w:rPr>
                <w:rFonts w:ascii="宋体" w:hAnsi="宋体"/>
                <w:szCs w:val="21"/>
                <w:highlight w:val="none"/>
              </w:rPr>
              <w:t>…</w:t>
            </w:r>
          </w:p>
        </w:tc>
        <w:tc>
          <w:tcPr>
            <w:tcW w:w="1980" w:type="dxa"/>
            <w:tcBorders>
              <w:top w:val="single" w:color="auto" w:sz="4" w:space="0"/>
              <w:left w:val="single" w:color="auto" w:sz="4" w:space="0"/>
              <w:bottom w:val="single" w:color="auto" w:sz="4" w:space="0"/>
              <w:right w:val="single" w:color="auto" w:sz="4" w:space="0"/>
            </w:tcBorders>
            <w:vAlign w:val="center"/>
          </w:tcPr>
          <w:p w14:paraId="298A6924">
            <w:pPr>
              <w:spacing w:line="440" w:lineRule="atLeast"/>
              <w:jc w:val="center"/>
              <w:rPr>
                <w:rFonts w:ascii="宋体" w:hAnsi="宋体"/>
                <w:color w:val="000000"/>
                <w:szCs w:val="21"/>
                <w:highlight w:val="none"/>
              </w:rPr>
            </w:pPr>
            <w:r>
              <w:rPr>
                <w:rFonts w:ascii="宋体" w:hAnsi="宋体"/>
                <w:color w:val="000000"/>
                <w:szCs w:val="21"/>
                <w:highlight w:val="none"/>
              </w:rPr>
              <w:t>…</w:t>
            </w:r>
          </w:p>
        </w:tc>
        <w:tc>
          <w:tcPr>
            <w:tcW w:w="5534" w:type="dxa"/>
            <w:tcBorders>
              <w:top w:val="single" w:color="auto" w:sz="4" w:space="0"/>
              <w:left w:val="single" w:color="auto" w:sz="4" w:space="0"/>
              <w:bottom w:val="single" w:color="auto" w:sz="4" w:space="0"/>
              <w:right w:val="single" w:color="auto" w:sz="4" w:space="0"/>
            </w:tcBorders>
            <w:vAlign w:val="center"/>
          </w:tcPr>
          <w:p w14:paraId="097BE349">
            <w:pPr>
              <w:spacing w:line="440" w:lineRule="atLeast"/>
              <w:rPr>
                <w:rFonts w:ascii="宋体" w:hAnsi="宋体" w:cs="宋体"/>
                <w:color w:val="000000"/>
                <w:szCs w:val="21"/>
                <w:highlight w:val="none"/>
              </w:rPr>
            </w:pPr>
            <w:r>
              <w:rPr>
                <w:rFonts w:ascii="宋体" w:hAnsi="宋体" w:cs="宋体"/>
                <w:color w:val="000000"/>
                <w:szCs w:val="21"/>
                <w:highlight w:val="none"/>
              </w:rPr>
              <w:t>…</w:t>
            </w:r>
          </w:p>
        </w:tc>
      </w:tr>
      <w:tr w14:paraId="08E1C2F4">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1E566D9C">
            <w:pPr>
              <w:spacing w:line="440" w:lineRule="atLeast"/>
              <w:jc w:val="center"/>
              <w:rPr>
                <w:rFonts w:ascii="宋体" w:hAnsi="宋体"/>
                <w:b/>
                <w:bCs/>
                <w:color w:val="000000"/>
                <w:szCs w:val="21"/>
                <w:highlight w:val="none"/>
              </w:rPr>
            </w:pPr>
            <w:r>
              <w:rPr>
                <w:rFonts w:hint="eastAsia" w:ascii="宋体" w:hAnsi="宋体"/>
                <w:b/>
                <w:bCs/>
                <w:color w:val="000000"/>
                <w:szCs w:val="21"/>
                <w:highlight w:val="none"/>
              </w:rPr>
              <w:t>11</w:t>
            </w:r>
          </w:p>
        </w:tc>
        <w:tc>
          <w:tcPr>
            <w:tcW w:w="7514" w:type="dxa"/>
            <w:gridSpan w:val="2"/>
            <w:tcBorders>
              <w:top w:val="single" w:color="auto" w:sz="4" w:space="0"/>
              <w:left w:val="single" w:color="auto" w:sz="4" w:space="0"/>
              <w:bottom w:val="single" w:color="auto" w:sz="4" w:space="0"/>
              <w:right w:val="single" w:color="auto" w:sz="4" w:space="0"/>
            </w:tcBorders>
            <w:vAlign w:val="center"/>
          </w:tcPr>
          <w:p w14:paraId="5F28A395">
            <w:pPr>
              <w:spacing w:line="440" w:lineRule="atLeast"/>
              <w:jc w:val="center"/>
              <w:rPr>
                <w:rFonts w:ascii="宋体" w:hAnsi="宋体"/>
                <w:b/>
                <w:bCs/>
                <w:color w:val="000000"/>
                <w:szCs w:val="21"/>
                <w:highlight w:val="none"/>
              </w:rPr>
            </w:pPr>
            <w:r>
              <w:rPr>
                <w:rFonts w:hint="eastAsia" w:ascii="宋体" w:hAnsi="宋体"/>
                <w:b/>
                <w:bCs/>
                <w:color w:val="000000"/>
                <w:szCs w:val="21"/>
                <w:highlight w:val="none"/>
              </w:rPr>
              <w:t>电子招标投标</w:t>
            </w:r>
          </w:p>
        </w:tc>
      </w:tr>
      <w:tr w14:paraId="782ECA88">
        <w:tblPrEx>
          <w:tblCellMar>
            <w:top w:w="0" w:type="dxa"/>
            <w:left w:w="108" w:type="dxa"/>
            <w:bottom w:w="0" w:type="dxa"/>
            <w:right w:w="108" w:type="dxa"/>
          </w:tblCellMar>
        </w:tblPrEx>
        <w:trPr>
          <w:trHeight w:val="56" w:hRule="atLeast"/>
        </w:trPr>
        <w:tc>
          <w:tcPr>
            <w:tcW w:w="1008" w:type="dxa"/>
            <w:tcBorders>
              <w:top w:val="single" w:color="auto" w:sz="4" w:space="0"/>
              <w:left w:val="single" w:color="auto" w:sz="4" w:space="0"/>
              <w:bottom w:val="single" w:color="auto" w:sz="4" w:space="0"/>
              <w:right w:val="single" w:color="auto" w:sz="4" w:space="0"/>
            </w:tcBorders>
            <w:vAlign w:val="center"/>
          </w:tcPr>
          <w:p w14:paraId="3D8C9060">
            <w:pPr>
              <w:spacing w:line="440" w:lineRule="atLeast"/>
              <w:jc w:val="center"/>
              <w:rPr>
                <w:rFonts w:ascii="宋体" w:hAnsi="宋体"/>
                <w:color w:val="000000"/>
                <w:szCs w:val="21"/>
                <w:highlight w:val="none"/>
              </w:rPr>
            </w:pPr>
            <w:r>
              <w:rPr>
                <w:rFonts w:hint="eastAsia" w:ascii="宋体" w:hAnsi="宋体"/>
                <w:color w:val="000000"/>
                <w:szCs w:val="21"/>
                <w:highlight w:val="none"/>
              </w:rPr>
              <w:t>11.1</w:t>
            </w:r>
          </w:p>
        </w:tc>
        <w:tc>
          <w:tcPr>
            <w:tcW w:w="1980" w:type="dxa"/>
            <w:tcBorders>
              <w:top w:val="single" w:color="auto" w:sz="4" w:space="0"/>
              <w:left w:val="single" w:color="auto" w:sz="4" w:space="0"/>
              <w:bottom w:val="single" w:color="auto" w:sz="4" w:space="0"/>
              <w:right w:val="single" w:color="auto" w:sz="4" w:space="0"/>
            </w:tcBorders>
            <w:vAlign w:val="center"/>
          </w:tcPr>
          <w:p w14:paraId="11D1AE41">
            <w:pPr>
              <w:spacing w:line="440" w:lineRule="atLeast"/>
              <w:jc w:val="center"/>
              <w:rPr>
                <w:rFonts w:ascii="宋体" w:hAnsi="宋体"/>
                <w:color w:val="000000"/>
                <w:szCs w:val="21"/>
                <w:highlight w:val="none"/>
              </w:rPr>
            </w:pPr>
            <w:r>
              <w:rPr>
                <w:rFonts w:hint="eastAsia" w:ascii="宋体" w:hAnsi="宋体"/>
                <w:color w:val="000000"/>
                <w:szCs w:val="21"/>
                <w:highlight w:val="none"/>
              </w:rPr>
              <w:t>招标形式</w:t>
            </w:r>
          </w:p>
        </w:tc>
        <w:tc>
          <w:tcPr>
            <w:tcW w:w="5534" w:type="dxa"/>
            <w:tcBorders>
              <w:top w:val="single" w:color="auto" w:sz="4" w:space="0"/>
              <w:left w:val="single" w:color="auto" w:sz="4" w:space="0"/>
              <w:bottom w:val="single" w:color="auto" w:sz="4" w:space="0"/>
              <w:right w:val="single" w:color="auto" w:sz="4" w:space="0"/>
            </w:tcBorders>
            <w:vAlign w:val="center"/>
          </w:tcPr>
          <w:p w14:paraId="142C8FC4">
            <w:pPr>
              <w:spacing w:line="440" w:lineRule="atLeast"/>
              <w:ind w:firstLine="420" w:firstLineChars="200"/>
              <w:rPr>
                <w:rFonts w:ascii="宋体" w:hAnsi="宋体"/>
                <w:szCs w:val="21"/>
                <w:highlight w:val="none"/>
              </w:rPr>
            </w:pPr>
            <w:r>
              <w:rPr>
                <w:rFonts w:hint="eastAsia" w:ascii="宋体" w:hAnsi="宋体"/>
                <w:color w:val="000000"/>
                <w:szCs w:val="21"/>
                <w:highlight w:val="none"/>
              </w:rPr>
              <w:t>本项目采用电子招标投标，供应商应使用电子投标客户端编制电子投标文件并进行线上投标，供应商电子投标文件加密并加盖电子签章。</w:t>
            </w:r>
          </w:p>
        </w:tc>
      </w:tr>
      <w:tr w14:paraId="593898D3">
        <w:tblPrEx>
          <w:tblCellMar>
            <w:top w:w="0" w:type="dxa"/>
            <w:left w:w="108" w:type="dxa"/>
            <w:bottom w:w="0" w:type="dxa"/>
            <w:right w:w="108" w:type="dxa"/>
          </w:tblCellMar>
        </w:tblPrEx>
        <w:trPr>
          <w:trHeight w:val="90" w:hRule="atLeast"/>
        </w:trPr>
        <w:tc>
          <w:tcPr>
            <w:tcW w:w="1008" w:type="dxa"/>
            <w:tcBorders>
              <w:top w:val="single" w:color="auto" w:sz="4" w:space="0"/>
              <w:left w:val="single" w:color="auto" w:sz="4" w:space="0"/>
              <w:bottom w:val="single" w:color="auto" w:sz="4" w:space="0"/>
              <w:right w:val="single" w:color="auto" w:sz="4" w:space="0"/>
            </w:tcBorders>
            <w:vAlign w:val="center"/>
          </w:tcPr>
          <w:p w14:paraId="0B33AF33">
            <w:pPr>
              <w:spacing w:line="440" w:lineRule="atLeast"/>
              <w:jc w:val="center"/>
              <w:rPr>
                <w:rFonts w:ascii="宋体" w:hAnsi="宋体"/>
                <w:color w:val="000000"/>
                <w:szCs w:val="21"/>
                <w:highlight w:val="none"/>
              </w:rPr>
            </w:pPr>
            <w:r>
              <w:rPr>
                <w:rFonts w:hint="eastAsia" w:ascii="宋体" w:hAnsi="宋体"/>
                <w:color w:val="000000"/>
                <w:szCs w:val="21"/>
                <w:highlight w:val="none"/>
              </w:rPr>
              <w:t>11.2</w:t>
            </w:r>
          </w:p>
        </w:tc>
        <w:tc>
          <w:tcPr>
            <w:tcW w:w="1980" w:type="dxa"/>
            <w:tcBorders>
              <w:top w:val="single" w:color="auto" w:sz="4" w:space="0"/>
              <w:left w:val="single" w:color="auto" w:sz="4" w:space="0"/>
              <w:bottom w:val="single" w:color="auto" w:sz="4" w:space="0"/>
              <w:right w:val="single" w:color="auto" w:sz="4" w:space="0"/>
            </w:tcBorders>
            <w:vAlign w:val="center"/>
          </w:tcPr>
          <w:p w14:paraId="10289A6A">
            <w:pPr>
              <w:spacing w:line="440" w:lineRule="atLeast"/>
              <w:jc w:val="center"/>
              <w:rPr>
                <w:rFonts w:ascii="宋体" w:hAnsi="宋体"/>
                <w:color w:val="000000"/>
                <w:szCs w:val="21"/>
                <w:highlight w:val="none"/>
              </w:rPr>
            </w:pPr>
            <w:r>
              <w:rPr>
                <w:rFonts w:hint="eastAsia" w:ascii="宋体" w:hAnsi="宋体"/>
                <w:color w:val="000000"/>
                <w:szCs w:val="21"/>
                <w:highlight w:val="none"/>
              </w:rPr>
              <w:t>注意事项</w:t>
            </w:r>
          </w:p>
        </w:tc>
        <w:tc>
          <w:tcPr>
            <w:tcW w:w="5534" w:type="dxa"/>
            <w:tcBorders>
              <w:top w:val="single" w:color="auto" w:sz="4" w:space="0"/>
              <w:left w:val="single" w:color="auto" w:sz="4" w:space="0"/>
              <w:bottom w:val="single" w:color="auto" w:sz="4" w:space="0"/>
              <w:right w:val="single" w:color="auto" w:sz="4" w:space="0"/>
            </w:tcBorders>
            <w:vAlign w:val="center"/>
          </w:tcPr>
          <w:p w14:paraId="186DB259">
            <w:pPr>
              <w:spacing w:line="440" w:lineRule="atLeast"/>
              <w:ind w:firstLine="420" w:firstLineChars="200"/>
              <w:rPr>
                <w:rFonts w:ascii="宋体" w:hAnsi="宋体"/>
                <w:color w:val="000000"/>
                <w:highlight w:val="none"/>
              </w:rPr>
            </w:pPr>
            <w:r>
              <w:rPr>
                <w:rFonts w:hint="eastAsia" w:ascii="宋体" w:hAnsi="宋体"/>
                <w:szCs w:val="21"/>
                <w:highlight w:val="none"/>
              </w:rPr>
              <w:t>供应商从参与项目开始至结束，应时刻关注电子交易系统中的项目进度和状态，留意变更公告等内容，特别是项目开标后，评标委员会向供应商提出的澄清要求、报价要求等，供应商应自系统发出30分钟（另有约定的从其约定）内回复。错过重要信息者，供应商自行承担责任。</w:t>
            </w:r>
          </w:p>
        </w:tc>
      </w:tr>
      <w:tr w14:paraId="2E5CE925">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61014FCD">
            <w:pPr>
              <w:spacing w:line="440" w:lineRule="atLeast"/>
              <w:jc w:val="center"/>
              <w:rPr>
                <w:rFonts w:ascii="宋体" w:hAnsi="宋体"/>
                <w:szCs w:val="21"/>
                <w:highlight w:val="none"/>
              </w:rPr>
            </w:pPr>
            <w:r>
              <w:rPr>
                <w:rFonts w:ascii="宋体" w:hAnsi="宋体"/>
                <w:szCs w:val="21"/>
                <w:highlight w:val="none"/>
              </w:rPr>
              <w:t>…</w:t>
            </w:r>
          </w:p>
        </w:tc>
        <w:tc>
          <w:tcPr>
            <w:tcW w:w="7514" w:type="dxa"/>
            <w:gridSpan w:val="2"/>
            <w:tcBorders>
              <w:top w:val="single" w:color="auto" w:sz="4" w:space="0"/>
              <w:left w:val="single" w:color="auto" w:sz="4" w:space="0"/>
              <w:bottom w:val="single" w:color="auto" w:sz="4" w:space="0"/>
              <w:right w:val="single" w:color="auto" w:sz="4" w:space="0"/>
            </w:tcBorders>
            <w:vAlign w:val="center"/>
          </w:tcPr>
          <w:p w14:paraId="42A12FFC">
            <w:pPr>
              <w:spacing w:line="440" w:lineRule="atLeast"/>
              <w:jc w:val="center"/>
              <w:rPr>
                <w:rFonts w:ascii="宋体" w:hAnsi="宋体"/>
                <w:szCs w:val="21"/>
                <w:highlight w:val="none"/>
              </w:rPr>
            </w:pPr>
            <w:r>
              <w:rPr>
                <w:rFonts w:ascii="宋体" w:hAnsi="宋体"/>
                <w:szCs w:val="21"/>
                <w:highlight w:val="none"/>
              </w:rPr>
              <w:t>…</w:t>
            </w:r>
          </w:p>
        </w:tc>
      </w:tr>
    </w:tbl>
    <w:p w14:paraId="4128AAEE">
      <w:pPr>
        <w:pStyle w:val="3"/>
        <w:outlineLvl w:val="1"/>
        <w:rPr>
          <w:rFonts w:ascii="宋体" w:hAnsi="宋体" w:eastAsia="宋体"/>
          <w:highlight w:val="none"/>
        </w:rPr>
      </w:pPr>
      <w:bookmarkStart w:id="56" w:name="_Toc494526401"/>
      <w:bookmarkStart w:id="57" w:name="_Toc144974497"/>
      <w:bookmarkStart w:id="58" w:name="_Toc247085689"/>
      <w:bookmarkStart w:id="59" w:name="_Toc179632546"/>
      <w:bookmarkStart w:id="60" w:name="_Toc338840187"/>
      <w:bookmarkStart w:id="61" w:name="_Toc338840481"/>
      <w:bookmarkStart w:id="62" w:name="_Toc152042305"/>
      <w:bookmarkStart w:id="63" w:name="_Toc338840442"/>
      <w:bookmarkStart w:id="64" w:name="_Toc246996918"/>
      <w:bookmarkStart w:id="65" w:name="_Toc246996175"/>
      <w:bookmarkStart w:id="66" w:name="_Toc152045529"/>
      <w:bookmarkStart w:id="67" w:name="_Toc346523402"/>
      <w:bookmarkStart w:id="68" w:name="_Toc494093429"/>
      <w:bookmarkStart w:id="69" w:name="_Toc346523465"/>
      <w:r>
        <w:rPr>
          <w:rFonts w:hint="eastAsia" w:ascii="宋体" w:hAnsi="宋体" w:eastAsia="宋体"/>
          <w:highlight w:val="none"/>
        </w:rPr>
        <w:br w:type="page"/>
      </w:r>
      <w:bookmarkStart w:id="70" w:name="_Toc22947"/>
      <w:bookmarkStart w:id="71" w:name="_Toc17625"/>
      <w:bookmarkStart w:id="72" w:name="_Toc18686"/>
      <w:bookmarkStart w:id="73" w:name="_Toc28332"/>
      <w:bookmarkStart w:id="74" w:name="_Toc25787"/>
      <w:bookmarkStart w:id="75" w:name="_Toc29445"/>
      <w:r>
        <w:rPr>
          <w:rFonts w:hint="eastAsia" w:ascii="宋体" w:hAnsi="宋体" w:eastAsia="宋体"/>
          <w:highlight w:val="none"/>
        </w:rPr>
        <w:t>1. 总则</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139E810F">
      <w:pPr>
        <w:pStyle w:val="4"/>
        <w:outlineLvl w:val="2"/>
        <w:rPr>
          <w:rFonts w:ascii="宋体" w:hAnsi="宋体"/>
          <w:highlight w:val="none"/>
        </w:rPr>
      </w:pPr>
      <w:bookmarkStart w:id="76" w:name="_Toc152042306"/>
      <w:bookmarkStart w:id="77" w:name="_Toc247085690"/>
      <w:bookmarkStart w:id="78" w:name="_Toc246996919"/>
      <w:bookmarkStart w:id="79" w:name="_Toc144974498"/>
      <w:bookmarkStart w:id="80" w:name="_Toc179632547"/>
      <w:bookmarkStart w:id="81" w:name="_Toc246996176"/>
      <w:bookmarkStart w:id="82" w:name="_Toc152045530"/>
      <w:bookmarkStart w:id="83" w:name="_Toc338840188"/>
      <w:r>
        <w:rPr>
          <w:rFonts w:hint="eastAsia" w:ascii="宋体" w:hAnsi="宋体"/>
          <w:highlight w:val="none"/>
        </w:rPr>
        <w:t>1.1 项目概况</w:t>
      </w:r>
      <w:bookmarkEnd w:id="76"/>
      <w:bookmarkEnd w:id="77"/>
      <w:bookmarkEnd w:id="78"/>
      <w:bookmarkEnd w:id="79"/>
      <w:bookmarkEnd w:id="80"/>
      <w:bookmarkEnd w:id="81"/>
      <w:bookmarkEnd w:id="82"/>
      <w:bookmarkEnd w:id="83"/>
    </w:p>
    <w:p w14:paraId="7FA696DE">
      <w:pPr>
        <w:spacing w:line="400" w:lineRule="exact"/>
        <w:ind w:firstLine="420" w:firstLineChars="200"/>
        <w:rPr>
          <w:rFonts w:ascii="宋体" w:hAnsi="宋体"/>
          <w:highlight w:val="none"/>
        </w:rPr>
      </w:pPr>
      <w:r>
        <w:rPr>
          <w:rFonts w:hint="eastAsia" w:ascii="宋体" w:hAnsi="宋体"/>
          <w:highlight w:val="none"/>
        </w:rPr>
        <w:t>1.1.1根据《中华人民共和国政府采购法》等有关法律、法规和规章的规定，本招标项目已具备招标条件，现对本项目进行招标。</w:t>
      </w:r>
    </w:p>
    <w:p w14:paraId="53065A0E">
      <w:pPr>
        <w:spacing w:line="400" w:lineRule="exact"/>
        <w:ind w:firstLine="420" w:firstLineChars="200"/>
        <w:rPr>
          <w:rFonts w:ascii="宋体" w:hAnsi="宋体"/>
          <w:highlight w:val="none"/>
        </w:rPr>
      </w:pPr>
      <w:r>
        <w:rPr>
          <w:rFonts w:hint="eastAsia" w:ascii="宋体" w:hAnsi="宋体"/>
          <w:highlight w:val="none"/>
        </w:rPr>
        <w:t>1.1.2 本招标项目采购人：见供应商须知前附表。</w:t>
      </w:r>
    </w:p>
    <w:p w14:paraId="468862C0">
      <w:pPr>
        <w:spacing w:line="400" w:lineRule="exact"/>
        <w:ind w:firstLine="420" w:firstLineChars="200"/>
        <w:rPr>
          <w:rFonts w:ascii="宋体" w:hAnsi="宋体"/>
          <w:highlight w:val="none"/>
        </w:rPr>
      </w:pPr>
      <w:r>
        <w:rPr>
          <w:rFonts w:hint="eastAsia" w:ascii="宋体" w:hAnsi="宋体"/>
          <w:highlight w:val="none"/>
        </w:rPr>
        <w:t>1.1.3 本招标项目采购代理机构：见供应商须知前附表。</w:t>
      </w:r>
    </w:p>
    <w:p w14:paraId="5B57F462">
      <w:pPr>
        <w:spacing w:line="400" w:lineRule="exact"/>
        <w:ind w:firstLine="420" w:firstLineChars="200"/>
        <w:rPr>
          <w:rFonts w:ascii="宋体" w:hAnsi="宋体"/>
          <w:highlight w:val="none"/>
        </w:rPr>
      </w:pPr>
      <w:r>
        <w:rPr>
          <w:rFonts w:hint="eastAsia" w:ascii="宋体" w:hAnsi="宋体"/>
          <w:highlight w:val="none"/>
        </w:rPr>
        <w:t>1.1.4 本招标项目名称：见供应商须知前附表。</w:t>
      </w:r>
    </w:p>
    <w:p w14:paraId="1E219B62">
      <w:pPr>
        <w:spacing w:line="400" w:lineRule="exact"/>
        <w:ind w:firstLine="420" w:firstLineChars="200"/>
        <w:rPr>
          <w:rFonts w:ascii="宋体" w:hAnsi="宋体"/>
          <w:highlight w:val="none"/>
        </w:rPr>
      </w:pPr>
      <w:r>
        <w:rPr>
          <w:rFonts w:hint="eastAsia" w:ascii="宋体" w:hAnsi="宋体"/>
          <w:highlight w:val="none"/>
        </w:rPr>
        <w:t>1.1.5 本招标项目</w:t>
      </w:r>
      <w:r>
        <w:rPr>
          <w:rFonts w:hint="eastAsia" w:ascii="宋体" w:hAnsi="宋体"/>
          <w:szCs w:val="21"/>
          <w:highlight w:val="none"/>
        </w:rPr>
        <w:t>合同履行地点</w:t>
      </w:r>
      <w:r>
        <w:rPr>
          <w:rFonts w:hint="eastAsia" w:ascii="宋体" w:hAnsi="宋体"/>
          <w:highlight w:val="none"/>
        </w:rPr>
        <w:t>：见供应商须知前附表。</w:t>
      </w:r>
    </w:p>
    <w:p w14:paraId="03B06AD4">
      <w:pPr>
        <w:pStyle w:val="4"/>
        <w:outlineLvl w:val="2"/>
        <w:rPr>
          <w:rFonts w:ascii="宋体" w:hAnsi="宋体"/>
          <w:highlight w:val="none"/>
        </w:rPr>
      </w:pPr>
      <w:bookmarkStart w:id="84" w:name="_Toc144974499"/>
      <w:bookmarkStart w:id="85" w:name="_Toc179632548"/>
      <w:bookmarkStart w:id="86" w:name="_Toc246996177"/>
      <w:bookmarkStart w:id="87" w:name="_Toc247085691"/>
      <w:bookmarkStart w:id="88" w:name="_Toc246996920"/>
      <w:bookmarkStart w:id="89" w:name="_Toc338840189"/>
      <w:bookmarkStart w:id="90" w:name="_Toc152045531"/>
      <w:bookmarkStart w:id="91" w:name="_Toc152042307"/>
      <w:r>
        <w:rPr>
          <w:rFonts w:hint="eastAsia" w:ascii="宋体" w:hAnsi="宋体"/>
          <w:highlight w:val="none"/>
        </w:rPr>
        <w:t>1.2 资金来源和落实情况</w:t>
      </w:r>
      <w:bookmarkEnd w:id="84"/>
      <w:bookmarkEnd w:id="85"/>
      <w:bookmarkEnd w:id="86"/>
      <w:bookmarkEnd w:id="87"/>
      <w:bookmarkEnd w:id="88"/>
      <w:bookmarkEnd w:id="89"/>
      <w:bookmarkEnd w:id="90"/>
      <w:bookmarkEnd w:id="91"/>
    </w:p>
    <w:p w14:paraId="21EF8C4C">
      <w:pPr>
        <w:spacing w:line="400" w:lineRule="exact"/>
        <w:ind w:firstLine="420" w:firstLineChars="200"/>
        <w:rPr>
          <w:rFonts w:ascii="宋体" w:hAnsi="宋体"/>
          <w:highlight w:val="none"/>
        </w:rPr>
      </w:pPr>
      <w:r>
        <w:rPr>
          <w:rFonts w:hint="eastAsia" w:ascii="宋体" w:hAnsi="宋体"/>
          <w:highlight w:val="none"/>
        </w:rPr>
        <w:t>1.2.1 本招标项目的资金来源及出资比例：见供应商须知前附表。</w:t>
      </w:r>
    </w:p>
    <w:p w14:paraId="73C1A9A4">
      <w:pPr>
        <w:spacing w:line="400" w:lineRule="exact"/>
        <w:ind w:firstLine="420" w:firstLineChars="200"/>
        <w:outlineLvl w:val="3"/>
        <w:rPr>
          <w:rFonts w:ascii="宋体" w:hAnsi="宋体"/>
          <w:highlight w:val="none"/>
        </w:rPr>
      </w:pPr>
      <w:r>
        <w:rPr>
          <w:rFonts w:hint="eastAsia" w:ascii="宋体" w:hAnsi="宋体"/>
          <w:highlight w:val="none"/>
        </w:rPr>
        <w:t>1.2.2 本招标项目的资金落实情况：见供应商须知前附表。</w:t>
      </w:r>
    </w:p>
    <w:p w14:paraId="44C1F40B">
      <w:pPr>
        <w:pStyle w:val="4"/>
        <w:outlineLvl w:val="2"/>
        <w:rPr>
          <w:rFonts w:ascii="宋体" w:hAnsi="宋体"/>
          <w:highlight w:val="none"/>
        </w:rPr>
      </w:pPr>
      <w:bookmarkStart w:id="92" w:name="_Toc247085692"/>
      <w:bookmarkStart w:id="93" w:name="_Toc144974500"/>
      <w:bookmarkStart w:id="94" w:name="_Toc179632549"/>
      <w:bookmarkStart w:id="95" w:name="_Toc246996921"/>
      <w:bookmarkStart w:id="96" w:name="_Toc152042308"/>
      <w:bookmarkStart w:id="97" w:name="_Toc246996178"/>
      <w:bookmarkStart w:id="98" w:name="_Toc152045532"/>
      <w:bookmarkStart w:id="99" w:name="_Toc338840190"/>
      <w:r>
        <w:rPr>
          <w:rFonts w:hint="eastAsia" w:ascii="宋体" w:hAnsi="宋体"/>
          <w:highlight w:val="none"/>
        </w:rPr>
        <w:t>1.3 招标范围、合同履行期限、质量要求</w:t>
      </w:r>
      <w:bookmarkEnd w:id="92"/>
      <w:bookmarkEnd w:id="93"/>
      <w:bookmarkEnd w:id="94"/>
      <w:bookmarkEnd w:id="95"/>
      <w:bookmarkEnd w:id="96"/>
      <w:bookmarkEnd w:id="97"/>
      <w:bookmarkEnd w:id="98"/>
      <w:bookmarkEnd w:id="99"/>
    </w:p>
    <w:p w14:paraId="0A44B297">
      <w:pPr>
        <w:spacing w:line="400" w:lineRule="exact"/>
        <w:ind w:firstLine="420" w:firstLineChars="200"/>
        <w:rPr>
          <w:rFonts w:ascii="宋体" w:hAnsi="宋体"/>
          <w:highlight w:val="none"/>
        </w:rPr>
      </w:pPr>
      <w:r>
        <w:rPr>
          <w:rFonts w:hint="eastAsia" w:ascii="宋体" w:hAnsi="宋体"/>
          <w:highlight w:val="none"/>
        </w:rPr>
        <w:t>1.3.1 本次招标范围：见供应商须知前附表。</w:t>
      </w:r>
    </w:p>
    <w:p w14:paraId="3A231211">
      <w:pPr>
        <w:spacing w:line="400" w:lineRule="exact"/>
        <w:ind w:firstLine="420" w:firstLineChars="200"/>
        <w:rPr>
          <w:rFonts w:ascii="宋体" w:hAnsi="宋体"/>
          <w:highlight w:val="none"/>
        </w:rPr>
      </w:pPr>
      <w:r>
        <w:rPr>
          <w:rFonts w:hint="eastAsia" w:ascii="宋体" w:hAnsi="宋体"/>
          <w:highlight w:val="none"/>
        </w:rPr>
        <w:t>1.3.2 本招标项目的合同履行期限：见供应商须知前附表。</w:t>
      </w:r>
    </w:p>
    <w:p w14:paraId="50C8C2F9">
      <w:pPr>
        <w:spacing w:line="400" w:lineRule="exact"/>
        <w:ind w:firstLine="420" w:firstLineChars="200"/>
        <w:rPr>
          <w:rFonts w:ascii="宋体" w:hAnsi="宋体"/>
          <w:highlight w:val="none"/>
        </w:rPr>
      </w:pPr>
      <w:r>
        <w:rPr>
          <w:rFonts w:hint="eastAsia" w:ascii="宋体" w:hAnsi="宋体"/>
          <w:highlight w:val="none"/>
        </w:rPr>
        <w:t>1.3.3 本招标项目的质量要求：见供应商须知前附表。</w:t>
      </w:r>
    </w:p>
    <w:p w14:paraId="266D553E">
      <w:pPr>
        <w:spacing w:line="400" w:lineRule="exact"/>
        <w:ind w:firstLine="420" w:firstLineChars="200"/>
        <w:rPr>
          <w:rFonts w:ascii="宋体" w:hAnsi="宋体"/>
          <w:highlight w:val="none"/>
        </w:rPr>
      </w:pPr>
      <w:r>
        <w:rPr>
          <w:rFonts w:hint="eastAsia" w:ascii="宋体" w:hAnsi="宋体"/>
          <w:highlight w:val="none"/>
        </w:rPr>
        <w:t>1.3.4本招标项目的</w:t>
      </w:r>
      <w:r>
        <w:rPr>
          <w:rFonts w:hint="eastAsia" w:ascii="宋体" w:hAnsi="宋体"/>
          <w:highlight w:val="none"/>
          <w:lang w:val="en-US" w:eastAsia="zh-CN"/>
        </w:rPr>
        <w:t>运维期限</w:t>
      </w:r>
      <w:r>
        <w:rPr>
          <w:rFonts w:hint="eastAsia" w:ascii="宋体" w:hAnsi="宋体"/>
          <w:highlight w:val="none"/>
        </w:rPr>
        <w:t>：见供应商须知前附表。</w:t>
      </w:r>
    </w:p>
    <w:p w14:paraId="1B9B36C1">
      <w:pPr>
        <w:pStyle w:val="4"/>
        <w:outlineLvl w:val="2"/>
        <w:rPr>
          <w:rFonts w:ascii="宋体" w:hAnsi="宋体"/>
          <w:highlight w:val="none"/>
        </w:rPr>
      </w:pPr>
      <w:bookmarkStart w:id="100" w:name="_Toc179632551"/>
      <w:bookmarkStart w:id="101" w:name="_Toc246996922"/>
      <w:bookmarkStart w:id="102" w:name="_Toc152045534"/>
      <w:bookmarkStart w:id="103" w:name="_Toc338840191"/>
      <w:bookmarkStart w:id="104" w:name="_Toc246996179"/>
      <w:bookmarkStart w:id="105" w:name="_Toc152042310"/>
      <w:bookmarkStart w:id="106" w:name="_Toc247085693"/>
      <w:bookmarkStart w:id="107" w:name="_Toc144974502"/>
      <w:r>
        <w:rPr>
          <w:rFonts w:hint="eastAsia" w:ascii="宋体" w:hAnsi="宋体"/>
          <w:highlight w:val="none"/>
        </w:rPr>
        <w:t>1.4 供应商资格要求</w:t>
      </w:r>
      <w:bookmarkEnd w:id="100"/>
      <w:bookmarkEnd w:id="101"/>
      <w:bookmarkEnd w:id="102"/>
      <w:bookmarkEnd w:id="103"/>
      <w:bookmarkEnd w:id="104"/>
      <w:bookmarkEnd w:id="105"/>
      <w:bookmarkEnd w:id="106"/>
      <w:bookmarkEnd w:id="107"/>
    </w:p>
    <w:p w14:paraId="3206D836">
      <w:pPr>
        <w:spacing w:line="400" w:lineRule="exact"/>
        <w:ind w:firstLine="359" w:firstLineChars="171"/>
        <w:rPr>
          <w:rFonts w:ascii="宋体" w:hAnsi="宋体"/>
          <w:highlight w:val="none"/>
        </w:rPr>
      </w:pPr>
      <w:r>
        <w:rPr>
          <w:rFonts w:hint="eastAsia" w:ascii="宋体" w:hAnsi="宋体"/>
          <w:highlight w:val="none"/>
        </w:rPr>
        <w:t>1.4.1 供应商应具备承担本项目的资格条件。见供应商须知前附表；</w:t>
      </w:r>
    </w:p>
    <w:p w14:paraId="272FAB2E">
      <w:pPr>
        <w:spacing w:line="400" w:lineRule="exact"/>
        <w:ind w:firstLine="359" w:firstLineChars="171"/>
        <w:outlineLvl w:val="3"/>
        <w:rPr>
          <w:rFonts w:ascii="宋体" w:hAnsi="宋体"/>
          <w:highlight w:val="none"/>
        </w:rPr>
      </w:pPr>
      <w:r>
        <w:rPr>
          <w:rFonts w:hint="eastAsia" w:ascii="宋体" w:hAnsi="宋体"/>
          <w:highlight w:val="none"/>
        </w:rPr>
        <w:t>1.4.2 供应商不得存在下列情形之一：</w:t>
      </w:r>
    </w:p>
    <w:p w14:paraId="5CC2FCF5">
      <w:pPr>
        <w:spacing w:line="400" w:lineRule="exact"/>
        <w:ind w:firstLine="359" w:firstLineChars="171"/>
        <w:rPr>
          <w:rFonts w:ascii="宋体" w:hAnsi="宋体"/>
          <w:highlight w:val="none"/>
        </w:rPr>
      </w:pPr>
      <w:r>
        <w:rPr>
          <w:rFonts w:hint="eastAsia" w:ascii="宋体" w:hAnsi="宋体"/>
          <w:highlight w:val="none"/>
        </w:rPr>
        <w:t>（1）为采购人不具有独立法人资格的附属机构（单位）；</w:t>
      </w:r>
    </w:p>
    <w:p w14:paraId="56B78D90">
      <w:pPr>
        <w:spacing w:line="400" w:lineRule="exact"/>
        <w:ind w:firstLine="359" w:firstLineChars="171"/>
        <w:rPr>
          <w:rFonts w:ascii="宋体" w:hAnsi="宋体"/>
          <w:highlight w:val="none"/>
        </w:rPr>
      </w:pPr>
      <w:r>
        <w:rPr>
          <w:rFonts w:hint="eastAsia" w:ascii="宋体" w:hAnsi="宋体"/>
          <w:highlight w:val="none"/>
        </w:rPr>
        <w:t xml:space="preserve">（2）为本招标项目前期准备提供专业设计或专业咨询服务的； </w:t>
      </w:r>
    </w:p>
    <w:p w14:paraId="6BC95030">
      <w:pPr>
        <w:spacing w:line="400" w:lineRule="exact"/>
        <w:ind w:firstLine="359" w:firstLineChars="171"/>
        <w:rPr>
          <w:rFonts w:ascii="宋体" w:hAnsi="宋体"/>
          <w:highlight w:val="none"/>
        </w:rPr>
      </w:pPr>
      <w:r>
        <w:rPr>
          <w:rFonts w:hint="eastAsia" w:ascii="宋体" w:hAnsi="宋体"/>
          <w:highlight w:val="none"/>
        </w:rPr>
        <w:t>（3）为本招标项目提供招标代理服务的；</w:t>
      </w:r>
    </w:p>
    <w:p w14:paraId="6FD556EA">
      <w:pPr>
        <w:spacing w:line="400" w:lineRule="exact"/>
        <w:ind w:firstLine="359" w:firstLineChars="171"/>
        <w:rPr>
          <w:rFonts w:ascii="宋体" w:hAnsi="宋体"/>
          <w:highlight w:val="none"/>
        </w:rPr>
      </w:pPr>
      <w:r>
        <w:rPr>
          <w:rFonts w:hint="eastAsia" w:ascii="宋体" w:hAnsi="宋体"/>
          <w:highlight w:val="none"/>
        </w:rPr>
        <w:t>（4）被责令停业的；</w:t>
      </w:r>
    </w:p>
    <w:p w14:paraId="4FA87485">
      <w:pPr>
        <w:spacing w:line="400" w:lineRule="exact"/>
        <w:ind w:firstLine="359" w:firstLineChars="171"/>
        <w:rPr>
          <w:rFonts w:ascii="宋体" w:hAnsi="宋体"/>
          <w:highlight w:val="none"/>
        </w:rPr>
      </w:pPr>
      <w:r>
        <w:rPr>
          <w:rFonts w:hint="eastAsia" w:ascii="宋体" w:hAnsi="宋体"/>
          <w:highlight w:val="none"/>
        </w:rPr>
        <w:t>（5）被暂停或取消投标资格的；</w:t>
      </w:r>
    </w:p>
    <w:p w14:paraId="2C9E3987">
      <w:pPr>
        <w:spacing w:line="400" w:lineRule="exact"/>
        <w:ind w:firstLine="359" w:firstLineChars="171"/>
        <w:rPr>
          <w:rFonts w:ascii="宋体" w:hAnsi="宋体"/>
          <w:highlight w:val="none"/>
        </w:rPr>
      </w:pPr>
      <w:r>
        <w:rPr>
          <w:rFonts w:hint="eastAsia" w:ascii="宋体" w:hAnsi="宋体"/>
          <w:highlight w:val="none"/>
        </w:rPr>
        <w:t>（6）财产被接管或冻结的；</w:t>
      </w:r>
    </w:p>
    <w:p w14:paraId="7DD7C3BE">
      <w:pPr>
        <w:spacing w:line="400" w:lineRule="exact"/>
        <w:ind w:firstLine="359" w:firstLineChars="171"/>
        <w:rPr>
          <w:rFonts w:ascii="宋体" w:hAnsi="宋体"/>
          <w:highlight w:val="none"/>
        </w:rPr>
      </w:pPr>
      <w:r>
        <w:rPr>
          <w:rFonts w:hint="eastAsia" w:ascii="宋体" w:hAnsi="宋体"/>
          <w:highlight w:val="none"/>
        </w:rPr>
        <w:t>（7）在最近三年内有骗取中标或严重违约或重大质量问题的。</w:t>
      </w:r>
    </w:p>
    <w:p w14:paraId="55FBE47A">
      <w:pPr>
        <w:pStyle w:val="4"/>
        <w:outlineLvl w:val="2"/>
        <w:rPr>
          <w:rFonts w:ascii="宋体" w:hAnsi="宋体"/>
          <w:highlight w:val="none"/>
        </w:rPr>
      </w:pPr>
      <w:bookmarkStart w:id="108" w:name="_Toc247085694"/>
      <w:bookmarkStart w:id="109" w:name="_Toc152042311"/>
      <w:bookmarkStart w:id="110" w:name="_Toc144974503"/>
      <w:bookmarkStart w:id="111" w:name="_Toc246996923"/>
      <w:bookmarkStart w:id="112" w:name="_Toc179632552"/>
      <w:bookmarkStart w:id="113" w:name="_Toc152045535"/>
      <w:bookmarkStart w:id="114" w:name="_Toc338840192"/>
      <w:bookmarkStart w:id="115" w:name="_Toc246996180"/>
      <w:r>
        <w:rPr>
          <w:rFonts w:hint="eastAsia" w:ascii="宋体" w:hAnsi="宋体"/>
          <w:highlight w:val="none"/>
        </w:rPr>
        <w:t>1.5 费用承担</w:t>
      </w:r>
      <w:bookmarkEnd w:id="108"/>
      <w:bookmarkEnd w:id="109"/>
      <w:bookmarkEnd w:id="110"/>
      <w:bookmarkEnd w:id="111"/>
      <w:bookmarkEnd w:id="112"/>
      <w:bookmarkEnd w:id="113"/>
      <w:bookmarkEnd w:id="114"/>
      <w:bookmarkEnd w:id="115"/>
    </w:p>
    <w:p w14:paraId="4B6CD0DD">
      <w:pPr>
        <w:spacing w:line="400" w:lineRule="exact"/>
        <w:ind w:firstLine="420" w:firstLineChars="200"/>
        <w:rPr>
          <w:rFonts w:ascii="宋体" w:hAnsi="宋体"/>
          <w:highlight w:val="none"/>
        </w:rPr>
      </w:pPr>
      <w:r>
        <w:rPr>
          <w:rFonts w:hint="eastAsia" w:ascii="宋体" w:hAnsi="宋体"/>
          <w:highlight w:val="none"/>
        </w:rPr>
        <w:t>供应商准备和参加投标活动发生的费用自理。</w:t>
      </w:r>
    </w:p>
    <w:p w14:paraId="288538D6">
      <w:pPr>
        <w:pStyle w:val="4"/>
        <w:outlineLvl w:val="2"/>
        <w:rPr>
          <w:rFonts w:ascii="宋体" w:hAnsi="宋体"/>
          <w:highlight w:val="none"/>
        </w:rPr>
      </w:pPr>
      <w:bookmarkStart w:id="116" w:name="_Toc246996924"/>
      <w:bookmarkStart w:id="117" w:name="_Toc338840193"/>
      <w:bookmarkStart w:id="118" w:name="_Toc247085695"/>
      <w:bookmarkStart w:id="119" w:name="_Toc246996181"/>
      <w:bookmarkStart w:id="120" w:name="_Toc144974504"/>
      <w:bookmarkStart w:id="121" w:name="_Toc152045536"/>
      <w:bookmarkStart w:id="122" w:name="_Toc152042312"/>
      <w:bookmarkStart w:id="123" w:name="_Toc179632553"/>
      <w:r>
        <w:rPr>
          <w:rFonts w:hint="eastAsia" w:ascii="宋体" w:hAnsi="宋体"/>
          <w:highlight w:val="none"/>
        </w:rPr>
        <w:t>1.6 保密</w:t>
      </w:r>
      <w:bookmarkEnd w:id="116"/>
      <w:bookmarkEnd w:id="117"/>
      <w:bookmarkEnd w:id="118"/>
      <w:bookmarkEnd w:id="119"/>
      <w:bookmarkEnd w:id="120"/>
      <w:bookmarkEnd w:id="121"/>
      <w:bookmarkEnd w:id="122"/>
      <w:bookmarkEnd w:id="123"/>
    </w:p>
    <w:p w14:paraId="54676A1E">
      <w:pPr>
        <w:spacing w:line="400" w:lineRule="exact"/>
        <w:ind w:firstLine="420" w:firstLineChars="200"/>
        <w:rPr>
          <w:rFonts w:ascii="宋体" w:hAnsi="宋体"/>
          <w:highlight w:val="none"/>
        </w:rPr>
      </w:pPr>
      <w:r>
        <w:rPr>
          <w:rFonts w:hint="eastAsia" w:ascii="宋体" w:hAnsi="宋体"/>
          <w:highlight w:val="none"/>
        </w:rPr>
        <w:t xml:space="preserve">参与招标投标活动的各方应对招标文件和投标文件中的商业和技术等秘密保密，违者应对由此造成的后果承担法律责任。 </w:t>
      </w:r>
    </w:p>
    <w:p w14:paraId="5AB646DA">
      <w:pPr>
        <w:pStyle w:val="4"/>
        <w:outlineLvl w:val="2"/>
        <w:rPr>
          <w:rFonts w:ascii="宋体" w:hAnsi="宋体"/>
          <w:highlight w:val="none"/>
        </w:rPr>
      </w:pPr>
      <w:bookmarkStart w:id="124" w:name="_Toc144974505"/>
      <w:bookmarkStart w:id="125" w:name="_Toc246996925"/>
      <w:bookmarkStart w:id="126" w:name="_Toc152042313"/>
      <w:bookmarkStart w:id="127" w:name="_Toc246996182"/>
      <w:bookmarkStart w:id="128" w:name="_Toc152045537"/>
      <w:bookmarkStart w:id="129" w:name="_Toc247085696"/>
      <w:bookmarkStart w:id="130" w:name="_Toc179632554"/>
      <w:bookmarkStart w:id="131" w:name="_Toc338840194"/>
      <w:r>
        <w:rPr>
          <w:rFonts w:hint="eastAsia" w:ascii="宋体" w:hAnsi="宋体"/>
          <w:highlight w:val="none"/>
        </w:rPr>
        <w:t>1.7 语言</w:t>
      </w:r>
      <w:bookmarkEnd w:id="124"/>
      <w:r>
        <w:rPr>
          <w:rFonts w:hint="eastAsia" w:ascii="宋体" w:hAnsi="宋体"/>
          <w:highlight w:val="none"/>
        </w:rPr>
        <w:t>文字</w:t>
      </w:r>
      <w:bookmarkEnd w:id="125"/>
      <w:bookmarkEnd w:id="126"/>
      <w:bookmarkEnd w:id="127"/>
      <w:bookmarkEnd w:id="128"/>
      <w:bookmarkEnd w:id="129"/>
      <w:bookmarkEnd w:id="130"/>
      <w:bookmarkEnd w:id="131"/>
    </w:p>
    <w:p w14:paraId="2DDD3081">
      <w:pPr>
        <w:spacing w:line="400" w:lineRule="exact"/>
        <w:ind w:firstLine="420" w:firstLineChars="200"/>
        <w:rPr>
          <w:rFonts w:ascii="宋体" w:hAnsi="宋体"/>
          <w:highlight w:val="none"/>
        </w:rPr>
      </w:pPr>
      <w:bookmarkStart w:id="132" w:name="_Toc247085697"/>
      <w:bookmarkStart w:id="133" w:name="_Toc152042314"/>
      <w:bookmarkStart w:id="134" w:name="_Toc246996926"/>
      <w:bookmarkStart w:id="135" w:name="_Toc144974506"/>
      <w:bookmarkStart w:id="136" w:name="_Toc152045538"/>
      <w:bookmarkStart w:id="137" w:name="_Toc246996183"/>
      <w:bookmarkStart w:id="138" w:name="_Toc179632555"/>
      <w:r>
        <w:rPr>
          <w:rFonts w:hint="eastAsia" w:ascii="宋体" w:hAnsi="宋体"/>
          <w:highlight w:val="none"/>
        </w:rPr>
        <w:t>招标投标文件使用的语言文字为中文。专用术语使用外文的，应附有中文注释。证书证件应使用中文版本，无中文版本的应附相应的中文注释。</w:t>
      </w:r>
    </w:p>
    <w:p w14:paraId="031B9C07">
      <w:pPr>
        <w:pStyle w:val="4"/>
        <w:outlineLvl w:val="2"/>
        <w:rPr>
          <w:rFonts w:ascii="宋体" w:hAnsi="宋体"/>
          <w:highlight w:val="none"/>
        </w:rPr>
      </w:pPr>
      <w:bookmarkStart w:id="139" w:name="_Toc338840195"/>
      <w:r>
        <w:rPr>
          <w:rFonts w:hint="eastAsia" w:ascii="宋体" w:hAnsi="宋体"/>
          <w:highlight w:val="none"/>
        </w:rPr>
        <w:t>1.8 计量单位</w:t>
      </w:r>
      <w:bookmarkEnd w:id="132"/>
      <w:bookmarkEnd w:id="133"/>
      <w:bookmarkEnd w:id="134"/>
      <w:bookmarkEnd w:id="135"/>
      <w:bookmarkEnd w:id="136"/>
      <w:bookmarkEnd w:id="137"/>
      <w:bookmarkEnd w:id="138"/>
      <w:bookmarkEnd w:id="139"/>
    </w:p>
    <w:p w14:paraId="5E69C7F6">
      <w:pPr>
        <w:spacing w:line="400" w:lineRule="exact"/>
        <w:ind w:firstLine="420" w:firstLineChars="200"/>
        <w:rPr>
          <w:rFonts w:ascii="宋体" w:hAnsi="宋体"/>
          <w:highlight w:val="none"/>
        </w:rPr>
      </w:pPr>
      <w:r>
        <w:rPr>
          <w:rFonts w:hint="eastAsia" w:ascii="宋体" w:hAnsi="宋体"/>
          <w:highlight w:val="none"/>
        </w:rPr>
        <w:t>所有计量均采用中华人民共和国法定计量单位。</w:t>
      </w:r>
    </w:p>
    <w:p w14:paraId="79B887AA">
      <w:pPr>
        <w:pStyle w:val="4"/>
        <w:outlineLvl w:val="2"/>
        <w:rPr>
          <w:rFonts w:ascii="宋体" w:hAnsi="宋体"/>
          <w:highlight w:val="none"/>
        </w:rPr>
      </w:pPr>
      <w:bookmarkStart w:id="140" w:name="_Toc144974507"/>
      <w:bookmarkStart w:id="141" w:name="_Toc247592876"/>
      <w:bookmarkStart w:id="142" w:name="_Toc247513962"/>
      <w:bookmarkStart w:id="143" w:name="_Toc247527563"/>
      <w:bookmarkStart w:id="144" w:name="_Toc152042315"/>
      <w:bookmarkStart w:id="145" w:name="_Toc152045539"/>
      <w:bookmarkStart w:id="146" w:name="_Toc338840196"/>
      <w:r>
        <w:rPr>
          <w:rFonts w:hint="eastAsia" w:ascii="宋体" w:hAnsi="宋体"/>
          <w:highlight w:val="none"/>
        </w:rPr>
        <w:t>1.9 踏勘现场</w:t>
      </w:r>
      <w:bookmarkEnd w:id="140"/>
      <w:bookmarkEnd w:id="141"/>
      <w:bookmarkEnd w:id="142"/>
      <w:bookmarkEnd w:id="143"/>
      <w:bookmarkEnd w:id="144"/>
      <w:bookmarkEnd w:id="145"/>
      <w:bookmarkEnd w:id="146"/>
    </w:p>
    <w:p w14:paraId="3604CF8B">
      <w:pPr>
        <w:spacing w:line="400" w:lineRule="exact"/>
        <w:ind w:firstLine="420" w:firstLineChars="200"/>
        <w:rPr>
          <w:rFonts w:ascii="宋体" w:hAnsi="宋体"/>
          <w:highlight w:val="none"/>
        </w:rPr>
      </w:pPr>
      <w:r>
        <w:rPr>
          <w:rFonts w:hint="eastAsia" w:ascii="宋体" w:hAnsi="宋体"/>
          <w:highlight w:val="none"/>
        </w:rPr>
        <w:t xml:space="preserve">1.9.1 供应商须知前附表规定组织踏勘现场的，采购人按供应商须知前附表规定的时间、地点组织供应商踏勘项目现场。 </w:t>
      </w:r>
    </w:p>
    <w:p w14:paraId="34A78289">
      <w:pPr>
        <w:spacing w:line="400" w:lineRule="exact"/>
        <w:ind w:firstLine="420" w:firstLineChars="200"/>
        <w:outlineLvl w:val="3"/>
        <w:rPr>
          <w:rFonts w:ascii="宋体" w:hAnsi="宋体"/>
          <w:highlight w:val="none"/>
        </w:rPr>
      </w:pPr>
      <w:r>
        <w:rPr>
          <w:rFonts w:hint="eastAsia" w:ascii="宋体" w:hAnsi="宋体"/>
          <w:highlight w:val="none"/>
        </w:rPr>
        <w:t>1.9.2 供应商踏勘现场发生的费用自理。</w:t>
      </w:r>
    </w:p>
    <w:p w14:paraId="524C0E93">
      <w:pPr>
        <w:spacing w:line="400" w:lineRule="exact"/>
        <w:ind w:firstLine="420" w:firstLineChars="200"/>
        <w:rPr>
          <w:rFonts w:ascii="宋体" w:hAnsi="宋体"/>
          <w:highlight w:val="none"/>
        </w:rPr>
      </w:pPr>
      <w:r>
        <w:rPr>
          <w:rFonts w:hint="eastAsia" w:ascii="宋体" w:hAnsi="宋体"/>
          <w:highlight w:val="none"/>
        </w:rPr>
        <w:t>1.9.3 除采购人的原因外，供应商自行负责在踏勘现场中所发生的人员伤亡和财产损失。</w:t>
      </w:r>
    </w:p>
    <w:p w14:paraId="5558947D">
      <w:pPr>
        <w:spacing w:line="400" w:lineRule="exact"/>
        <w:ind w:firstLine="420" w:firstLineChars="200"/>
        <w:rPr>
          <w:rFonts w:ascii="宋体" w:hAnsi="宋体"/>
          <w:highlight w:val="none"/>
        </w:rPr>
      </w:pPr>
      <w:r>
        <w:rPr>
          <w:rFonts w:hint="eastAsia" w:ascii="宋体" w:hAnsi="宋体"/>
          <w:highlight w:val="none"/>
        </w:rPr>
        <w:t>1.9.4 采购人在踏勘现场中介绍的有关情况和相关的周边环境情况，供应商在编制投标文件时参考，采购人不对供应商据此作出的判断和决策负责。</w:t>
      </w:r>
    </w:p>
    <w:p w14:paraId="5F29EDF6">
      <w:pPr>
        <w:pStyle w:val="4"/>
        <w:outlineLvl w:val="2"/>
        <w:rPr>
          <w:rFonts w:ascii="宋体" w:hAnsi="宋体"/>
          <w:highlight w:val="none"/>
        </w:rPr>
      </w:pPr>
      <w:bookmarkStart w:id="147" w:name="_Toc247592877"/>
      <w:bookmarkStart w:id="148" w:name="_Toc144974508"/>
      <w:bookmarkStart w:id="149" w:name="_Toc338840197"/>
      <w:bookmarkStart w:id="150" w:name="_Toc247527564"/>
      <w:bookmarkStart w:id="151" w:name="_Toc152042316"/>
      <w:bookmarkStart w:id="152" w:name="_Toc152045540"/>
      <w:bookmarkStart w:id="153" w:name="_Toc247513963"/>
      <w:r>
        <w:rPr>
          <w:rFonts w:hint="eastAsia" w:ascii="宋体" w:hAnsi="宋体"/>
          <w:highlight w:val="none"/>
        </w:rPr>
        <w:t>1.10 投标预备会</w:t>
      </w:r>
      <w:bookmarkEnd w:id="147"/>
      <w:bookmarkEnd w:id="148"/>
      <w:bookmarkEnd w:id="149"/>
      <w:bookmarkEnd w:id="150"/>
      <w:bookmarkEnd w:id="151"/>
      <w:bookmarkEnd w:id="152"/>
      <w:bookmarkEnd w:id="153"/>
    </w:p>
    <w:p w14:paraId="6BD299AB">
      <w:pPr>
        <w:spacing w:line="400" w:lineRule="exact"/>
        <w:ind w:firstLine="420" w:firstLineChars="200"/>
        <w:rPr>
          <w:rFonts w:ascii="宋体" w:hAnsi="宋体"/>
          <w:highlight w:val="none"/>
        </w:rPr>
      </w:pPr>
      <w:r>
        <w:rPr>
          <w:rFonts w:hint="eastAsia" w:ascii="宋体" w:hAnsi="宋体"/>
          <w:highlight w:val="none"/>
        </w:rPr>
        <w:t>1.10.1 供应商须知前附表规定召开投标预备会的，采购人按供应商须知前附表规定的时间和地点召开投标预备会，澄清供应商提出的问题。</w:t>
      </w:r>
    </w:p>
    <w:p w14:paraId="18C6736A">
      <w:pPr>
        <w:spacing w:line="400" w:lineRule="exact"/>
        <w:ind w:firstLine="420" w:firstLineChars="200"/>
        <w:rPr>
          <w:rFonts w:ascii="宋体" w:hAnsi="宋体"/>
          <w:highlight w:val="none"/>
        </w:rPr>
      </w:pPr>
      <w:r>
        <w:rPr>
          <w:rFonts w:hint="eastAsia" w:ascii="宋体" w:hAnsi="宋体"/>
          <w:highlight w:val="none"/>
        </w:rPr>
        <w:t>1.10.2 供应商应在供应商须知前附表规定的时间，以书面形式将提出的问题送达采购人，以便采购人在会议期间澄清。</w:t>
      </w:r>
    </w:p>
    <w:p w14:paraId="0DD7D91B">
      <w:pPr>
        <w:spacing w:line="400" w:lineRule="exact"/>
        <w:ind w:firstLine="420" w:firstLineChars="200"/>
        <w:rPr>
          <w:rFonts w:ascii="宋体" w:hAnsi="宋体"/>
          <w:highlight w:val="none"/>
        </w:rPr>
      </w:pPr>
      <w:r>
        <w:rPr>
          <w:rFonts w:hint="eastAsia" w:ascii="宋体" w:hAnsi="宋体"/>
          <w:highlight w:val="none"/>
        </w:rPr>
        <w:t>1.10.3 投标预备会后，采购人在供应商须知前附表规定的时间内，将对供应商所提问题的澄清，以书面形式通知所有获取招标文件的供应商。该澄清内容为招标文件的组成部分。</w:t>
      </w:r>
    </w:p>
    <w:p w14:paraId="61F65015">
      <w:pPr>
        <w:pStyle w:val="4"/>
        <w:outlineLvl w:val="2"/>
        <w:rPr>
          <w:rFonts w:ascii="宋体" w:hAnsi="宋体"/>
          <w:highlight w:val="none"/>
        </w:rPr>
      </w:pPr>
      <w:bookmarkStart w:id="154" w:name="_Toc338840198"/>
      <w:r>
        <w:rPr>
          <w:rFonts w:hint="eastAsia" w:ascii="宋体" w:hAnsi="宋体"/>
          <w:highlight w:val="none"/>
        </w:rPr>
        <w:t>1.11 响应和偏差</w:t>
      </w:r>
      <w:bookmarkEnd w:id="154"/>
    </w:p>
    <w:p w14:paraId="0E7BD24B">
      <w:pPr>
        <w:spacing w:line="400" w:lineRule="exact"/>
        <w:ind w:firstLine="420" w:firstLineChars="200"/>
        <w:rPr>
          <w:rFonts w:ascii="宋体" w:hAnsi="宋体"/>
          <w:highlight w:val="none"/>
        </w:rPr>
      </w:pPr>
      <w:r>
        <w:rPr>
          <w:rFonts w:hint="eastAsia" w:ascii="宋体" w:hAnsi="宋体"/>
          <w:highlight w:val="none"/>
        </w:rPr>
        <w:t>1.11.1 投标文件应当对招标文件的实质性要求和条件做出实质性响应或更有利于采购人的响应，未实质性响应的投标为无效投标。实质性要求和条件见供应商须知前附表。</w:t>
      </w:r>
    </w:p>
    <w:p w14:paraId="1510BDA5">
      <w:pPr>
        <w:spacing w:line="400" w:lineRule="exact"/>
        <w:ind w:firstLine="420" w:firstLineChars="200"/>
        <w:rPr>
          <w:rFonts w:ascii="宋体" w:hAnsi="宋体"/>
          <w:highlight w:val="none"/>
        </w:rPr>
      </w:pPr>
      <w:r>
        <w:rPr>
          <w:rFonts w:hint="eastAsia" w:ascii="宋体" w:hAnsi="宋体"/>
          <w:highlight w:val="none"/>
        </w:rPr>
        <w:t>1.11.2 供应商应详细写明投标设备的技术性能指标，详细写明服务计划和服务内容。针对投标设备的技术性能指标，提供生产企业关于该投标产品的相应技术支持资料。</w:t>
      </w:r>
    </w:p>
    <w:p w14:paraId="15054530">
      <w:pPr>
        <w:spacing w:line="400" w:lineRule="exact"/>
        <w:ind w:firstLine="420" w:firstLineChars="200"/>
        <w:rPr>
          <w:rFonts w:ascii="宋体" w:hAnsi="宋体"/>
          <w:highlight w:val="none"/>
        </w:rPr>
      </w:pPr>
      <w:r>
        <w:rPr>
          <w:rFonts w:hint="eastAsia" w:ascii="宋体" w:hAnsi="宋体"/>
          <w:highlight w:val="none"/>
        </w:rPr>
        <w:t>1.11.3</w:t>
      </w:r>
      <w:r>
        <w:rPr>
          <w:rFonts w:ascii="宋体" w:hAnsi="宋体"/>
          <w:highlight w:val="none"/>
        </w:rPr>
        <w:t xml:space="preserve"> </w:t>
      </w:r>
      <w:r>
        <w:rPr>
          <w:rFonts w:hint="eastAsia" w:ascii="宋体" w:hAnsi="宋体"/>
          <w:highlight w:val="none"/>
        </w:rPr>
        <w:t>投标文件</w:t>
      </w:r>
      <w:r>
        <w:rPr>
          <w:rFonts w:ascii="宋体" w:hAnsi="宋体"/>
          <w:highlight w:val="none"/>
        </w:rPr>
        <w:t>对</w:t>
      </w:r>
      <w:r>
        <w:rPr>
          <w:rFonts w:hint="eastAsia" w:ascii="宋体" w:hAnsi="宋体"/>
          <w:highlight w:val="none"/>
        </w:rPr>
        <w:t>招标文件的全部偏差，均应在投标文件的商务和技术偏差表中列明并做出详细说明。</w:t>
      </w:r>
    </w:p>
    <w:p w14:paraId="1AF43D6C">
      <w:pPr>
        <w:pStyle w:val="3"/>
        <w:outlineLvl w:val="1"/>
        <w:rPr>
          <w:rFonts w:ascii="宋体" w:hAnsi="宋体" w:eastAsia="宋体"/>
          <w:highlight w:val="none"/>
        </w:rPr>
      </w:pPr>
      <w:bookmarkStart w:id="155" w:name="_Toc246996187"/>
      <w:bookmarkStart w:id="156" w:name="_Toc338840482"/>
      <w:bookmarkStart w:id="157" w:name="_Toc152045542"/>
      <w:bookmarkStart w:id="158" w:name="_Toc179632560"/>
      <w:bookmarkStart w:id="159" w:name="_Toc346523466"/>
      <w:bookmarkStart w:id="160" w:name="_Toc247085701"/>
      <w:bookmarkStart w:id="161" w:name="_Toc338840199"/>
      <w:bookmarkStart w:id="162" w:name="_Toc494093430"/>
      <w:bookmarkStart w:id="163" w:name="_Toc353"/>
      <w:bookmarkStart w:id="164" w:name="_Toc9338"/>
      <w:bookmarkStart w:id="165" w:name="_Toc346523403"/>
      <w:bookmarkStart w:id="166" w:name="_Toc338840443"/>
      <w:bookmarkStart w:id="167" w:name="_Toc152042318"/>
      <w:bookmarkStart w:id="168" w:name="_Toc25958"/>
      <w:bookmarkStart w:id="169" w:name="_Toc28300"/>
      <w:bookmarkStart w:id="170" w:name="_Toc22322"/>
      <w:bookmarkStart w:id="171" w:name="_Toc14198"/>
      <w:bookmarkStart w:id="172" w:name="_Toc246996930"/>
      <w:bookmarkStart w:id="173" w:name="_Toc494526402"/>
      <w:bookmarkStart w:id="174" w:name="_Toc144974510"/>
      <w:r>
        <w:rPr>
          <w:rFonts w:hint="eastAsia" w:ascii="宋体" w:hAnsi="宋体" w:eastAsia="宋体"/>
          <w:highlight w:val="none"/>
        </w:rPr>
        <w:t>2. 招标文件</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14:paraId="4E148D6F">
      <w:pPr>
        <w:pStyle w:val="4"/>
        <w:outlineLvl w:val="2"/>
        <w:rPr>
          <w:rFonts w:ascii="宋体" w:hAnsi="宋体"/>
          <w:highlight w:val="none"/>
        </w:rPr>
      </w:pPr>
      <w:bookmarkStart w:id="175" w:name="_Toc247085702"/>
      <w:bookmarkStart w:id="176" w:name="_Toc246996931"/>
      <w:bookmarkStart w:id="177" w:name="_Toc152042319"/>
      <w:bookmarkStart w:id="178" w:name="_Toc246996188"/>
      <w:bookmarkStart w:id="179" w:name="_Toc179632561"/>
      <w:bookmarkStart w:id="180" w:name="_Toc338840200"/>
      <w:bookmarkStart w:id="181" w:name="_Toc152045543"/>
      <w:bookmarkStart w:id="182" w:name="_Toc144974511"/>
      <w:r>
        <w:rPr>
          <w:rFonts w:hint="eastAsia" w:ascii="宋体" w:hAnsi="宋体"/>
          <w:highlight w:val="none"/>
        </w:rPr>
        <w:t>2.1 招标文件的组成</w:t>
      </w:r>
      <w:bookmarkEnd w:id="175"/>
      <w:bookmarkEnd w:id="176"/>
      <w:bookmarkEnd w:id="177"/>
      <w:bookmarkEnd w:id="178"/>
      <w:bookmarkEnd w:id="179"/>
      <w:bookmarkEnd w:id="180"/>
      <w:bookmarkEnd w:id="181"/>
      <w:bookmarkEnd w:id="182"/>
    </w:p>
    <w:p w14:paraId="0FE4C458">
      <w:pPr>
        <w:spacing w:line="400" w:lineRule="exact"/>
        <w:outlineLvl w:val="3"/>
        <w:rPr>
          <w:rFonts w:ascii="宋体" w:hAnsi="宋体"/>
          <w:highlight w:val="none"/>
        </w:rPr>
      </w:pPr>
      <w:r>
        <w:rPr>
          <w:rFonts w:hint="eastAsia" w:ascii="宋体" w:hAnsi="宋体"/>
          <w:highlight w:val="none"/>
        </w:rPr>
        <w:t>　　2.1.1 本招标文件包括：</w:t>
      </w:r>
    </w:p>
    <w:p w14:paraId="0D81509C">
      <w:pPr>
        <w:spacing w:line="400" w:lineRule="exact"/>
        <w:ind w:firstLine="359" w:firstLineChars="171"/>
        <w:rPr>
          <w:rFonts w:ascii="宋体" w:hAnsi="宋体"/>
          <w:highlight w:val="none"/>
        </w:rPr>
      </w:pPr>
      <w:r>
        <w:rPr>
          <w:rFonts w:hint="eastAsia" w:ascii="宋体" w:hAnsi="宋体"/>
          <w:highlight w:val="none"/>
        </w:rPr>
        <w:t>（1）招标公告；</w:t>
      </w:r>
    </w:p>
    <w:p w14:paraId="5A304CE5">
      <w:pPr>
        <w:spacing w:line="400" w:lineRule="exact"/>
        <w:ind w:firstLine="359" w:firstLineChars="171"/>
        <w:rPr>
          <w:rFonts w:ascii="宋体" w:hAnsi="宋体"/>
          <w:highlight w:val="none"/>
        </w:rPr>
      </w:pPr>
      <w:r>
        <w:rPr>
          <w:rFonts w:hint="eastAsia" w:ascii="宋体" w:hAnsi="宋体"/>
          <w:highlight w:val="none"/>
        </w:rPr>
        <w:t>（2）供应商须知；</w:t>
      </w:r>
    </w:p>
    <w:p w14:paraId="1B0A899B">
      <w:pPr>
        <w:spacing w:line="400" w:lineRule="exact"/>
        <w:ind w:firstLine="359" w:firstLineChars="171"/>
        <w:rPr>
          <w:rFonts w:ascii="宋体" w:hAnsi="宋体"/>
          <w:highlight w:val="none"/>
        </w:rPr>
      </w:pPr>
      <w:r>
        <w:rPr>
          <w:rFonts w:hint="eastAsia" w:ascii="宋体" w:hAnsi="宋体"/>
          <w:highlight w:val="none"/>
        </w:rPr>
        <w:t>（3）评标办法；</w:t>
      </w:r>
    </w:p>
    <w:p w14:paraId="188F35CE">
      <w:pPr>
        <w:spacing w:line="400" w:lineRule="exact"/>
        <w:ind w:firstLine="359" w:firstLineChars="171"/>
        <w:rPr>
          <w:rFonts w:ascii="宋体" w:hAnsi="宋体"/>
          <w:highlight w:val="none"/>
        </w:rPr>
      </w:pPr>
      <w:r>
        <w:rPr>
          <w:rFonts w:hint="eastAsia" w:ascii="宋体" w:hAnsi="宋体"/>
          <w:highlight w:val="none"/>
        </w:rPr>
        <w:t>（4）合同条款及格式；</w:t>
      </w:r>
    </w:p>
    <w:p w14:paraId="38EF3164">
      <w:pPr>
        <w:spacing w:line="400" w:lineRule="exact"/>
        <w:ind w:firstLine="359" w:firstLineChars="171"/>
        <w:rPr>
          <w:rFonts w:ascii="宋体" w:hAnsi="宋体"/>
          <w:highlight w:val="none"/>
        </w:rPr>
      </w:pPr>
      <w:r>
        <w:rPr>
          <w:rFonts w:hint="eastAsia" w:ascii="宋体" w:hAnsi="宋体"/>
          <w:highlight w:val="none"/>
        </w:rPr>
        <w:t xml:space="preserve">（5）招标内容及商务技术要求； </w:t>
      </w:r>
    </w:p>
    <w:p w14:paraId="32606D8D">
      <w:pPr>
        <w:spacing w:line="400" w:lineRule="exact"/>
        <w:ind w:firstLine="359" w:firstLineChars="171"/>
        <w:rPr>
          <w:rFonts w:ascii="宋体" w:hAnsi="宋体"/>
          <w:highlight w:val="none"/>
        </w:rPr>
      </w:pPr>
      <w:r>
        <w:rPr>
          <w:rFonts w:hint="eastAsia" w:ascii="宋体" w:hAnsi="宋体"/>
          <w:highlight w:val="none"/>
        </w:rPr>
        <w:t>（6）投标文件格式；</w:t>
      </w:r>
    </w:p>
    <w:p w14:paraId="4667C74F">
      <w:pPr>
        <w:spacing w:line="400" w:lineRule="exact"/>
        <w:ind w:firstLine="359" w:firstLineChars="171"/>
        <w:rPr>
          <w:rFonts w:ascii="宋体" w:hAnsi="宋体"/>
          <w:highlight w:val="none"/>
        </w:rPr>
      </w:pPr>
      <w:r>
        <w:rPr>
          <w:rFonts w:hint="eastAsia" w:ascii="宋体" w:hAnsi="宋体"/>
          <w:highlight w:val="none"/>
        </w:rPr>
        <w:t>（7）供应商须知前附表规定的其他材料。</w:t>
      </w:r>
    </w:p>
    <w:p w14:paraId="56D9FFBF">
      <w:pPr>
        <w:spacing w:line="400" w:lineRule="exact"/>
        <w:ind w:firstLine="420" w:firstLineChars="200"/>
        <w:outlineLvl w:val="9"/>
        <w:rPr>
          <w:rFonts w:ascii="宋体" w:hAnsi="宋体"/>
          <w:highlight w:val="none"/>
        </w:rPr>
      </w:pPr>
      <w:r>
        <w:rPr>
          <w:rFonts w:hint="eastAsia" w:ascii="宋体" w:hAnsi="宋体"/>
          <w:highlight w:val="none"/>
        </w:rPr>
        <w:t>2.1.2 根据本章第1.10款、第2.2款对招标文件所作的澄清、修改，构成招标文件的组成部分。</w:t>
      </w:r>
    </w:p>
    <w:p w14:paraId="61F21751">
      <w:pPr>
        <w:pStyle w:val="4"/>
        <w:outlineLvl w:val="2"/>
        <w:rPr>
          <w:rFonts w:ascii="宋体" w:hAnsi="宋体"/>
          <w:highlight w:val="none"/>
        </w:rPr>
      </w:pPr>
      <w:bookmarkStart w:id="183" w:name="_Toc144974512"/>
      <w:bookmarkStart w:id="184" w:name="_Toc246996932"/>
      <w:bookmarkStart w:id="185" w:name="_Toc246996189"/>
      <w:bookmarkStart w:id="186" w:name="_Toc179632562"/>
      <w:bookmarkStart w:id="187" w:name="_Toc152045544"/>
      <w:bookmarkStart w:id="188" w:name="_Toc152042320"/>
      <w:bookmarkStart w:id="189" w:name="_Toc338840201"/>
      <w:bookmarkStart w:id="190" w:name="_Toc247085703"/>
      <w:r>
        <w:rPr>
          <w:rFonts w:hint="eastAsia" w:ascii="宋体" w:hAnsi="宋体"/>
          <w:highlight w:val="none"/>
        </w:rPr>
        <w:t>2.2 招标文件的澄清</w:t>
      </w:r>
      <w:bookmarkEnd w:id="183"/>
      <w:bookmarkEnd w:id="184"/>
      <w:bookmarkEnd w:id="185"/>
      <w:bookmarkEnd w:id="186"/>
      <w:bookmarkEnd w:id="187"/>
      <w:bookmarkEnd w:id="188"/>
      <w:bookmarkEnd w:id="189"/>
      <w:bookmarkEnd w:id="190"/>
      <w:r>
        <w:rPr>
          <w:rFonts w:hint="eastAsia" w:ascii="宋体" w:hAnsi="宋体"/>
          <w:highlight w:val="none"/>
        </w:rPr>
        <w:t xml:space="preserve">和修改 </w:t>
      </w:r>
    </w:p>
    <w:p w14:paraId="7754EFA4">
      <w:pPr>
        <w:spacing w:line="400" w:lineRule="exact"/>
        <w:ind w:firstLine="420" w:firstLineChars="200"/>
        <w:rPr>
          <w:rFonts w:ascii="宋体" w:hAnsi="宋体"/>
          <w:highlight w:val="none"/>
        </w:rPr>
      </w:pPr>
      <w:r>
        <w:rPr>
          <w:rFonts w:hint="eastAsia" w:ascii="宋体" w:hAnsi="宋体"/>
          <w:highlight w:val="none"/>
        </w:rPr>
        <w:t>2.2.1 供应商应仔细阅读和检查招标文件的全部内容。</w:t>
      </w:r>
      <w:r>
        <w:rPr>
          <w:rFonts w:hint="eastAsia" w:ascii="宋体" w:hAnsi="宋体"/>
          <w:szCs w:val="21"/>
          <w:highlight w:val="none"/>
        </w:rPr>
        <w:t>如发现缺页或附件不全，应及时向采购人提出，以便补齐。</w:t>
      </w:r>
      <w:r>
        <w:rPr>
          <w:rFonts w:hint="eastAsia" w:ascii="宋体" w:hAnsi="宋体"/>
          <w:highlight w:val="none"/>
        </w:rPr>
        <w:t>如有疑问，应在供应商须知前附表规定的时间前以书面形式提出，要求采购人对招标文件予以澄清。</w:t>
      </w:r>
    </w:p>
    <w:p w14:paraId="541C4DB6">
      <w:pPr>
        <w:spacing w:line="400" w:lineRule="exact"/>
        <w:ind w:firstLine="420" w:firstLineChars="200"/>
        <w:rPr>
          <w:rFonts w:ascii="宋体" w:hAnsi="宋体"/>
          <w:highlight w:val="none"/>
        </w:rPr>
      </w:pPr>
      <w:r>
        <w:rPr>
          <w:rFonts w:hint="eastAsia" w:ascii="宋体" w:hAnsi="宋体"/>
          <w:highlight w:val="none"/>
        </w:rPr>
        <w:t xml:space="preserve">2.2.2 招标文件的澄清将以公告形式发出不再以书面形式单独发给所有已获取招标文件的供应商。如果澄清发出的时间距供应商须知前附表规定的投标截止时间不足15天，并且澄清内容影响投标文件编制的，将相应延长投标截止时间。 </w:t>
      </w:r>
    </w:p>
    <w:p w14:paraId="1B16D0F5">
      <w:pPr>
        <w:spacing w:line="400" w:lineRule="exact"/>
        <w:ind w:firstLine="420" w:firstLineChars="200"/>
        <w:rPr>
          <w:rFonts w:ascii="宋体" w:hAnsi="宋体"/>
          <w:highlight w:val="none"/>
        </w:rPr>
      </w:pPr>
      <w:r>
        <w:rPr>
          <w:rFonts w:hint="eastAsia" w:ascii="宋体" w:hAnsi="宋体"/>
          <w:highlight w:val="none"/>
        </w:rPr>
        <w:t>2.2.3 供应商应及时关注相关媒体，查看澄清和修改公告后无需以书面形式回复通知采购人。</w:t>
      </w:r>
    </w:p>
    <w:p w14:paraId="249D60DD">
      <w:pPr>
        <w:spacing w:line="400" w:lineRule="exact"/>
        <w:ind w:firstLine="420" w:firstLineChars="200"/>
        <w:rPr>
          <w:rFonts w:ascii="宋体" w:hAnsi="宋体"/>
          <w:highlight w:val="none"/>
        </w:rPr>
      </w:pPr>
      <w:r>
        <w:rPr>
          <w:rFonts w:hint="eastAsia" w:ascii="宋体" w:hAnsi="宋体"/>
          <w:highlight w:val="none"/>
        </w:rPr>
        <w:t>2.2.4 除非采购人认为确有必要答复，否则，采购人有权拒绝回复供应商在本章第 2.2.1 项规定的时间后的任何澄清要求。</w:t>
      </w:r>
    </w:p>
    <w:p w14:paraId="77F0793C">
      <w:pPr>
        <w:pStyle w:val="3"/>
        <w:outlineLvl w:val="1"/>
        <w:rPr>
          <w:rFonts w:ascii="宋体" w:hAnsi="宋体" w:eastAsia="宋体"/>
          <w:highlight w:val="none"/>
        </w:rPr>
      </w:pPr>
      <w:bookmarkStart w:id="191" w:name="_Toc9061"/>
      <w:bookmarkStart w:id="192" w:name="_Toc14285"/>
      <w:bookmarkStart w:id="193" w:name="_Toc179632564"/>
      <w:bookmarkStart w:id="194" w:name="_Toc32135"/>
      <w:bookmarkStart w:id="195" w:name="_Toc346523467"/>
      <w:bookmarkStart w:id="196" w:name="_Toc246996191"/>
      <w:bookmarkStart w:id="197" w:name="_Toc338840203"/>
      <w:bookmarkStart w:id="198" w:name="_Toc144974514"/>
      <w:bookmarkStart w:id="199" w:name="_Toc152042322"/>
      <w:bookmarkStart w:id="200" w:name="_Toc338840444"/>
      <w:bookmarkStart w:id="201" w:name="_Toc246996934"/>
      <w:bookmarkStart w:id="202" w:name="_Toc247085705"/>
      <w:bookmarkStart w:id="203" w:name="_Toc8262"/>
      <w:bookmarkStart w:id="204" w:name="_Toc494526403"/>
      <w:bookmarkStart w:id="205" w:name="_Toc25551"/>
      <w:bookmarkStart w:id="206" w:name="_Toc10395"/>
      <w:bookmarkStart w:id="207" w:name="_Toc494093431"/>
      <w:bookmarkStart w:id="208" w:name="_Toc338840483"/>
      <w:bookmarkStart w:id="209" w:name="_Toc152045546"/>
      <w:bookmarkStart w:id="210" w:name="_Toc346523404"/>
      <w:r>
        <w:rPr>
          <w:rFonts w:hint="eastAsia" w:ascii="宋体" w:hAnsi="宋体" w:eastAsia="宋体"/>
          <w:highlight w:val="none"/>
        </w:rPr>
        <w:t>3. 投标文件</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14:paraId="211020AD">
      <w:pPr>
        <w:pStyle w:val="4"/>
        <w:outlineLvl w:val="2"/>
        <w:rPr>
          <w:rFonts w:ascii="宋体" w:hAnsi="宋体"/>
          <w:highlight w:val="none"/>
        </w:rPr>
      </w:pPr>
      <w:bookmarkStart w:id="211" w:name="_Toc152045547"/>
      <w:bookmarkStart w:id="212" w:name="_Toc144974515"/>
      <w:bookmarkStart w:id="213" w:name="_Toc246996935"/>
      <w:bookmarkStart w:id="214" w:name="_Toc338840204"/>
      <w:bookmarkStart w:id="215" w:name="_Toc246996192"/>
      <w:bookmarkStart w:id="216" w:name="_Toc247085706"/>
      <w:bookmarkStart w:id="217" w:name="_Toc152042323"/>
      <w:bookmarkStart w:id="218" w:name="_Toc179632565"/>
      <w:r>
        <w:rPr>
          <w:rFonts w:hint="eastAsia" w:ascii="宋体" w:hAnsi="宋体"/>
          <w:highlight w:val="none"/>
        </w:rPr>
        <w:t>3.1 投标文件的组成</w:t>
      </w:r>
      <w:bookmarkEnd w:id="211"/>
      <w:bookmarkEnd w:id="212"/>
      <w:bookmarkEnd w:id="213"/>
      <w:bookmarkEnd w:id="214"/>
      <w:bookmarkEnd w:id="215"/>
      <w:bookmarkEnd w:id="216"/>
      <w:bookmarkEnd w:id="217"/>
      <w:bookmarkEnd w:id="218"/>
    </w:p>
    <w:p w14:paraId="04516702">
      <w:pPr>
        <w:spacing w:line="400" w:lineRule="exact"/>
        <w:ind w:firstLine="420" w:firstLineChars="200"/>
        <w:rPr>
          <w:rFonts w:ascii="宋体" w:hAnsi="宋体"/>
          <w:highlight w:val="none"/>
        </w:rPr>
      </w:pPr>
      <w:r>
        <w:rPr>
          <w:rFonts w:hint="eastAsia" w:ascii="宋体" w:hAnsi="宋体"/>
          <w:highlight w:val="none"/>
        </w:rPr>
        <w:t>投标文件应包括的内容：见第六章投标文件格式。</w:t>
      </w:r>
    </w:p>
    <w:p w14:paraId="78294641">
      <w:pPr>
        <w:pStyle w:val="4"/>
        <w:outlineLvl w:val="2"/>
        <w:rPr>
          <w:rFonts w:ascii="宋体" w:hAnsi="宋体"/>
          <w:sz w:val="21"/>
          <w:szCs w:val="21"/>
          <w:highlight w:val="none"/>
        </w:rPr>
      </w:pPr>
      <w:bookmarkStart w:id="219" w:name="_Toc144974516"/>
      <w:bookmarkStart w:id="220" w:name="_Toc338840205"/>
      <w:bookmarkStart w:id="221" w:name="_Toc179632566"/>
      <w:bookmarkStart w:id="222" w:name="_Toc247085707"/>
      <w:bookmarkStart w:id="223" w:name="_Toc246996936"/>
      <w:bookmarkStart w:id="224" w:name="_Toc246996193"/>
      <w:bookmarkStart w:id="225" w:name="_Toc152045548"/>
      <w:bookmarkStart w:id="226" w:name="_Toc152042324"/>
      <w:r>
        <w:rPr>
          <w:rFonts w:hint="eastAsia" w:ascii="宋体" w:hAnsi="宋体"/>
          <w:highlight w:val="none"/>
        </w:rPr>
        <w:t>3.2 投标报价</w:t>
      </w:r>
      <w:bookmarkEnd w:id="219"/>
      <w:bookmarkEnd w:id="220"/>
      <w:bookmarkEnd w:id="221"/>
      <w:bookmarkEnd w:id="222"/>
      <w:bookmarkEnd w:id="223"/>
      <w:bookmarkEnd w:id="224"/>
      <w:bookmarkEnd w:id="225"/>
      <w:bookmarkEnd w:id="226"/>
    </w:p>
    <w:p w14:paraId="646BABC6">
      <w:pPr>
        <w:spacing w:line="400" w:lineRule="exact"/>
        <w:ind w:firstLine="420" w:firstLineChars="200"/>
        <w:outlineLvl w:val="3"/>
        <w:rPr>
          <w:rFonts w:ascii="宋体" w:hAnsi="宋体"/>
          <w:highlight w:val="none"/>
        </w:rPr>
      </w:pPr>
      <w:r>
        <w:rPr>
          <w:rFonts w:hint="eastAsia" w:ascii="宋体" w:hAnsi="宋体"/>
          <w:highlight w:val="none"/>
        </w:rPr>
        <w:t>3.2.1 报价范围：见供应商须知前附表。</w:t>
      </w:r>
    </w:p>
    <w:p w14:paraId="093D72FC">
      <w:pPr>
        <w:spacing w:line="400" w:lineRule="exact"/>
        <w:ind w:firstLine="420" w:firstLineChars="200"/>
        <w:rPr>
          <w:rFonts w:ascii="宋体" w:hAnsi="宋体"/>
          <w:highlight w:val="none"/>
        </w:rPr>
      </w:pPr>
      <w:r>
        <w:rPr>
          <w:rFonts w:hint="eastAsia" w:ascii="宋体" w:hAnsi="宋体"/>
          <w:highlight w:val="none"/>
        </w:rPr>
        <w:t xml:space="preserve">3.2.2 </w:t>
      </w:r>
      <w:r>
        <w:rPr>
          <w:rFonts w:hint="eastAsia" w:ascii="宋体" w:hAnsi="宋体"/>
          <w:szCs w:val="21"/>
          <w:highlight w:val="none"/>
        </w:rPr>
        <w:t>报价应具有唯一性，即投标函中只能有一个有效投标报价（招标文件另有要求的除外）。本项目</w:t>
      </w:r>
      <w:r>
        <w:rPr>
          <w:rFonts w:hint="eastAsia" w:ascii="宋体" w:hAnsi="宋体"/>
          <w:kern w:val="0"/>
          <w:szCs w:val="21"/>
          <w:highlight w:val="none"/>
        </w:rPr>
        <w:t>不接受任何有选择性的报价</w:t>
      </w:r>
      <w:bookmarkStart w:id="227" w:name="_Toc179632567"/>
      <w:bookmarkStart w:id="228" w:name="_Toc144974517"/>
      <w:bookmarkStart w:id="229" w:name="_Toc152042325"/>
      <w:bookmarkStart w:id="230" w:name="_Toc152045549"/>
      <w:r>
        <w:rPr>
          <w:rFonts w:hint="eastAsia" w:ascii="宋体" w:hAnsi="宋体"/>
          <w:kern w:val="0"/>
          <w:szCs w:val="21"/>
          <w:highlight w:val="none"/>
        </w:rPr>
        <w:t>。</w:t>
      </w:r>
    </w:p>
    <w:p w14:paraId="1A20C13A">
      <w:pPr>
        <w:spacing w:line="400" w:lineRule="exact"/>
        <w:ind w:firstLine="420" w:firstLineChars="200"/>
        <w:rPr>
          <w:rFonts w:ascii="宋体" w:hAnsi="宋体"/>
          <w:highlight w:val="none"/>
        </w:rPr>
      </w:pPr>
      <w:r>
        <w:rPr>
          <w:rFonts w:hint="eastAsia" w:ascii="宋体" w:hAnsi="宋体"/>
          <w:highlight w:val="none"/>
        </w:rPr>
        <w:t>3.2.3 采购人设有最高限价的，最高限价在供应商须知前附表中载明。</w:t>
      </w:r>
    </w:p>
    <w:p w14:paraId="7F8D26BE">
      <w:pPr>
        <w:spacing w:line="400" w:lineRule="exact"/>
        <w:ind w:firstLine="420" w:firstLineChars="200"/>
        <w:outlineLvl w:val="3"/>
        <w:rPr>
          <w:rFonts w:ascii="宋体" w:hAnsi="宋体"/>
          <w:highlight w:val="none"/>
        </w:rPr>
      </w:pPr>
      <w:r>
        <w:rPr>
          <w:rFonts w:hint="eastAsia" w:ascii="宋体" w:hAnsi="宋体"/>
          <w:highlight w:val="none"/>
        </w:rPr>
        <w:t>3.2.4 报价币种：见供应商须知前附表。</w:t>
      </w:r>
    </w:p>
    <w:p w14:paraId="3541A16D">
      <w:pPr>
        <w:pStyle w:val="4"/>
        <w:outlineLvl w:val="2"/>
        <w:rPr>
          <w:rFonts w:ascii="宋体" w:hAnsi="宋体"/>
          <w:highlight w:val="none"/>
        </w:rPr>
      </w:pPr>
      <w:bookmarkStart w:id="231" w:name="_Toc338840206"/>
      <w:bookmarkStart w:id="232" w:name="_Toc247085708"/>
      <w:bookmarkStart w:id="233" w:name="_Toc246996194"/>
      <w:bookmarkStart w:id="234" w:name="_Toc246996937"/>
      <w:r>
        <w:rPr>
          <w:rFonts w:hint="eastAsia" w:ascii="宋体" w:hAnsi="宋体"/>
          <w:highlight w:val="none"/>
        </w:rPr>
        <w:t>3.3 投标有效期</w:t>
      </w:r>
      <w:bookmarkEnd w:id="227"/>
      <w:bookmarkEnd w:id="228"/>
      <w:bookmarkEnd w:id="229"/>
      <w:bookmarkEnd w:id="230"/>
      <w:bookmarkEnd w:id="231"/>
      <w:bookmarkEnd w:id="232"/>
      <w:bookmarkEnd w:id="233"/>
      <w:bookmarkEnd w:id="234"/>
    </w:p>
    <w:p w14:paraId="70384FBA">
      <w:pPr>
        <w:spacing w:line="400" w:lineRule="exact"/>
        <w:ind w:firstLine="420" w:firstLineChars="200"/>
        <w:rPr>
          <w:rFonts w:ascii="宋体" w:hAnsi="宋体"/>
          <w:highlight w:val="none"/>
        </w:rPr>
      </w:pPr>
      <w:r>
        <w:rPr>
          <w:rFonts w:hint="eastAsia" w:ascii="宋体" w:hAnsi="宋体"/>
          <w:highlight w:val="none"/>
        </w:rPr>
        <w:t>3.3.1 除供应商须知前附表另有规定外，投标有效期为60天。</w:t>
      </w:r>
    </w:p>
    <w:p w14:paraId="0091FFED">
      <w:pPr>
        <w:spacing w:line="400" w:lineRule="exact"/>
        <w:ind w:firstLine="420" w:firstLineChars="200"/>
        <w:rPr>
          <w:rFonts w:ascii="宋体" w:hAnsi="宋体"/>
          <w:highlight w:val="none"/>
        </w:rPr>
      </w:pPr>
      <w:r>
        <w:rPr>
          <w:rFonts w:hint="eastAsia" w:ascii="宋体" w:hAnsi="宋体"/>
          <w:highlight w:val="none"/>
        </w:rPr>
        <w:t>3.3.2在投标有效期内，供应商撤销或修改其投标文件的，应承担招标文件和法律规定的责任。</w:t>
      </w:r>
    </w:p>
    <w:p w14:paraId="3FF91BE3">
      <w:pPr>
        <w:spacing w:line="400" w:lineRule="exact"/>
        <w:ind w:firstLine="420" w:firstLineChars="200"/>
        <w:rPr>
          <w:rFonts w:ascii="宋体" w:hAnsi="宋体"/>
          <w:szCs w:val="21"/>
          <w:highlight w:val="none"/>
        </w:rPr>
      </w:pPr>
      <w:r>
        <w:rPr>
          <w:rFonts w:hint="eastAsia" w:ascii="宋体" w:hAnsi="宋体"/>
          <w:highlight w:val="none"/>
        </w:rPr>
        <w:t>3.3.3出现特殊情况需要延长投标有效期的，采购人以书面形式通知所有供应商延长投标有效期。供应商同意延长的，应相应延长其投标保证金的有效期，但不得要求或被允许修改或撤销其投标文件；供应商拒绝延长的，其投标失效，但供应商有权收回其投标保证金。</w:t>
      </w:r>
    </w:p>
    <w:p w14:paraId="73A5D98E">
      <w:pPr>
        <w:pStyle w:val="4"/>
        <w:outlineLvl w:val="2"/>
        <w:rPr>
          <w:rFonts w:ascii="宋体" w:hAnsi="宋体"/>
          <w:highlight w:val="none"/>
        </w:rPr>
      </w:pPr>
      <w:bookmarkStart w:id="235" w:name="_Toc247085709"/>
      <w:bookmarkStart w:id="236" w:name="_Toc179632568"/>
      <w:bookmarkStart w:id="237" w:name="_Toc246996195"/>
      <w:bookmarkStart w:id="238" w:name="_Toc246996938"/>
      <w:bookmarkStart w:id="239" w:name="_Toc144974518"/>
      <w:bookmarkStart w:id="240" w:name="_Toc338840207"/>
      <w:bookmarkStart w:id="241" w:name="_Toc152042326"/>
      <w:bookmarkStart w:id="242" w:name="_Toc152045550"/>
      <w:r>
        <w:rPr>
          <w:rFonts w:hint="eastAsia" w:ascii="宋体" w:hAnsi="宋体"/>
          <w:highlight w:val="none"/>
        </w:rPr>
        <w:t xml:space="preserve"> </w:t>
      </w:r>
      <w:bookmarkEnd w:id="235"/>
      <w:bookmarkEnd w:id="236"/>
      <w:bookmarkEnd w:id="237"/>
      <w:bookmarkEnd w:id="238"/>
      <w:bookmarkEnd w:id="239"/>
      <w:bookmarkEnd w:id="240"/>
      <w:bookmarkEnd w:id="241"/>
      <w:bookmarkEnd w:id="242"/>
      <w:r>
        <w:rPr>
          <w:rFonts w:hint="eastAsia" w:ascii="宋体" w:hAnsi="宋体"/>
          <w:highlight w:val="none"/>
        </w:rPr>
        <w:t>3.4 投标保证金</w:t>
      </w:r>
    </w:p>
    <w:p w14:paraId="5A053676">
      <w:pPr>
        <w:spacing w:line="400" w:lineRule="exact"/>
        <w:ind w:firstLine="420" w:firstLineChars="200"/>
        <w:rPr>
          <w:rFonts w:ascii="宋体" w:hAnsi="宋体"/>
          <w:highlight w:val="none"/>
        </w:rPr>
      </w:pPr>
      <w:r>
        <w:rPr>
          <w:rFonts w:hint="eastAsia" w:ascii="宋体" w:hAnsi="宋体"/>
          <w:highlight w:val="none"/>
        </w:rPr>
        <w:t>3.4.1 供应商须知前附表规定递交投标保证金的，供应商在递交投标文件时，应按供应商须知前附表规定的金额、形式或者事先经过采购人认可的递交形式递交投标保证金，并将保证金转账凭据附在投标文件中作为投标文件的组成部分。</w:t>
      </w:r>
    </w:p>
    <w:p w14:paraId="544D925D">
      <w:pPr>
        <w:spacing w:line="400" w:lineRule="exact"/>
        <w:ind w:firstLine="420" w:firstLineChars="200"/>
        <w:rPr>
          <w:rFonts w:ascii="宋体" w:hAnsi="宋体"/>
          <w:highlight w:val="none"/>
        </w:rPr>
      </w:pPr>
      <w:r>
        <w:rPr>
          <w:rFonts w:hint="eastAsia" w:ascii="宋体" w:hAnsi="宋体"/>
          <w:highlight w:val="none"/>
        </w:rPr>
        <w:t>3.4.2供应商不按本章第3.4.1项要求提交保证金的，评标委员会将否决其投标。</w:t>
      </w:r>
    </w:p>
    <w:p w14:paraId="0CB85555">
      <w:pPr>
        <w:spacing w:line="400" w:lineRule="exact"/>
        <w:ind w:firstLine="420" w:firstLineChars="200"/>
        <w:rPr>
          <w:rFonts w:ascii="宋体" w:hAnsi="宋体"/>
          <w:highlight w:val="none"/>
        </w:rPr>
      </w:pPr>
      <w:r>
        <w:rPr>
          <w:rFonts w:hint="eastAsia" w:ascii="宋体" w:hAnsi="宋体"/>
          <w:highlight w:val="none"/>
        </w:rPr>
        <w:t>3.4.3在中标人确定后5个工作日内退还未中标供应商的保证金；合同签订后5个工作日内退还中标人的保证金。</w:t>
      </w:r>
    </w:p>
    <w:p w14:paraId="0F91B0BB">
      <w:pPr>
        <w:spacing w:line="400" w:lineRule="exact"/>
        <w:ind w:firstLine="420" w:firstLineChars="200"/>
        <w:outlineLvl w:val="3"/>
        <w:rPr>
          <w:rFonts w:ascii="宋体" w:hAnsi="宋体"/>
          <w:highlight w:val="none"/>
        </w:rPr>
      </w:pPr>
      <w:r>
        <w:rPr>
          <w:rFonts w:hint="eastAsia" w:ascii="宋体" w:hAnsi="宋体"/>
          <w:highlight w:val="none"/>
        </w:rPr>
        <w:t xml:space="preserve">3.4.4有下列情形之一的，投标保证金将不予退还： </w:t>
      </w:r>
    </w:p>
    <w:p w14:paraId="6C2FD48D">
      <w:pPr>
        <w:spacing w:line="400" w:lineRule="exact"/>
        <w:ind w:firstLine="718" w:firstLineChars="342"/>
        <w:outlineLvl w:val="4"/>
        <w:rPr>
          <w:rFonts w:ascii="宋体" w:hAnsi="宋体"/>
          <w:highlight w:val="none"/>
        </w:rPr>
      </w:pPr>
      <w:r>
        <w:rPr>
          <w:rFonts w:hint="eastAsia" w:ascii="宋体" w:hAnsi="宋体"/>
          <w:highlight w:val="none"/>
        </w:rPr>
        <w:t>（1）供应商在规定的投标有效期内撤销或修改其投标文件；</w:t>
      </w:r>
    </w:p>
    <w:p w14:paraId="35C6D14A">
      <w:pPr>
        <w:spacing w:line="400" w:lineRule="exact"/>
        <w:ind w:firstLine="718" w:firstLineChars="342"/>
        <w:rPr>
          <w:rFonts w:ascii="宋体" w:hAnsi="宋体"/>
          <w:highlight w:val="none"/>
        </w:rPr>
      </w:pPr>
      <w:r>
        <w:rPr>
          <w:rFonts w:hint="eastAsia" w:ascii="宋体" w:hAnsi="宋体"/>
          <w:highlight w:val="none"/>
        </w:rPr>
        <w:t>（2）中标人在收到中标通知书后，无正当理由拒签合同协议书或未按招标文件规定提交履约担保。</w:t>
      </w:r>
    </w:p>
    <w:p w14:paraId="6B4D9070">
      <w:pPr>
        <w:spacing w:line="400" w:lineRule="exact"/>
        <w:ind w:firstLine="718" w:firstLineChars="342"/>
        <w:outlineLvl w:val="4"/>
        <w:rPr>
          <w:rFonts w:ascii="宋体" w:hAnsi="宋体"/>
          <w:highlight w:val="none"/>
        </w:rPr>
      </w:pPr>
      <w:r>
        <w:rPr>
          <w:rFonts w:hint="eastAsia" w:ascii="宋体" w:hAnsi="宋体"/>
          <w:highlight w:val="none"/>
        </w:rPr>
        <w:t>（3）提供虚假资料或存在违法违规行为的。</w:t>
      </w:r>
    </w:p>
    <w:p w14:paraId="1C16D230">
      <w:pPr>
        <w:pStyle w:val="4"/>
        <w:outlineLvl w:val="2"/>
        <w:rPr>
          <w:rFonts w:ascii="宋体" w:hAnsi="宋体"/>
          <w:highlight w:val="none"/>
        </w:rPr>
      </w:pPr>
      <w:bookmarkStart w:id="243" w:name="_Toc152045552"/>
      <w:bookmarkStart w:id="244" w:name="_Toc246996939"/>
      <w:bookmarkStart w:id="245" w:name="_Toc247085710"/>
      <w:bookmarkStart w:id="246" w:name="_Toc338840208"/>
      <w:bookmarkStart w:id="247" w:name="_Toc179632570"/>
      <w:bookmarkStart w:id="248" w:name="_Toc144974520"/>
      <w:bookmarkStart w:id="249" w:name="_Toc246996196"/>
      <w:bookmarkStart w:id="250" w:name="_Toc152042328"/>
      <w:r>
        <w:rPr>
          <w:rFonts w:hint="eastAsia" w:ascii="宋体" w:hAnsi="宋体"/>
          <w:highlight w:val="none"/>
        </w:rPr>
        <w:t>3.5 资格审查资料</w:t>
      </w:r>
      <w:bookmarkEnd w:id="243"/>
      <w:bookmarkEnd w:id="244"/>
      <w:bookmarkEnd w:id="245"/>
      <w:bookmarkEnd w:id="246"/>
      <w:bookmarkEnd w:id="247"/>
      <w:bookmarkEnd w:id="248"/>
      <w:bookmarkEnd w:id="249"/>
      <w:bookmarkEnd w:id="250"/>
    </w:p>
    <w:p w14:paraId="16601D6E">
      <w:pPr>
        <w:spacing w:line="400" w:lineRule="exact"/>
        <w:ind w:firstLine="420" w:firstLineChars="200"/>
        <w:outlineLvl w:val="3"/>
        <w:rPr>
          <w:rFonts w:ascii="宋体" w:hAnsi="宋体"/>
          <w:highlight w:val="none"/>
        </w:rPr>
      </w:pPr>
      <w:r>
        <w:rPr>
          <w:rFonts w:hint="eastAsia" w:ascii="宋体" w:hAnsi="宋体"/>
          <w:highlight w:val="none"/>
        </w:rPr>
        <w:t>3.5.1 资格要求：见供应商须知前附表。</w:t>
      </w:r>
    </w:p>
    <w:p w14:paraId="47F258B7">
      <w:pPr>
        <w:spacing w:line="400" w:lineRule="exact"/>
        <w:ind w:firstLine="420" w:firstLineChars="200"/>
        <w:rPr>
          <w:rFonts w:ascii="宋体" w:hAnsi="宋体"/>
          <w:highlight w:val="none"/>
        </w:rPr>
      </w:pPr>
      <w:r>
        <w:rPr>
          <w:rFonts w:hint="eastAsia" w:ascii="宋体" w:hAnsi="宋体"/>
          <w:highlight w:val="none"/>
        </w:rPr>
        <w:t>供应商须知前附表中要求的供应商资格审查材料应将</w:t>
      </w:r>
      <w:r>
        <w:rPr>
          <w:rFonts w:ascii="宋体" w:hAnsi="宋体"/>
          <w:highlight w:val="none"/>
        </w:rPr>
        <w:t>原件</w:t>
      </w:r>
      <w:r>
        <w:rPr>
          <w:rFonts w:hint="eastAsia" w:ascii="宋体" w:hAnsi="宋体"/>
          <w:highlight w:val="none"/>
        </w:rPr>
        <w:t>扫描件附到投标文件中。</w:t>
      </w:r>
    </w:p>
    <w:p w14:paraId="6C195A40">
      <w:pPr>
        <w:pStyle w:val="4"/>
        <w:outlineLvl w:val="2"/>
        <w:rPr>
          <w:rFonts w:ascii="宋体" w:hAnsi="宋体"/>
          <w:highlight w:val="none"/>
        </w:rPr>
      </w:pPr>
      <w:bookmarkStart w:id="251" w:name="_Toc338840209"/>
      <w:bookmarkStart w:id="252" w:name="_Toc246996197"/>
      <w:bookmarkStart w:id="253" w:name="_Toc179632571"/>
      <w:bookmarkStart w:id="254" w:name="_Toc144974521"/>
      <w:bookmarkStart w:id="255" w:name="_Toc152042329"/>
      <w:bookmarkStart w:id="256" w:name="_Toc152045553"/>
      <w:bookmarkStart w:id="257" w:name="_Toc246996940"/>
      <w:bookmarkStart w:id="258" w:name="_Toc247085711"/>
      <w:r>
        <w:rPr>
          <w:rFonts w:hint="eastAsia" w:ascii="宋体" w:hAnsi="宋体"/>
          <w:highlight w:val="none"/>
        </w:rPr>
        <w:t>3.6投标文件的编制</w:t>
      </w:r>
      <w:bookmarkEnd w:id="251"/>
    </w:p>
    <w:p w14:paraId="3D559527">
      <w:pPr>
        <w:spacing w:line="400" w:lineRule="exact"/>
        <w:ind w:firstLine="420" w:firstLineChars="200"/>
        <w:rPr>
          <w:rFonts w:ascii="宋体" w:hAnsi="宋体"/>
          <w:highlight w:val="none"/>
        </w:rPr>
      </w:pPr>
      <w:r>
        <w:rPr>
          <w:rFonts w:hint="eastAsia" w:ascii="宋体" w:hAnsi="宋体"/>
          <w:highlight w:val="none"/>
        </w:rPr>
        <w:t>3.6.1投标文件应按第六章“投标文件格式”进行编写，如有必要，可以增加附页，作为投标文件的组成部分。在满足招标文件实质性要求的基础上，可以提出比招标文件要求更有利于采购人的承诺。</w:t>
      </w:r>
    </w:p>
    <w:p w14:paraId="55C5FFB0">
      <w:pPr>
        <w:spacing w:line="400" w:lineRule="exact"/>
        <w:ind w:firstLine="420" w:firstLineChars="200"/>
        <w:rPr>
          <w:rFonts w:ascii="宋体" w:hAnsi="宋体"/>
          <w:szCs w:val="21"/>
          <w:highlight w:val="none"/>
        </w:rPr>
      </w:pPr>
      <w:r>
        <w:rPr>
          <w:rFonts w:hint="eastAsia" w:ascii="宋体" w:hAnsi="宋体"/>
          <w:highlight w:val="none"/>
        </w:rPr>
        <w:t>3.6.2 投标文件应当对招标文件有关供应商资格要求、符合性审查要求</w:t>
      </w:r>
      <w:r>
        <w:rPr>
          <w:rFonts w:hint="eastAsia" w:ascii="宋体" w:hAnsi="宋体"/>
          <w:szCs w:val="21"/>
          <w:highlight w:val="none"/>
        </w:rPr>
        <w:t>等实质性内容作出响应。</w:t>
      </w:r>
    </w:p>
    <w:p w14:paraId="3EDE0E88">
      <w:pPr>
        <w:spacing w:line="400" w:lineRule="exact"/>
        <w:ind w:firstLine="420" w:firstLineChars="200"/>
        <w:rPr>
          <w:rFonts w:ascii="宋体" w:hAnsi="宋体"/>
          <w:highlight w:val="none"/>
        </w:rPr>
      </w:pPr>
      <w:r>
        <w:rPr>
          <w:rFonts w:ascii="宋体" w:hAnsi="宋体"/>
          <w:highlight w:val="none"/>
        </w:rPr>
        <w:t>3.</w:t>
      </w:r>
      <w:r>
        <w:rPr>
          <w:rFonts w:hint="eastAsia" w:ascii="宋体" w:hAnsi="宋体"/>
          <w:highlight w:val="none"/>
        </w:rPr>
        <w:t>6</w:t>
      </w:r>
      <w:r>
        <w:rPr>
          <w:rFonts w:ascii="宋体" w:hAnsi="宋体"/>
          <w:highlight w:val="none"/>
        </w:rPr>
        <w:t>.3</w:t>
      </w:r>
      <w:r>
        <w:rPr>
          <w:rFonts w:hint="eastAsia" w:ascii="宋体" w:hAnsi="宋体"/>
          <w:highlight w:val="none"/>
        </w:rPr>
        <w:t>实行电子招标投标时，</w:t>
      </w:r>
      <w:r>
        <w:rPr>
          <w:rFonts w:ascii="宋体" w:hAnsi="宋体"/>
          <w:highlight w:val="none"/>
        </w:rPr>
        <w:t>投标文件全部采用电子文档，除供应商须知前附表另有规定外，投标文件所附证书证件均为原件扫描件，并采用</w:t>
      </w:r>
      <w:r>
        <w:rPr>
          <w:rFonts w:hint="eastAsia" w:ascii="宋体" w:hAnsi="宋体"/>
          <w:szCs w:val="21"/>
          <w:highlight w:val="none"/>
          <w:lang w:val="zh-CN"/>
        </w:rPr>
        <w:t>CA密钥</w:t>
      </w:r>
      <w:r>
        <w:rPr>
          <w:rFonts w:ascii="宋体" w:hAnsi="宋体"/>
          <w:highlight w:val="none"/>
        </w:rPr>
        <w:t>，按招标文件要求在相应位置加盖电子</w:t>
      </w:r>
      <w:r>
        <w:rPr>
          <w:rFonts w:hint="eastAsia" w:ascii="宋体" w:hAnsi="宋体"/>
          <w:highlight w:val="none"/>
          <w:lang w:eastAsia="zh-CN"/>
        </w:rPr>
        <w:t>签章</w:t>
      </w:r>
      <w:r>
        <w:rPr>
          <w:rFonts w:ascii="宋体" w:hAnsi="宋体"/>
          <w:highlight w:val="none"/>
        </w:rPr>
        <w:t>。签字或盖章的具体要求见供应商须知前附表。</w:t>
      </w:r>
    </w:p>
    <w:bookmarkEnd w:id="252"/>
    <w:bookmarkEnd w:id="253"/>
    <w:bookmarkEnd w:id="254"/>
    <w:bookmarkEnd w:id="255"/>
    <w:bookmarkEnd w:id="256"/>
    <w:bookmarkEnd w:id="257"/>
    <w:bookmarkEnd w:id="258"/>
    <w:p w14:paraId="3CADA436">
      <w:pPr>
        <w:pStyle w:val="3"/>
        <w:outlineLvl w:val="1"/>
        <w:rPr>
          <w:rFonts w:ascii="宋体" w:hAnsi="宋体" w:eastAsia="宋体"/>
          <w:highlight w:val="none"/>
        </w:rPr>
      </w:pPr>
      <w:bookmarkStart w:id="259" w:name="_Toc338840445"/>
      <w:bookmarkStart w:id="260" w:name="_Toc179632573"/>
      <w:bookmarkStart w:id="261" w:name="_Toc338840484"/>
      <w:bookmarkStart w:id="262" w:name="_Toc246996199"/>
      <w:bookmarkStart w:id="263" w:name="_Toc346523405"/>
      <w:bookmarkStart w:id="264" w:name="_Toc494526404"/>
      <w:bookmarkStart w:id="265" w:name="_Toc14743"/>
      <w:bookmarkStart w:id="266" w:name="_Toc144974523"/>
      <w:bookmarkStart w:id="267" w:name="_Toc26446"/>
      <w:bookmarkStart w:id="268" w:name="_Toc8915"/>
      <w:bookmarkStart w:id="269" w:name="_Toc2826"/>
      <w:bookmarkStart w:id="270" w:name="_Toc338840210"/>
      <w:bookmarkStart w:id="271" w:name="_Toc246996942"/>
      <w:bookmarkStart w:id="272" w:name="_Toc152045555"/>
      <w:bookmarkStart w:id="273" w:name="_Toc152042331"/>
      <w:bookmarkStart w:id="274" w:name="_Toc25383"/>
      <w:bookmarkStart w:id="275" w:name="_Toc346523468"/>
      <w:bookmarkStart w:id="276" w:name="_Toc494093432"/>
      <w:bookmarkStart w:id="277" w:name="_Toc1961"/>
      <w:bookmarkStart w:id="278" w:name="_Toc247085713"/>
      <w:r>
        <w:rPr>
          <w:rFonts w:hint="eastAsia" w:ascii="宋体" w:hAnsi="宋体" w:eastAsia="宋体"/>
          <w:highlight w:val="none"/>
        </w:rPr>
        <w:t>4. 投标</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14:paraId="560CE900">
      <w:pPr>
        <w:pStyle w:val="4"/>
        <w:outlineLvl w:val="2"/>
        <w:rPr>
          <w:rFonts w:ascii="宋体" w:hAnsi="宋体"/>
          <w:highlight w:val="none"/>
        </w:rPr>
      </w:pPr>
      <w:bookmarkStart w:id="279" w:name="_Toc152042332"/>
      <w:bookmarkStart w:id="280" w:name="_Toc338840211"/>
      <w:bookmarkStart w:id="281" w:name="_Toc246996200"/>
      <w:bookmarkStart w:id="282" w:name="_Toc247085714"/>
      <w:bookmarkStart w:id="283" w:name="_Toc179632574"/>
      <w:bookmarkStart w:id="284" w:name="_Toc152045556"/>
      <w:bookmarkStart w:id="285" w:name="_Toc144974524"/>
      <w:bookmarkStart w:id="286" w:name="_Toc246996943"/>
      <w:r>
        <w:rPr>
          <w:rFonts w:hint="eastAsia" w:ascii="宋体" w:hAnsi="宋体"/>
          <w:highlight w:val="none"/>
        </w:rPr>
        <w:t>4.1 投标文件的加密</w:t>
      </w:r>
      <w:bookmarkEnd w:id="279"/>
      <w:bookmarkEnd w:id="280"/>
      <w:bookmarkEnd w:id="281"/>
      <w:bookmarkEnd w:id="282"/>
      <w:bookmarkEnd w:id="283"/>
      <w:bookmarkEnd w:id="284"/>
      <w:bookmarkEnd w:id="285"/>
      <w:bookmarkEnd w:id="286"/>
    </w:p>
    <w:p w14:paraId="5AC98FE9">
      <w:pPr>
        <w:spacing w:line="400" w:lineRule="exact"/>
        <w:ind w:firstLine="420" w:firstLineChars="200"/>
        <w:rPr>
          <w:rFonts w:ascii="宋体" w:hAnsi="宋体"/>
          <w:highlight w:val="none"/>
        </w:rPr>
      </w:pPr>
      <w:bookmarkStart w:id="287" w:name="_Toc179632575"/>
      <w:bookmarkStart w:id="288" w:name="_Toc144974525"/>
      <w:bookmarkStart w:id="289" w:name="_Toc246996201"/>
      <w:bookmarkStart w:id="290" w:name="_Toc152042333"/>
      <w:bookmarkStart w:id="291" w:name="_Toc247085715"/>
      <w:bookmarkStart w:id="292" w:name="_Toc246996944"/>
      <w:bookmarkStart w:id="293" w:name="_Toc152045557"/>
      <w:r>
        <w:rPr>
          <w:rFonts w:hint="eastAsia" w:ascii="宋体" w:hAnsi="宋体"/>
          <w:highlight w:val="none"/>
        </w:rPr>
        <w:t>4.1.1实行电子招标投标时，</w:t>
      </w:r>
      <w:r>
        <w:rPr>
          <w:rFonts w:ascii="宋体" w:hAnsi="宋体"/>
          <w:highlight w:val="none"/>
        </w:rPr>
        <w:t>供应商应当按照招标文件和电子招标投标交易平台的要求加密投标文件，具体要求见供应商须知前附表。</w:t>
      </w:r>
    </w:p>
    <w:p w14:paraId="5D2F4D80">
      <w:pPr>
        <w:pStyle w:val="4"/>
        <w:outlineLvl w:val="2"/>
        <w:rPr>
          <w:rFonts w:ascii="宋体" w:hAnsi="宋体"/>
          <w:highlight w:val="none"/>
        </w:rPr>
      </w:pPr>
      <w:bookmarkStart w:id="294" w:name="_Toc338840212"/>
      <w:r>
        <w:rPr>
          <w:rFonts w:hint="eastAsia" w:ascii="宋体" w:hAnsi="宋体"/>
          <w:highlight w:val="none"/>
        </w:rPr>
        <w:t>4.2 投标文件的递交</w:t>
      </w:r>
      <w:bookmarkEnd w:id="287"/>
      <w:bookmarkEnd w:id="288"/>
      <w:bookmarkEnd w:id="289"/>
      <w:bookmarkEnd w:id="290"/>
      <w:bookmarkEnd w:id="291"/>
      <w:bookmarkEnd w:id="292"/>
      <w:bookmarkEnd w:id="293"/>
      <w:bookmarkEnd w:id="294"/>
    </w:p>
    <w:p w14:paraId="7C5BD95C">
      <w:pPr>
        <w:spacing w:line="400" w:lineRule="exact"/>
        <w:ind w:firstLine="420" w:firstLineChars="200"/>
        <w:rPr>
          <w:rFonts w:ascii="宋体" w:hAnsi="宋体"/>
          <w:highlight w:val="none"/>
        </w:rPr>
      </w:pPr>
      <w:r>
        <w:rPr>
          <w:rFonts w:hint="eastAsia" w:ascii="宋体" w:hAnsi="宋体"/>
          <w:highlight w:val="none"/>
        </w:rPr>
        <w:t>4.2.1 供应商应在规定的投标截止时间前，通过下载招标文件的电子招标投标交易平台上传提交电子投标文件。</w:t>
      </w:r>
    </w:p>
    <w:p w14:paraId="147853FE">
      <w:pPr>
        <w:spacing w:line="400" w:lineRule="exact"/>
        <w:ind w:firstLine="420" w:firstLineChars="200"/>
        <w:rPr>
          <w:rFonts w:ascii="宋体" w:hAnsi="宋体"/>
          <w:highlight w:val="none"/>
        </w:rPr>
      </w:pPr>
      <w:r>
        <w:rPr>
          <w:rFonts w:hint="eastAsia" w:ascii="宋体" w:hAnsi="宋体"/>
          <w:highlight w:val="none"/>
        </w:rPr>
        <w:t>4.2.2除供应商须知前附表另有规定外，供应商所递交的投标文件不予退还。</w:t>
      </w:r>
    </w:p>
    <w:p w14:paraId="631A031B">
      <w:pPr>
        <w:spacing w:line="400" w:lineRule="exact"/>
        <w:ind w:firstLine="420" w:firstLineChars="200"/>
        <w:rPr>
          <w:rFonts w:ascii="宋体" w:hAnsi="宋体"/>
          <w:highlight w:val="none"/>
        </w:rPr>
      </w:pPr>
      <w:r>
        <w:rPr>
          <w:rFonts w:hint="eastAsia" w:ascii="宋体" w:hAnsi="宋体"/>
          <w:highlight w:val="none"/>
        </w:rPr>
        <w:t>4.2.3逾期送达的投标文件，电子招标投标交易平台将予以拒收。</w:t>
      </w:r>
    </w:p>
    <w:p w14:paraId="3A143917">
      <w:pPr>
        <w:pStyle w:val="4"/>
        <w:outlineLvl w:val="2"/>
        <w:rPr>
          <w:rFonts w:ascii="宋体" w:hAnsi="宋体"/>
          <w:highlight w:val="none"/>
        </w:rPr>
      </w:pPr>
      <w:bookmarkStart w:id="295" w:name="_Toc338840213"/>
      <w:bookmarkStart w:id="296" w:name="_Toc179632576"/>
      <w:bookmarkStart w:id="297" w:name="_Toc152042334"/>
      <w:bookmarkStart w:id="298" w:name="_Toc144974526"/>
      <w:bookmarkStart w:id="299" w:name="_Toc246996945"/>
      <w:bookmarkStart w:id="300" w:name="_Toc246996202"/>
      <w:bookmarkStart w:id="301" w:name="_Toc152045558"/>
      <w:bookmarkStart w:id="302" w:name="_Toc247085716"/>
      <w:r>
        <w:rPr>
          <w:rFonts w:hint="eastAsia" w:ascii="宋体" w:hAnsi="宋体"/>
          <w:highlight w:val="none"/>
        </w:rPr>
        <w:t>4.3 投标文件的修改与撤回</w:t>
      </w:r>
      <w:bookmarkEnd w:id="295"/>
      <w:bookmarkEnd w:id="296"/>
      <w:bookmarkEnd w:id="297"/>
      <w:bookmarkEnd w:id="298"/>
      <w:bookmarkEnd w:id="299"/>
      <w:bookmarkEnd w:id="300"/>
      <w:bookmarkEnd w:id="301"/>
      <w:bookmarkEnd w:id="302"/>
    </w:p>
    <w:p w14:paraId="1C534715">
      <w:pPr>
        <w:spacing w:line="400" w:lineRule="exact"/>
        <w:ind w:firstLine="420" w:firstLineChars="200"/>
        <w:rPr>
          <w:rFonts w:ascii="宋体" w:hAnsi="宋体"/>
          <w:highlight w:val="none"/>
        </w:rPr>
      </w:pPr>
      <w:r>
        <w:rPr>
          <w:rFonts w:hint="eastAsia" w:ascii="宋体" w:hAnsi="宋体"/>
          <w:highlight w:val="none"/>
        </w:rPr>
        <w:t>4.3.1 在规定的投标截止及开标时间前，供应商可以修改或撤回已上传的投标文件。</w:t>
      </w:r>
    </w:p>
    <w:p w14:paraId="3E43AC11">
      <w:pPr>
        <w:pStyle w:val="3"/>
        <w:outlineLvl w:val="1"/>
        <w:rPr>
          <w:rFonts w:ascii="宋体" w:hAnsi="宋体" w:eastAsia="宋体"/>
          <w:highlight w:val="none"/>
        </w:rPr>
      </w:pPr>
      <w:bookmarkStart w:id="303" w:name="_Toc11800"/>
      <w:bookmarkStart w:id="304" w:name="_Toc346523469"/>
      <w:bookmarkStart w:id="305" w:name="_Toc338840485"/>
      <w:bookmarkStart w:id="306" w:name="_Toc20438"/>
      <w:bookmarkStart w:id="307" w:name="_Toc338840214"/>
      <w:bookmarkStart w:id="308" w:name="_Toc16670"/>
      <w:bookmarkStart w:id="309" w:name="_Toc22635"/>
      <w:bookmarkStart w:id="310" w:name="_Toc494093433"/>
      <w:bookmarkStart w:id="311" w:name="_Toc494526405"/>
      <w:bookmarkStart w:id="312" w:name="_Toc19059"/>
      <w:bookmarkStart w:id="313" w:name="_Toc179632577"/>
      <w:bookmarkStart w:id="314" w:name="_Toc18303"/>
      <w:bookmarkStart w:id="315" w:name="_Toc152042335"/>
      <w:bookmarkStart w:id="316" w:name="_Toc144974527"/>
      <w:bookmarkStart w:id="317" w:name="_Toc246996946"/>
      <w:bookmarkStart w:id="318" w:name="_Toc152045559"/>
      <w:bookmarkStart w:id="319" w:name="_Toc346523406"/>
      <w:bookmarkStart w:id="320" w:name="_Toc246996203"/>
      <w:bookmarkStart w:id="321" w:name="_Toc338840446"/>
      <w:bookmarkStart w:id="322" w:name="_Toc247085717"/>
      <w:r>
        <w:rPr>
          <w:rFonts w:hint="eastAsia" w:ascii="宋体" w:hAnsi="宋体" w:eastAsia="宋体"/>
          <w:highlight w:val="none"/>
        </w:rPr>
        <w:t>5. 开标</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14:paraId="55E01C4C">
      <w:pPr>
        <w:pStyle w:val="4"/>
        <w:outlineLvl w:val="2"/>
        <w:rPr>
          <w:rFonts w:ascii="宋体" w:hAnsi="宋体"/>
          <w:highlight w:val="none"/>
        </w:rPr>
      </w:pPr>
      <w:r>
        <w:rPr>
          <w:rFonts w:hint="eastAsia" w:ascii="宋体" w:hAnsi="宋体"/>
          <w:highlight w:val="none"/>
        </w:rPr>
        <w:t>5.1 投标截止及开标时间、地点</w:t>
      </w:r>
    </w:p>
    <w:p w14:paraId="6AED4231">
      <w:pPr>
        <w:spacing w:line="400" w:lineRule="exact"/>
        <w:ind w:firstLine="420" w:firstLineChars="200"/>
        <w:rPr>
          <w:rFonts w:ascii="宋体" w:hAnsi="宋体"/>
          <w:highlight w:val="none"/>
        </w:rPr>
      </w:pPr>
      <w:r>
        <w:rPr>
          <w:rFonts w:hint="eastAsia" w:ascii="宋体" w:hAnsi="宋体"/>
          <w:highlight w:val="none"/>
        </w:rPr>
        <w:t>采购人在规定的投标截止时间（开标时间）,通过电子招标投标交易平台公开开标，邀请所有供应商的法定代表人（单位负责人）或其委托代理人准时参加。</w:t>
      </w:r>
    </w:p>
    <w:p w14:paraId="7637FC88">
      <w:pPr>
        <w:pStyle w:val="4"/>
        <w:outlineLvl w:val="2"/>
        <w:rPr>
          <w:rFonts w:ascii="宋体" w:hAnsi="宋体"/>
          <w:highlight w:val="none"/>
        </w:rPr>
      </w:pPr>
      <w:bookmarkStart w:id="323" w:name="_Toc246996948"/>
      <w:bookmarkStart w:id="324" w:name="_Toc144974529"/>
      <w:bookmarkStart w:id="325" w:name="_Toc246996205"/>
      <w:bookmarkStart w:id="326" w:name="_Toc152042337"/>
      <w:bookmarkStart w:id="327" w:name="_Toc152045561"/>
      <w:bookmarkStart w:id="328" w:name="_Toc338840216"/>
      <w:bookmarkStart w:id="329" w:name="_Toc247085719"/>
      <w:bookmarkStart w:id="330" w:name="_Toc179632579"/>
      <w:r>
        <w:rPr>
          <w:rFonts w:hint="eastAsia" w:ascii="宋体" w:hAnsi="宋体"/>
          <w:highlight w:val="none"/>
        </w:rPr>
        <w:t>5.2 开标程序</w:t>
      </w:r>
      <w:bookmarkEnd w:id="323"/>
      <w:bookmarkEnd w:id="324"/>
      <w:bookmarkEnd w:id="325"/>
      <w:bookmarkEnd w:id="326"/>
      <w:bookmarkEnd w:id="327"/>
      <w:bookmarkEnd w:id="328"/>
      <w:bookmarkEnd w:id="329"/>
      <w:bookmarkEnd w:id="330"/>
    </w:p>
    <w:p w14:paraId="0B82D839">
      <w:pPr>
        <w:spacing w:line="400" w:lineRule="exact"/>
        <w:ind w:firstLine="359" w:firstLineChars="171"/>
        <w:rPr>
          <w:rFonts w:ascii="宋体" w:hAnsi="宋体"/>
          <w:highlight w:val="none"/>
        </w:rPr>
      </w:pPr>
      <w:r>
        <w:rPr>
          <w:rFonts w:hint="eastAsia" w:ascii="宋体" w:hAnsi="宋体"/>
          <w:highlight w:val="none"/>
        </w:rPr>
        <w:t xml:space="preserve">详见供应商须知前附表 </w:t>
      </w:r>
    </w:p>
    <w:p w14:paraId="4C3A96F0">
      <w:pPr>
        <w:pStyle w:val="4"/>
        <w:outlineLvl w:val="2"/>
        <w:rPr>
          <w:rFonts w:ascii="宋体" w:hAnsi="宋体"/>
          <w:highlight w:val="none"/>
        </w:rPr>
      </w:pPr>
      <w:bookmarkStart w:id="331" w:name="_Toc338840217"/>
      <w:r>
        <w:rPr>
          <w:rFonts w:hint="eastAsia" w:ascii="宋体" w:hAnsi="宋体"/>
          <w:highlight w:val="none"/>
        </w:rPr>
        <w:t>5.3 开标异议</w:t>
      </w:r>
      <w:bookmarkEnd w:id="331"/>
    </w:p>
    <w:p w14:paraId="1BF5952D">
      <w:pPr>
        <w:spacing w:line="400" w:lineRule="exact"/>
        <w:ind w:firstLine="359" w:firstLineChars="171"/>
        <w:rPr>
          <w:rFonts w:ascii="宋体" w:hAnsi="宋体"/>
          <w:highlight w:val="none"/>
        </w:rPr>
      </w:pPr>
      <w:r>
        <w:rPr>
          <w:rFonts w:hint="eastAsia" w:ascii="宋体" w:hAnsi="宋体"/>
          <w:highlight w:val="none"/>
        </w:rPr>
        <w:t>供应商对开标有异议的，应当在开标现场提出，采购人当场作出答复，并记录。</w:t>
      </w:r>
    </w:p>
    <w:p w14:paraId="5D9EE0A6">
      <w:pPr>
        <w:pStyle w:val="3"/>
        <w:outlineLvl w:val="1"/>
        <w:rPr>
          <w:rFonts w:ascii="宋体" w:hAnsi="宋体" w:eastAsia="宋体"/>
          <w:highlight w:val="none"/>
        </w:rPr>
      </w:pPr>
      <w:bookmarkStart w:id="332" w:name="_Toc338840218"/>
      <w:bookmarkStart w:id="333" w:name="_Toc179632580"/>
      <w:bookmarkStart w:id="334" w:name="_Toc12412"/>
      <w:bookmarkStart w:id="335" w:name="_Toc246996949"/>
      <w:bookmarkStart w:id="336" w:name="_Toc152042338"/>
      <w:bookmarkStart w:id="337" w:name="_Toc494526406"/>
      <w:bookmarkStart w:id="338" w:name="_Toc23221"/>
      <w:bookmarkStart w:id="339" w:name="_Toc338840447"/>
      <w:bookmarkStart w:id="340" w:name="_Toc144974530"/>
      <w:bookmarkStart w:id="341" w:name="_Toc346523407"/>
      <w:bookmarkStart w:id="342" w:name="_Toc25260"/>
      <w:bookmarkStart w:id="343" w:name="_Toc246996206"/>
      <w:bookmarkStart w:id="344" w:name="_Toc338840486"/>
      <w:bookmarkStart w:id="345" w:name="_Toc346523470"/>
      <w:bookmarkStart w:id="346" w:name="_Toc1700"/>
      <w:bookmarkStart w:id="347" w:name="_Toc23925"/>
      <w:bookmarkStart w:id="348" w:name="_Toc247085720"/>
      <w:bookmarkStart w:id="349" w:name="_Toc15053"/>
      <w:bookmarkStart w:id="350" w:name="_Toc494093434"/>
      <w:bookmarkStart w:id="351" w:name="_Toc152045562"/>
      <w:r>
        <w:rPr>
          <w:rFonts w:hint="eastAsia" w:ascii="宋体" w:hAnsi="宋体" w:eastAsia="宋体"/>
          <w:highlight w:val="none"/>
        </w:rPr>
        <w:t>6. 评标</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14:paraId="598FF5DA">
      <w:pPr>
        <w:pStyle w:val="4"/>
        <w:outlineLvl w:val="2"/>
        <w:rPr>
          <w:rFonts w:ascii="宋体" w:hAnsi="宋体"/>
          <w:highlight w:val="none"/>
        </w:rPr>
      </w:pPr>
      <w:bookmarkStart w:id="352" w:name="_Toc246996207"/>
      <w:bookmarkStart w:id="353" w:name="_Toc144974531"/>
      <w:bookmarkStart w:id="354" w:name="_Toc152042339"/>
      <w:bookmarkStart w:id="355" w:name="_Toc247085721"/>
      <w:bookmarkStart w:id="356" w:name="_Toc246996950"/>
      <w:bookmarkStart w:id="357" w:name="_Toc152045563"/>
      <w:bookmarkStart w:id="358" w:name="_Toc338840219"/>
      <w:bookmarkStart w:id="359" w:name="_Toc179632581"/>
      <w:r>
        <w:rPr>
          <w:rFonts w:hint="eastAsia" w:ascii="宋体" w:hAnsi="宋体"/>
          <w:highlight w:val="none"/>
        </w:rPr>
        <w:t>6.1 评标委员会</w:t>
      </w:r>
      <w:bookmarkEnd w:id="352"/>
      <w:bookmarkEnd w:id="353"/>
      <w:bookmarkEnd w:id="354"/>
      <w:bookmarkEnd w:id="355"/>
      <w:bookmarkEnd w:id="356"/>
      <w:bookmarkEnd w:id="357"/>
      <w:bookmarkEnd w:id="358"/>
      <w:bookmarkEnd w:id="359"/>
    </w:p>
    <w:p w14:paraId="4DB06EE5">
      <w:pPr>
        <w:spacing w:line="400" w:lineRule="exact"/>
        <w:ind w:firstLine="420" w:firstLineChars="200"/>
        <w:rPr>
          <w:rFonts w:ascii="宋体" w:hAnsi="宋体"/>
          <w:highlight w:val="none"/>
        </w:rPr>
      </w:pPr>
      <w:r>
        <w:rPr>
          <w:rFonts w:hint="eastAsia" w:ascii="宋体" w:hAnsi="宋体"/>
          <w:highlight w:val="none"/>
        </w:rPr>
        <w:t>6.1.1 评标由采购人依法组建的评标委员会负责。评标委员会由采购人熟悉相关业务的代表以及评审专家组成。评标委员会成员人数以及评审专家的确定方式见供应商须知前附表。</w:t>
      </w:r>
    </w:p>
    <w:p w14:paraId="068DCE7C">
      <w:pPr>
        <w:spacing w:line="400" w:lineRule="exact"/>
        <w:ind w:firstLine="420" w:firstLineChars="200"/>
        <w:outlineLvl w:val="3"/>
        <w:rPr>
          <w:rFonts w:ascii="宋体" w:hAnsi="宋体"/>
          <w:highlight w:val="none"/>
        </w:rPr>
      </w:pPr>
      <w:r>
        <w:rPr>
          <w:rFonts w:hint="eastAsia" w:ascii="宋体" w:hAnsi="宋体"/>
          <w:highlight w:val="none"/>
        </w:rPr>
        <w:t>6.1.2 评标委员会成员有下列情形之一的，应当回避：</w:t>
      </w:r>
    </w:p>
    <w:p w14:paraId="73B0FA37">
      <w:pPr>
        <w:spacing w:line="400" w:lineRule="exact"/>
        <w:ind w:left="420" w:firstLine="420" w:firstLineChars="200"/>
        <w:rPr>
          <w:rFonts w:ascii="宋体" w:hAnsi="宋体"/>
          <w:highlight w:val="none"/>
        </w:rPr>
      </w:pPr>
      <w:r>
        <w:rPr>
          <w:rFonts w:hint="eastAsia" w:ascii="宋体" w:hAnsi="宋体"/>
          <w:highlight w:val="none"/>
        </w:rPr>
        <w:t>（1）供应商或供应商主要负责人的近亲属；</w:t>
      </w:r>
    </w:p>
    <w:p w14:paraId="38AFCB3E">
      <w:pPr>
        <w:spacing w:line="400" w:lineRule="exact"/>
        <w:ind w:left="420" w:firstLine="420" w:firstLineChars="200"/>
        <w:rPr>
          <w:rFonts w:ascii="宋体" w:hAnsi="宋体"/>
          <w:highlight w:val="none"/>
        </w:rPr>
      </w:pPr>
      <w:r>
        <w:rPr>
          <w:rFonts w:hint="eastAsia" w:ascii="宋体" w:hAnsi="宋体"/>
          <w:highlight w:val="none"/>
        </w:rPr>
        <w:t>（2）项目主管部门或者行政监督部门的人员；</w:t>
      </w:r>
    </w:p>
    <w:p w14:paraId="013544A2">
      <w:pPr>
        <w:spacing w:line="400" w:lineRule="exact"/>
        <w:ind w:left="420" w:firstLine="420" w:firstLineChars="200"/>
        <w:rPr>
          <w:rFonts w:ascii="宋体" w:hAnsi="宋体"/>
          <w:highlight w:val="none"/>
        </w:rPr>
      </w:pPr>
      <w:r>
        <w:rPr>
          <w:rFonts w:hint="eastAsia" w:ascii="宋体" w:hAnsi="宋体"/>
          <w:highlight w:val="none"/>
        </w:rPr>
        <w:t>（3）与供应商有经济利益关系，可能影响对投标公正评审的；</w:t>
      </w:r>
    </w:p>
    <w:p w14:paraId="7D3E80BE">
      <w:pPr>
        <w:spacing w:line="400" w:lineRule="exact"/>
        <w:ind w:left="420" w:firstLine="420" w:firstLineChars="200"/>
        <w:rPr>
          <w:rFonts w:ascii="宋体" w:hAnsi="宋体"/>
          <w:highlight w:val="none"/>
        </w:rPr>
      </w:pPr>
      <w:r>
        <w:rPr>
          <w:rFonts w:hint="eastAsia" w:ascii="宋体" w:hAnsi="宋体"/>
          <w:highlight w:val="none"/>
        </w:rPr>
        <w:t>（4）曾因在招标、评标以及其他与招标投标有关活动中从事违法行为而受过行政处罚或刑事处罚期限未满的；</w:t>
      </w:r>
    </w:p>
    <w:p w14:paraId="0EEAE532">
      <w:pPr>
        <w:spacing w:line="400" w:lineRule="exact"/>
        <w:ind w:left="420" w:leftChars="0" w:firstLine="420" w:firstLineChars="200"/>
        <w:outlineLvl w:val="4"/>
        <w:rPr>
          <w:rFonts w:ascii="宋体" w:hAnsi="宋体"/>
          <w:highlight w:val="none"/>
        </w:rPr>
      </w:pPr>
      <w:r>
        <w:rPr>
          <w:rFonts w:hint="eastAsia" w:ascii="宋体" w:hAnsi="宋体"/>
          <w:highlight w:val="none"/>
        </w:rPr>
        <w:t>（5）与供应商有其他利害关系。</w:t>
      </w:r>
    </w:p>
    <w:p w14:paraId="2C6363D5">
      <w:pPr>
        <w:spacing w:line="400" w:lineRule="exact"/>
        <w:ind w:firstLine="420" w:firstLineChars="200"/>
        <w:rPr>
          <w:rFonts w:ascii="宋体" w:hAnsi="宋体"/>
          <w:highlight w:val="none"/>
        </w:rPr>
      </w:pPr>
      <w:r>
        <w:rPr>
          <w:rFonts w:hint="eastAsia" w:ascii="宋体" w:hAnsi="宋体"/>
          <w:highlight w:val="none"/>
        </w:rPr>
        <w:t>6.1.3 评标过程中，评标委员会成员有回避事由、擅离职守或者因健康等原因不能继续评标的，采购人有权更换。被更换的评标委员会成员作出的评审结论无效，由更换后的评标委员会成员重新进行评审。</w:t>
      </w:r>
    </w:p>
    <w:p w14:paraId="7E412095">
      <w:pPr>
        <w:pStyle w:val="4"/>
        <w:outlineLvl w:val="2"/>
        <w:rPr>
          <w:rFonts w:ascii="宋体" w:hAnsi="宋体"/>
          <w:highlight w:val="none"/>
        </w:rPr>
      </w:pPr>
      <w:bookmarkStart w:id="360" w:name="_Toc338840220"/>
      <w:bookmarkStart w:id="361" w:name="_Toc152045564"/>
      <w:bookmarkStart w:id="362" w:name="_Toc152042340"/>
      <w:bookmarkStart w:id="363" w:name="_Toc144974532"/>
      <w:bookmarkStart w:id="364" w:name="_Toc246996951"/>
      <w:bookmarkStart w:id="365" w:name="_Toc179632582"/>
      <w:bookmarkStart w:id="366" w:name="_Toc247085722"/>
      <w:bookmarkStart w:id="367" w:name="_Toc246996208"/>
      <w:r>
        <w:rPr>
          <w:rFonts w:hint="eastAsia" w:ascii="宋体" w:hAnsi="宋体"/>
          <w:highlight w:val="none"/>
        </w:rPr>
        <w:t>6.2 评标原则</w:t>
      </w:r>
      <w:bookmarkEnd w:id="360"/>
      <w:bookmarkEnd w:id="361"/>
      <w:bookmarkEnd w:id="362"/>
      <w:bookmarkEnd w:id="363"/>
      <w:bookmarkEnd w:id="364"/>
      <w:bookmarkEnd w:id="365"/>
      <w:bookmarkEnd w:id="366"/>
      <w:bookmarkEnd w:id="367"/>
    </w:p>
    <w:p w14:paraId="6B6B732D">
      <w:pPr>
        <w:spacing w:line="400" w:lineRule="exact"/>
        <w:ind w:firstLine="420" w:firstLineChars="200"/>
        <w:rPr>
          <w:rFonts w:ascii="宋体" w:hAnsi="宋体"/>
          <w:highlight w:val="none"/>
        </w:rPr>
      </w:pPr>
      <w:r>
        <w:rPr>
          <w:rFonts w:hint="eastAsia" w:ascii="宋体" w:hAnsi="宋体"/>
          <w:highlight w:val="none"/>
        </w:rPr>
        <w:t>评标活动遵循公平、公正、科学和择优的原则。</w:t>
      </w:r>
    </w:p>
    <w:p w14:paraId="7F805822">
      <w:pPr>
        <w:pStyle w:val="4"/>
        <w:outlineLvl w:val="2"/>
        <w:rPr>
          <w:rFonts w:ascii="宋体" w:hAnsi="宋体"/>
          <w:highlight w:val="none"/>
        </w:rPr>
      </w:pPr>
      <w:bookmarkStart w:id="368" w:name="_Toc247085723"/>
      <w:bookmarkStart w:id="369" w:name="_Toc144974533"/>
      <w:bookmarkStart w:id="370" w:name="_Toc152042341"/>
      <w:bookmarkStart w:id="371" w:name="_Toc152045565"/>
      <w:bookmarkStart w:id="372" w:name="_Toc179632583"/>
      <w:bookmarkStart w:id="373" w:name="_Toc338840221"/>
      <w:bookmarkStart w:id="374" w:name="_Toc246996209"/>
      <w:bookmarkStart w:id="375" w:name="_Toc246996952"/>
      <w:r>
        <w:rPr>
          <w:rFonts w:hint="eastAsia" w:ascii="宋体" w:hAnsi="宋体"/>
          <w:highlight w:val="none"/>
        </w:rPr>
        <w:t>6.3 评标</w:t>
      </w:r>
      <w:bookmarkEnd w:id="368"/>
      <w:bookmarkEnd w:id="369"/>
      <w:bookmarkEnd w:id="370"/>
      <w:bookmarkEnd w:id="371"/>
      <w:bookmarkEnd w:id="372"/>
      <w:bookmarkEnd w:id="373"/>
      <w:bookmarkEnd w:id="374"/>
      <w:bookmarkEnd w:id="375"/>
    </w:p>
    <w:p w14:paraId="696C3693">
      <w:pPr>
        <w:spacing w:line="400" w:lineRule="exact"/>
        <w:ind w:firstLine="420" w:firstLineChars="200"/>
        <w:rPr>
          <w:rFonts w:ascii="宋体" w:hAnsi="宋体"/>
          <w:highlight w:val="none"/>
        </w:rPr>
      </w:pPr>
      <w:r>
        <w:rPr>
          <w:rFonts w:hint="eastAsia" w:ascii="宋体" w:hAnsi="宋体"/>
          <w:highlight w:val="none"/>
        </w:rPr>
        <w:t>6.3.1评标委员会按照第三章“评标办法”规定的方法、评审因素、标准和程序对投标文件进行评审。第三章“评标办法”没有规定的方法、评审因素和标准，不作为评标依据。</w:t>
      </w:r>
    </w:p>
    <w:p w14:paraId="00A859F3">
      <w:pPr>
        <w:spacing w:line="400" w:lineRule="exact"/>
        <w:ind w:firstLine="420" w:firstLineChars="200"/>
        <w:rPr>
          <w:rFonts w:ascii="宋体" w:hAnsi="宋体"/>
          <w:highlight w:val="none"/>
        </w:rPr>
      </w:pPr>
      <w:r>
        <w:rPr>
          <w:rFonts w:hint="eastAsia" w:ascii="宋体" w:hAnsi="宋体"/>
          <w:highlight w:val="none"/>
        </w:rPr>
        <w:t>6.3.2评标完成后，评标委员会应当向采购人提交书面评标报告和中标候选人名单。评标委员会推荐中标候选人的人数见供应商须知前附表。</w:t>
      </w:r>
    </w:p>
    <w:p w14:paraId="4B9FE945">
      <w:pPr>
        <w:pStyle w:val="3"/>
        <w:outlineLvl w:val="1"/>
        <w:rPr>
          <w:rFonts w:ascii="宋体" w:hAnsi="宋体" w:eastAsia="宋体"/>
          <w:highlight w:val="none"/>
        </w:rPr>
      </w:pPr>
      <w:bookmarkStart w:id="376" w:name="_Toc152042342"/>
      <w:bookmarkStart w:id="377" w:name="_Toc246996210"/>
      <w:bookmarkStart w:id="378" w:name="_Toc494526407"/>
      <w:bookmarkStart w:id="379" w:name="_Toc246996953"/>
      <w:bookmarkStart w:id="380" w:name="_Toc152045566"/>
      <w:bookmarkStart w:id="381" w:name="_Toc179632584"/>
      <w:bookmarkStart w:id="382" w:name="_Toc338840448"/>
      <w:bookmarkStart w:id="383" w:name="_Toc346523471"/>
      <w:bookmarkStart w:id="384" w:name="_Toc247085724"/>
      <w:bookmarkStart w:id="385" w:name="_Toc11962"/>
      <w:bookmarkStart w:id="386" w:name="_Toc494093435"/>
      <w:bookmarkStart w:id="387" w:name="_Toc29292"/>
      <w:bookmarkStart w:id="388" w:name="_Toc3710"/>
      <w:bookmarkStart w:id="389" w:name="_Toc32146"/>
      <w:bookmarkStart w:id="390" w:name="_Toc144974534"/>
      <w:bookmarkStart w:id="391" w:name="_Toc7858"/>
      <w:bookmarkStart w:id="392" w:name="_Toc338840487"/>
      <w:bookmarkStart w:id="393" w:name="_Toc338840222"/>
      <w:bookmarkStart w:id="394" w:name="_Toc30344"/>
      <w:bookmarkStart w:id="395" w:name="_Toc346523408"/>
      <w:r>
        <w:rPr>
          <w:rFonts w:hint="eastAsia" w:ascii="宋体" w:hAnsi="宋体" w:eastAsia="宋体"/>
          <w:highlight w:val="none"/>
        </w:rPr>
        <w:t>7. 合同授予</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14:paraId="6123768D">
      <w:pPr>
        <w:pStyle w:val="4"/>
        <w:outlineLvl w:val="2"/>
        <w:rPr>
          <w:rFonts w:ascii="宋体" w:hAnsi="宋体"/>
          <w:highlight w:val="none"/>
        </w:rPr>
      </w:pPr>
      <w:bookmarkStart w:id="396" w:name="_Toc246996954"/>
      <w:bookmarkStart w:id="397" w:name="_Toc152045567"/>
      <w:bookmarkStart w:id="398" w:name="_Toc144974535"/>
      <w:bookmarkStart w:id="399" w:name="_Toc152042343"/>
      <w:bookmarkStart w:id="400" w:name="_Toc246996211"/>
      <w:bookmarkStart w:id="401" w:name="_Toc247085725"/>
      <w:bookmarkStart w:id="402" w:name="_Toc338840223"/>
      <w:bookmarkStart w:id="403" w:name="_Toc179632585"/>
      <w:r>
        <w:rPr>
          <w:rFonts w:hint="eastAsia" w:ascii="宋体" w:hAnsi="宋体"/>
          <w:highlight w:val="none"/>
        </w:rPr>
        <w:t>7.1 定标方式</w:t>
      </w:r>
      <w:bookmarkEnd w:id="396"/>
      <w:bookmarkEnd w:id="397"/>
      <w:bookmarkEnd w:id="398"/>
      <w:bookmarkEnd w:id="399"/>
      <w:bookmarkEnd w:id="400"/>
      <w:bookmarkEnd w:id="401"/>
      <w:bookmarkEnd w:id="402"/>
      <w:bookmarkEnd w:id="403"/>
    </w:p>
    <w:p w14:paraId="55D556ED">
      <w:pPr>
        <w:spacing w:line="400" w:lineRule="exact"/>
        <w:ind w:firstLine="420" w:firstLineChars="200"/>
        <w:rPr>
          <w:rFonts w:ascii="宋体" w:hAnsi="宋体"/>
          <w:highlight w:val="none"/>
        </w:rPr>
      </w:pPr>
      <w:r>
        <w:rPr>
          <w:rFonts w:hint="eastAsia" w:ascii="宋体" w:hAnsi="宋体"/>
          <w:highlight w:val="none"/>
        </w:rPr>
        <w:t>除供应商须知前附表规定评标委员会直接确定中标人外，采购人依据评标委员会推荐的中标候选人名单，按排序确定中标人，评标委员会推荐中标候选人的人数见供应商须知前附表。</w:t>
      </w:r>
    </w:p>
    <w:p w14:paraId="4D8512AE">
      <w:pPr>
        <w:pStyle w:val="4"/>
        <w:outlineLvl w:val="2"/>
        <w:rPr>
          <w:rFonts w:ascii="宋体" w:hAnsi="宋体"/>
          <w:highlight w:val="none"/>
        </w:rPr>
      </w:pPr>
      <w:bookmarkStart w:id="404" w:name="_Toc338840224"/>
      <w:r>
        <w:rPr>
          <w:rFonts w:hint="eastAsia" w:ascii="宋体" w:hAnsi="宋体"/>
          <w:highlight w:val="none"/>
        </w:rPr>
        <w:t>7.2 中标人公布</w:t>
      </w:r>
      <w:bookmarkEnd w:id="404"/>
      <w:r>
        <w:rPr>
          <w:rFonts w:hint="eastAsia" w:ascii="宋体" w:hAnsi="宋体"/>
          <w:highlight w:val="none"/>
        </w:rPr>
        <w:t>媒介</w:t>
      </w:r>
    </w:p>
    <w:p w14:paraId="6EDC3FA3">
      <w:pPr>
        <w:spacing w:line="400" w:lineRule="exact"/>
        <w:ind w:firstLine="420" w:firstLineChars="200"/>
        <w:rPr>
          <w:rFonts w:ascii="宋体" w:hAnsi="宋体"/>
          <w:highlight w:val="none"/>
        </w:rPr>
      </w:pPr>
      <w:r>
        <w:rPr>
          <w:rFonts w:hint="eastAsia" w:ascii="宋体" w:hAnsi="宋体"/>
          <w:highlight w:val="none"/>
        </w:rPr>
        <w:t>采购人在供应商须知前附表规定的媒介公布中标人。</w:t>
      </w:r>
    </w:p>
    <w:p w14:paraId="4194F709">
      <w:pPr>
        <w:pStyle w:val="4"/>
        <w:outlineLvl w:val="2"/>
        <w:rPr>
          <w:rFonts w:ascii="宋体" w:hAnsi="宋体"/>
          <w:highlight w:val="none"/>
        </w:rPr>
      </w:pPr>
      <w:bookmarkStart w:id="405" w:name="_Toc338840225"/>
      <w:bookmarkStart w:id="406" w:name="_Toc179632586"/>
      <w:bookmarkStart w:id="407" w:name="_Toc144974536"/>
      <w:bookmarkStart w:id="408" w:name="_Toc247085726"/>
      <w:bookmarkStart w:id="409" w:name="_Toc152042344"/>
      <w:bookmarkStart w:id="410" w:name="_Toc246996955"/>
      <w:bookmarkStart w:id="411" w:name="_Toc246996212"/>
      <w:bookmarkStart w:id="412" w:name="_Toc152045568"/>
      <w:r>
        <w:rPr>
          <w:rFonts w:hint="eastAsia" w:ascii="宋体" w:hAnsi="宋体"/>
          <w:highlight w:val="none"/>
        </w:rPr>
        <w:t>7.3 中标通知</w:t>
      </w:r>
      <w:bookmarkEnd w:id="405"/>
      <w:bookmarkEnd w:id="406"/>
      <w:bookmarkEnd w:id="407"/>
      <w:bookmarkEnd w:id="408"/>
      <w:bookmarkEnd w:id="409"/>
      <w:bookmarkEnd w:id="410"/>
      <w:bookmarkEnd w:id="411"/>
      <w:bookmarkEnd w:id="412"/>
    </w:p>
    <w:p w14:paraId="5B58C01C">
      <w:pPr>
        <w:spacing w:line="400" w:lineRule="exact"/>
        <w:ind w:firstLine="420" w:firstLineChars="200"/>
        <w:rPr>
          <w:rFonts w:ascii="宋体" w:hAnsi="宋体"/>
          <w:highlight w:val="none"/>
        </w:rPr>
      </w:pPr>
      <w:r>
        <w:rPr>
          <w:rFonts w:hint="eastAsia" w:ascii="宋体" w:hAnsi="宋体"/>
          <w:highlight w:val="none"/>
        </w:rPr>
        <w:t>采购人确定中标人后，在规定的中标人公布媒介公布，以书面形式向中标人发出中标通知书，其他未中标的供应商自行查看结果，不再另行通知。详见供应商须知前附表。</w:t>
      </w:r>
    </w:p>
    <w:p w14:paraId="646B9E27">
      <w:pPr>
        <w:pStyle w:val="4"/>
        <w:outlineLvl w:val="2"/>
        <w:rPr>
          <w:rFonts w:ascii="宋体" w:hAnsi="宋体"/>
          <w:highlight w:val="none"/>
        </w:rPr>
      </w:pPr>
      <w:bookmarkStart w:id="413" w:name="_Toc179632587"/>
      <w:bookmarkStart w:id="414" w:name="_Toc338840226"/>
      <w:bookmarkStart w:id="415" w:name="_Toc152045569"/>
      <w:bookmarkStart w:id="416" w:name="_Toc247085727"/>
      <w:bookmarkStart w:id="417" w:name="_Toc144974537"/>
      <w:bookmarkStart w:id="418" w:name="_Toc246996213"/>
      <w:bookmarkStart w:id="419" w:name="_Toc152042345"/>
      <w:bookmarkStart w:id="420" w:name="_Toc246996956"/>
      <w:r>
        <w:rPr>
          <w:rFonts w:hint="eastAsia" w:ascii="宋体" w:hAnsi="宋体"/>
          <w:highlight w:val="none"/>
        </w:rPr>
        <w:t>7.4 履约担保</w:t>
      </w:r>
      <w:bookmarkEnd w:id="413"/>
      <w:bookmarkEnd w:id="414"/>
      <w:bookmarkEnd w:id="415"/>
      <w:bookmarkEnd w:id="416"/>
      <w:bookmarkEnd w:id="417"/>
      <w:bookmarkEnd w:id="418"/>
      <w:bookmarkEnd w:id="419"/>
      <w:bookmarkEnd w:id="420"/>
    </w:p>
    <w:p w14:paraId="2B740E7B">
      <w:pPr>
        <w:spacing w:line="400" w:lineRule="exact"/>
        <w:ind w:firstLine="420" w:firstLineChars="200"/>
        <w:rPr>
          <w:rFonts w:ascii="宋体" w:hAnsi="宋体"/>
          <w:highlight w:val="none"/>
        </w:rPr>
      </w:pPr>
      <w:r>
        <w:rPr>
          <w:rFonts w:hint="eastAsia" w:ascii="宋体" w:hAnsi="宋体"/>
          <w:highlight w:val="none"/>
        </w:rPr>
        <w:t>7.4.1在签订合同前，中标人应按供应商须知前附表规定的担保形式和招标文件第四章“合同条款及格式”规定的或者事先经过采购人书面认可的履约担保方式向采购人提交履约担保。</w:t>
      </w:r>
    </w:p>
    <w:p w14:paraId="52B27412">
      <w:pPr>
        <w:spacing w:line="400" w:lineRule="exact"/>
        <w:ind w:firstLine="420" w:firstLineChars="200"/>
        <w:rPr>
          <w:rFonts w:ascii="宋体" w:hAnsi="宋体"/>
          <w:highlight w:val="none"/>
        </w:rPr>
      </w:pPr>
      <w:r>
        <w:rPr>
          <w:rFonts w:hint="eastAsia" w:ascii="宋体" w:hAnsi="宋体"/>
          <w:highlight w:val="none"/>
        </w:rPr>
        <w:t>7.4.2 中标人不能按本章第7.4.1项要求提交履约担保的，视为放弃中标，其投标保证金不予退还，给采购人造成的损失超过投标保证金数额的，中标人还应当对超过部分予以赔偿。</w:t>
      </w:r>
    </w:p>
    <w:p w14:paraId="44F5FBC5">
      <w:pPr>
        <w:pStyle w:val="4"/>
        <w:outlineLvl w:val="2"/>
        <w:rPr>
          <w:rFonts w:ascii="宋体" w:hAnsi="宋体"/>
          <w:highlight w:val="none"/>
        </w:rPr>
      </w:pPr>
      <w:bookmarkStart w:id="421" w:name="_Toc152042346"/>
      <w:bookmarkStart w:id="422" w:name="_Toc179632588"/>
      <w:bookmarkStart w:id="423" w:name="_Toc246996214"/>
      <w:bookmarkStart w:id="424" w:name="_Toc246996957"/>
      <w:bookmarkStart w:id="425" w:name="_Toc338840227"/>
      <w:bookmarkStart w:id="426" w:name="_Toc247085728"/>
      <w:bookmarkStart w:id="427" w:name="_Toc144974538"/>
      <w:bookmarkStart w:id="428" w:name="_Toc152045570"/>
      <w:r>
        <w:rPr>
          <w:rFonts w:hint="eastAsia" w:ascii="宋体" w:hAnsi="宋体"/>
          <w:highlight w:val="none"/>
        </w:rPr>
        <w:t>7.5 签订合同</w:t>
      </w:r>
      <w:bookmarkEnd w:id="421"/>
      <w:bookmarkEnd w:id="422"/>
      <w:bookmarkEnd w:id="423"/>
      <w:bookmarkEnd w:id="424"/>
      <w:bookmarkEnd w:id="425"/>
      <w:bookmarkEnd w:id="426"/>
      <w:bookmarkEnd w:id="427"/>
      <w:bookmarkEnd w:id="428"/>
    </w:p>
    <w:p w14:paraId="27F36106">
      <w:pPr>
        <w:spacing w:line="400" w:lineRule="exact"/>
        <w:ind w:firstLine="420" w:firstLineChars="200"/>
        <w:rPr>
          <w:rFonts w:ascii="宋体" w:hAnsi="宋体"/>
          <w:highlight w:val="none"/>
        </w:rPr>
      </w:pPr>
      <w:r>
        <w:rPr>
          <w:rFonts w:hint="eastAsia" w:ascii="宋体" w:hAnsi="宋体"/>
          <w:highlight w:val="none"/>
        </w:rPr>
        <w:t>7.5.1采购人和中标人应当自中标通知书发出之日起30天内（供应商须知前附表另有规定者从其规定），根据招标文件和中标人的投标文件订立书面合同。中标人无正当理由拒签合同的，采购人取消其中标资格，其投标保证金不予退还；给采购人造成的损失超过投标保证金数额的，中标人还应当对超过部分予以赔偿。</w:t>
      </w:r>
    </w:p>
    <w:p w14:paraId="40A42EEE">
      <w:pPr>
        <w:spacing w:line="400" w:lineRule="exact"/>
        <w:ind w:firstLine="420" w:firstLineChars="200"/>
        <w:rPr>
          <w:rFonts w:ascii="宋体" w:hAnsi="宋体"/>
          <w:highlight w:val="none"/>
        </w:rPr>
      </w:pPr>
      <w:r>
        <w:rPr>
          <w:rFonts w:hint="eastAsia" w:ascii="宋体" w:hAnsi="宋体"/>
          <w:highlight w:val="none"/>
        </w:rPr>
        <w:t>7.5.2 发出中标通知书后，采购人无正当理由拒签合同的，采购人向中标人退还投标保证金；给中标人造成损失的，还应当赔偿损失。</w:t>
      </w:r>
    </w:p>
    <w:p w14:paraId="4155E698">
      <w:pPr>
        <w:spacing w:line="400" w:lineRule="exact"/>
        <w:ind w:firstLine="420" w:firstLineChars="200"/>
        <w:rPr>
          <w:rFonts w:ascii="宋体" w:hAnsi="宋体"/>
          <w:highlight w:val="none"/>
        </w:rPr>
      </w:pPr>
      <w:r>
        <w:rPr>
          <w:rFonts w:hint="eastAsia" w:ascii="宋体" w:hAnsi="宋体"/>
          <w:highlight w:val="none"/>
        </w:rPr>
        <w:t>7.5.3联合体中标的，联合体各方应当共同与采购人签订合同，就中标项目向采购人承担连带责任。</w:t>
      </w:r>
    </w:p>
    <w:p w14:paraId="317D9771">
      <w:pPr>
        <w:pStyle w:val="3"/>
        <w:outlineLvl w:val="1"/>
        <w:rPr>
          <w:rFonts w:ascii="宋体" w:hAnsi="宋体" w:eastAsia="宋体"/>
          <w:highlight w:val="none"/>
        </w:rPr>
      </w:pPr>
      <w:bookmarkStart w:id="429" w:name="_Toc494526408"/>
      <w:bookmarkStart w:id="430" w:name="_Toc14615"/>
      <w:bookmarkStart w:id="431" w:name="_Toc338840488"/>
      <w:bookmarkStart w:id="432" w:name="_Toc21421"/>
      <w:bookmarkStart w:id="433" w:name="_Toc19232"/>
      <w:bookmarkStart w:id="434" w:name="_Toc346523409"/>
      <w:bookmarkStart w:id="435" w:name="_Toc494093436"/>
      <w:bookmarkStart w:id="436" w:name="_Toc1612"/>
      <w:bookmarkStart w:id="437" w:name="_Toc4153"/>
      <w:bookmarkStart w:id="438" w:name="_Toc346523472"/>
      <w:bookmarkStart w:id="439" w:name="_Toc338840228"/>
      <w:bookmarkStart w:id="440" w:name="_Toc338840449"/>
      <w:bookmarkStart w:id="441" w:name="_Toc10938"/>
      <w:r>
        <w:rPr>
          <w:rFonts w:hint="eastAsia" w:ascii="宋体" w:hAnsi="宋体" w:eastAsia="宋体"/>
          <w:highlight w:val="none"/>
        </w:rPr>
        <w:t>8. 纪律和监督</w:t>
      </w:r>
      <w:bookmarkEnd w:id="429"/>
      <w:bookmarkEnd w:id="430"/>
      <w:bookmarkEnd w:id="431"/>
      <w:bookmarkEnd w:id="432"/>
      <w:bookmarkEnd w:id="433"/>
      <w:bookmarkEnd w:id="434"/>
      <w:bookmarkEnd w:id="435"/>
      <w:bookmarkEnd w:id="436"/>
      <w:bookmarkEnd w:id="437"/>
      <w:bookmarkEnd w:id="438"/>
      <w:bookmarkEnd w:id="439"/>
      <w:bookmarkEnd w:id="440"/>
      <w:bookmarkEnd w:id="441"/>
    </w:p>
    <w:p w14:paraId="208B8D4C">
      <w:pPr>
        <w:pStyle w:val="4"/>
        <w:outlineLvl w:val="2"/>
        <w:rPr>
          <w:rFonts w:ascii="宋体" w:hAnsi="宋体"/>
          <w:highlight w:val="none"/>
        </w:rPr>
      </w:pPr>
      <w:bookmarkStart w:id="442" w:name="_Toc179632593"/>
      <w:bookmarkStart w:id="443" w:name="_Toc246996962"/>
      <w:bookmarkStart w:id="444" w:name="_Toc144974543"/>
      <w:bookmarkStart w:id="445" w:name="_Toc296590983"/>
      <w:bookmarkStart w:id="446" w:name="_Toc152045575"/>
      <w:bookmarkStart w:id="447" w:name="_Toc338840229"/>
      <w:bookmarkStart w:id="448" w:name="_Toc246996219"/>
      <w:bookmarkStart w:id="449" w:name="_Toc152042351"/>
      <w:bookmarkStart w:id="450" w:name="_Toc247085733"/>
      <w:r>
        <w:rPr>
          <w:rFonts w:hint="eastAsia" w:ascii="宋体" w:hAnsi="宋体"/>
          <w:highlight w:val="none"/>
        </w:rPr>
        <w:t>8.1 对采购人的纪律要求</w:t>
      </w:r>
      <w:bookmarkEnd w:id="442"/>
      <w:bookmarkEnd w:id="443"/>
      <w:bookmarkEnd w:id="444"/>
      <w:bookmarkEnd w:id="445"/>
      <w:bookmarkEnd w:id="446"/>
      <w:bookmarkEnd w:id="447"/>
      <w:bookmarkEnd w:id="448"/>
      <w:bookmarkEnd w:id="449"/>
      <w:bookmarkEnd w:id="450"/>
    </w:p>
    <w:p w14:paraId="148902B8">
      <w:pPr>
        <w:spacing w:line="400" w:lineRule="exact"/>
        <w:ind w:firstLine="420" w:firstLineChars="200"/>
        <w:rPr>
          <w:rFonts w:ascii="宋体" w:hAnsi="宋体"/>
          <w:highlight w:val="none"/>
        </w:rPr>
      </w:pPr>
      <w:r>
        <w:rPr>
          <w:rFonts w:hint="eastAsia" w:ascii="宋体" w:hAnsi="宋体"/>
          <w:highlight w:val="none"/>
        </w:rPr>
        <w:t>采购人不得泄漏招标投标活动中应当保密的情况和资料，不得与供应商串通损害国家利益、社会公共利益或者他人合法权益。</w:t>
      </w:r>
    </w:p>
    <w:p w14:paraId="1EB54AA7">
      <w:pPr>
        <w:pStyle w:val="4"/>
        <w:outlineLvl w:val="2"/>
        <w:rPr>
          <w:rFonts w:ascii="宋体" w:hAnsi="宋体"/>
          <w:highlight w:val="none"/>
        </w:rPr>
      </w:pPr>
      <w:bookmarkStart w:id="451" w:name="_Toc246996220"/>
      <w:bookmarkStart w:id="452" w:name="_Toc338840230"/>
      <w:bookmarkStart w:id="453" w:name="_Toc179632594"/>
      <w:bookmarkStart w:id="454" w:name="_Toc144974544"/>
      <w:bookmarkStart w:id="455" w:name="_Toc247085734"/>
      <w:bookmarkStart w:id="456" w:name="_Toc152045576"/>
      <w:bookmarkStart w:id="457" w:name="_Toc152042352"/>
      <w:bookmarkStart w:id="458" w:name="_Toc246996963"/>
      <w:r>
        <w:rPr>
          <w:rFonts w:hint="eastAsia" w:ascii="宋体" w:hAnsi="宋体"/>
          <w:highlight w:val="none"/>
        </w:rPr>
        <w:t>8.2 对供应商的纪律要求</w:t>
      </w:r>
      <w:bookmarkEnd w:id="451"/>
      <w:bookmarkEnd w:id="452"/>
      <w:bookmarkEnd w:id="453"/>
      <w:bookmarkEnd w:id="454"/>
      <w:bookmarkEnd w:id="455"/>
      <w:bookmarkEnd w:id="456"/>
      <w:bookmarkEnd w:id="457"/>
      <w:bookmarkEnd w:id="458"/>
    </w:p>
    <w:p w14:paraId="69ED8F96">
      <w:pPr>
        <w:spacing w:line="400" w:lineRule="exact"/>
        <w:ind w:firstLine="420" w:firstLineChars="200"/>
        <w:rPr>
          <w:rFonts w:ascii="宋体" w:hAnsi="宋体"/>
          <w:highlight w:val="none"/>
        </w:rPr>
      </w:pPr>
      <w:r>
        <w:rPr>
          <w:rFonts w:hint="eastAsia" w:ascii="宋体" w:hAnsi="宋体"/>
          <w:highlight w:val="none"/>
        </w:rPr>
        <w:t>供应商不得相互串通投标或者与采购人串通投标，不得向采购人或者评标委员会成员行贿谋取中标，不得以他人名义投标或者以其他方式弄虚作假骗取中标；供应商不得以任何方式干扰、影响评标工作。</w:t>
      </w:r>
    </w:p>
    <w:p w14:paraId="365E3A9C">
      <w:pPr>
        <w:pStyle w:val="4"/>
        <w:outlineLvl w:val="2"/>
        <w:rPr>
          <w:rFonts w:ascii="宋体" w:hAnsi="宋体"/>
          <w:highlight w:val="none"/>
        </w:rPr>
      </w:pPr>
      <w:bookmarkStart w:id="459" w:name="_Toc179632595"/>
      <w:bookmarkStart w:id="460" w:name="_Toc246996221"/>
      <w:bookmarkStart w:id="461" w:name="_Toc144974545"/>
      <w:bookmarkStart w:id="462" w:name="_Toc152042353"/>
      <w:bookmarkStart w:id="463" w:name="_Toc247085735"/>
      <w:bookmarkStart w:id="464" w:name="_Toc246996964"/>
      <w:bookmarkStart w:id="465" w:name="_Toc152045577"/>
      <w:bookmarkStart w:id="466" w:name="_Toc338840231"/>
      <w:r>
        <w:rPr>
          <w:rFonts w:hint="eastAsia" w:ascii="宋体" w:hAnsi="宋体"/>
          <w:highlight w:val="none"/>
        </w:rPr>
        <w:t>8.3 对评标委员会成员的纪律要求</w:t>
      </w:r>
      <w:bookmarkEnd w:id="459"/>
      <w:bookmarkEnd w:id="460"/>
      <w:bookmarkEnd w:id="461"/>
      <w:bookmarkEnd w:id="462"/>
      <w:bookmarkEnd w:id="463"/>
      <w:bookmarkEnd w:id="464"/>
      <w:bookmarkEnd w:id="465"/>
      <w:bookmarkEnd w:id="466"/>
    </w:p>
    <w:p w14:paraId="4278A149">
      <w:pPr>
        <w:spacing w:line="400" w:lineRule="exact"/>
        <w:ind w:firstLine="420" w:firstLineChars="200"/>
        <w:rPr>
          <w:rFonts w:ascii="宋体" w:hAnsi="宋体"/>
          <w:highlight w:val="none"/>
        </w:rPr>
      </w:pPr>
      <w:r>
        <w:rPr>
          <w:rFonts w:hint="eastAsia" w:ascii="宋体" w:hAnsi="宋体"/>
          <w:highlight w:val="none"/>
        </w:rPr>
        <w:t>评标委员会成员不得收受他人的财物或者其他好处，不得向他人透漏对投标文件的评审和比较、中标候选人的推荐情况以及评标有关的其他情况。在评标活动中，评标委员会成员应当客观、公正地履行职责，遵守职业道德，不得擅离职守，不得干扰评标程序正常进行，不得使用第三章“评标办法”规定以外的评审因素和标准进行评标。</w:t>
      </w:r>
    </w:p>
    <w:p w14:paraId="626F21CE">
      <w:pPr>
        <w:pStyle w:val="4"/>
        <w:outlineLvl w:val="2"/>
        <w:rPr>
          <w:rFonts w:ascii="宋体" w:hAnsi="宋体"/>
          <w:highlight w:val="none"/>
        </w:rPr>
      </w:pPr>
      <w:bookmarkStart w:id="467" w:name="_Toc247085736"/>
      <w:bookmarkStart w:id="468" w:name="_Toc246996222"/>
      <w:bookmarkStart w:id="469" w:name="_Toc338840232"/>
      <w:bookmarkStart w:id="470" w:name="_Toc152045578"/>
      <w:bookmarkStart w:id="471" w:name="_Toc246996965"/>
      <w:bookmarkStart w:id="472" w:name="_Toc152042354"/>
      <w:bookmarkStart w:id="473" w:name="_Toc179632596"/>
      <w:bookmarkStart w:id="474" w:name="_Toc144974546"/>
      <w:r>
        <w:rPr>
          <w:rFonts w:hint="eastAsia" w:ascii="宋体" w:hAnsi="宋体"/>
          <w:highlight w:val="none"/>
        </w:rPr>
        <w:t>8.4 对有关招投标工作人员的纪律要求</w:t>
      </w:r>
      <w:bookmarkEnd w:id="467"/>
      <w:bookmarkEnd w:id="468"/>
      <w:bookmarkEnd w:id="469"/>
      <w:bookmarkEnd w:id="470"/>
      <w:bookmarkEnd w:id="471"/>
      <w:bookmarkEnd w:id="472"/>
      <w:bookmarkEnd w:id="473"/>
    </w:p>
    <w:p w14:paraId="5465F545">
      <w:pPr>
        <w:spacing w:line="400" w:lineRule="exact"/>
        <w:ind w:firstLine="420" w:firstLineChars="200"/>
        <w:rPr>
          <w:rFonts w:ascii="宋体" w:hAnsi="宋体"/>
          <w:highlight w:val="none"/>
        </w:rPr>
      </w:pPr>
      <w:bookmarkStart w:id="475" w:name="_Toc152042355"/>
      <w:r>
        <w:rPr>
          <w:rFonts w:hint="eastAsia" w:ascii="宋体" w:hAnsi="宋体"/>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不得影响评标程序正常进行。</w:t>
      </w:r>
      <w:bookmarkEnd w:id="475"/>
    </w:p>
    <w:p w14:paraId="69DB1AC1">
      <w:pPr>
        <w:pStyle w:val="4"/>
        <w:outlineLvl w:val="2"/>
        <w:rPr>
          <w:rFonts w:ascii="宋体" w:hAnsi="宋体"/>
          <w:highlight w:val="none"/>
        </w:rPr>
      </w:pPr>
      <w:bookmarkStart w:id="476" w:name="_Toc338840233"/>
      <w:bookmarkStart w:id="477" w:name="_Toc246996966"/>
      <w:bookmarkStart w:id="478" w:name="_Toc247085737"/>
      <w:bookmarkStart w:id="479" w:name="_Toc152045579"/>
      <w:bookmarkStart w:id="480" w:name="_Toc179632597"/>
      <w:bookmarkStart w:id="481" w:name="_Toc246996223"/>
      <w:bookmarkStart w:id="482" w:name="_Toc152042356"/>
      <w:r>
        <w:rPr>
          <w:rFonts w:hint="eastAsia" w:ascii="宋体" w:hAnsi="宋体"/>
          <w:highlight w:val="none"/>
        </w:rPr>
        <w:t>8.5 质疑</w:t>
      </w:r>
      <w:bookmarkEnd w:id="476"/>
    </w:p>
    <w:p w14:paraId="79500009">
      <w:pPr>
        <w:spacing w:line="400" w:lineRule="exact"/>
        <w:ind w:firstLine="420" w:firstLineChars="200"/>
        <w:rPr>
          <w:rFonts w:ascii="宋体" w:hAnsi="宋体"/>
          <w:highlight w:val="none"/>
        </w:rPr>
      </w:pPr>
      <w:r>
        <w:rPr>
          <w:rFonts w:hint="eastAsia" w:ascii="宋体" w:hAnsi="宋体"/>
          <w:highlight w:val="none"/>
        </w:rPr>
        <w:t>供应商认为采购文件、采购过程和中标、成交结果使自己的权益受到损害，可以规定时间内向采购人或代理机构提出质疑。详见供应商须知前附表。</w:t>
      </w:r>
    </w:p>
    <w:p w14:paraId="1B2F170A">
      <w:pPr>
        <w:spacing w:line="400" w:lineRule="exact"/>
        <w:ind w:firstLine="420" w:firstLineChars="200"/>
        <w:rPr>
          <w:rFonts w:ascii="宋体" w:hAnsi="宋体"/>
          <w:highlight w:val="none"/>
        </w:rPr>
      </w:pPr>
      <w:r>
        <w:rPr>
          <w:rFonts w:hint="eastAsia" w:ascii="宋体" w:hAnsi="宋体"/>
          <w:highlight w:val="none"/>
        </w:rPr>
        <w:t>供应商在法定质疑期内一次性提出针对同一采购程序环节的质疑。</w:t>
      </w:r>
    </w:p>
    <w:p w14:paraId="35DC9733">
      <w:pPr>
        <w:spacing w:line="400" w:lineRule="exact"/>
        <w:ind w:firstLine="420" w:firstLineChars="200"/>
        <w:rPr>
          <w:rFonts w:ascii="宋体" w:hAnsi="宋体"/>
          <w:highlight w:val="none"/>
        </w:rPr>
      </w:pPr>
      <w:r>
        <w:rPr>
          <w:rFonts w:hint="eastAsia" w:ascii="宋体" w:hAnsi="宋体"/>
          <w:highlight w:val="none"/>
        </w:rPr>
        <w:t>提出质疑的供应商（以下简称质疑供应商）应当是参与所质疑项目采购活动的供应商。</w:t>
      </w:r>
    </w:p>
    <w:p w14:paraId="5C487EDA">
      <w:pPr>
        <w:spacing w:line="400" w:lineRule="exact"/>
        <w:ind w:firstLine="420" w:firstLineChars="200"/>
        <w:rPr>
          <w:rFonts w:ascii="宋体" w:hAnsi="宋体"/>
          <w:highlight w:val="none"/>
        </w:rPr>
      </w:pPr>
      <w:r>
        <w:rPr>
          <w:rFonts w:hint="eastAsia" w:ascii="宋体" w:hAnsi="宋体"/>
          <w:highlight w:val="none"/>
        </w:rPr>
        <w:t>供应商提出质疑应当提交质疑函和必要的证明材料。质疑函应当包括下列内容：（一）供应商的姓名或者名称、地址、邮编、联系人及联系电话；（二）质疑项目的名称、编号；（三）具体、明确的质疑事项和与质疑事项相关的请求；（四）事实依据；（五）必要的法律依据；（六）提出质疑的日期。供应商为自然人的，应当由本人签字；供应商为法人或者其他组织的，应当由法定代表人、主要负责人，或者其授权代表签字或者盖章，并加盖公章。</w:t>
      </w:r>
    </w:p>
    <w:p w14:paraId="2D8515D4">
      <w:pPr>
        <w:spacing w:line="400" w:lineRule="exact"/>
        <w:ind w:firstLine="420" w:firstLineChars="200"/>
        <w:rPr>
          <w:rFonts w:ascii="宋体" w:hAnsi="宋体"/>
          <w:highlight w:val="none"/>
        </w:rPr>
      </w:pPr>
      <w:r>
        <w:rPr>
          <w:rFonts w:hint="eastAsia" w:ascii="宋体" w:hAnsi="宋体"/>
          <w:highlight w:val="none"/>
        </w:rPr>
        <w:t>代理人提出质疑和投诉，应当提交供应商签署的授权委托书。</w:t>
      </w:r>
    </w:p>
    <w:p w14:paraId="1E6D5D47">
      <w:pPr>
        <w:pStyle w:val="4"/>
        <w:outlineLvl w:val="2"/>
        <w:rPr>
          <w:rFonts w:ascii="宋体" w:hAnsi="宋体"/>
          <w:highlight w:val="none"/>
        </w:rPr>
      </w:pPr>
      <w:bookmarkStart w:id="483" w:name="_Toc338840234"/>
      <w:r>
        <w:rPr>
          <w:rFonts w:hint="eastAsia" w:ascii="宋体" w:hAnsi="宋体"/>
          <w:highlight w:val="none"/>
        </w:rPr>
        <w:t>8.6 投诉</w:t>
      </w:r>
      <w:bookmarkEnd w:id="474"/>
      <w:bookmarkEnd w:id="477"/>
      <w:bookmarkEnd w:id="478"/>
      <w:bookmarkEnd w:id="479"/>
      <w:bookmarkEnd w:id="480"/>
      <w:bookmarkEnd w:id="481"/>
      <w:bookmarkEnd w:id="482"/>
      <w:bookmarkEnd w:id="483"/>
    </w:p>
    <w:p w14:paraId="04D6B1AC">
      <w:pPr>
        <w:spacing w:line="400" w:lineRule="exact"/>
        <w:ind w:firstLine="420" w:firstLineChars="200"/>
        <w:rPr>
          <w:rFonts w:ascii="宋体" w:hAnsi="宋体"/>
          <w:highlight w:val="none"/>
        </w:rPr>
      </w:pPr>
      <w:r>
        <w:rPr>
          <w:rFonts w:hint="eastAsia" w:ascii="宋体" w:hAnsi="宋体"/>
          <w:highlight w:val="none"/>
        </w:rPr>
        <w:t xml:space="preserve">供应商提出投诉的，应当先向采购人、采购代理机构提出质疑。质疑供应商对采购人、采购代理机构的答复不满意或者采购人、采购代理机构未在规定的时间内作出答复的，可以在答复期满后15个工作日内向同级政府采购监督管理部门投诉。 </w:t>
      </w:r>
      <w:bookmarkStart w:id="484" w:name="_Toc419645322"/>
    </w:p>
    <w:bookmarkEnd w:id="484"/>
    <w:p w14:paraId="4F9A4DFE">
      <w:pPr>
        <w:pStyle w:val="3"/>
        <w:outlineLvl w:val="1"/>
        <w:rPr>
          <w:rFonts w:hint="eastAsia" w:ascii="宋体" w:hAnsi="宋体" w:eastAsia="宋体"/>
          <w:highlight w:val="none"/>
        </w:rPr>
      </w:pPr>
      <w:bookmarkStart w:id="485" w:name="_Toc31310"/>
      <w:bookmarkStart w:id="486" w:name="_Toc6099"/>
      <w:bookmarkStart w:id="487" w:name="_Toc10773"/>
      <w:bookmarkStart w:id="488" w:name="_Toc17117"/>
      <w:bookmarkStart w:id="489" w:name="_Toc30228"/>
      <w:bookmarkStart w:id="490" w:name="_Toc29725"/>
      <w:bookmarkStart w:id="491" w:name="_Toc5690"/>
      <w:bookmarkStart w:id="492" w:name="_Toc30779"/>
      <w:bookmarkStart w:id="493" w:name="_Toc246996224"/>
      <w:bookmarkStart w:id="494" w:name="_Toc338840489"/>
      <w:bookmarkStart w:id="495" w:name="_Toc338840235"/>
      <w:bookmarkStart w:id="496" w:name="_Toc152045580"/>
      <w:bookmarkStart w:id="497" w:name="_Toc338840450"/>
      <w:bookmarkStart w:id="498" w:name="_Toc179632598"/>
      <w:bookmarkStart w:id="499" w:name="_Toc615"/>
      <w:bookmarkStart w:id="500" w:name="_Toc16148"/>
      <w:bookmarkStart w:id="501" w:name="_Toc246996967"/>
      <w:bookmarkStart w:id="502" w:name="_Toc144974547"/>
      <w:bookmarkStart w:id="503" w:name="_Toc346523410"/>
      <w:bookmarkStart w:id="504" w:name="_Toc152042357"/>
      <w:bookmarkStart w:id="505" w:name="_Toc346523473"/>
      <w:bookmarkStart w:id="506" w:name="_Toc247085738"/>
      <w:r>
        <w:rPr>
          <w:rFonts w:hint="eastAsia" w:ascii="宋体" w:hAnsi="宋体" w:eastAsia="宋体"/>
          <w:highlight w:val="none"/>
        </w:rPr>
        <w:t xml:space="preserve">9. </w:t>
      </w:r>
      <w:bookmarkEnd w:id="485"/>
      <w:bookmarkEnd w:id="486"/>
      <w:bookmarkEnd w:id="487"/>
      <w:bookmarkEnd w:id="488"/>
      <w:r>
        <w:rPr>
          <w:rFonts w:hint="eastAsia" w:ascii="宋体" w:hAnsi="宋体" w:eastAsia="宋体"/>
          <w:highlight w:val="none"/>
        </w:rPr>
        <w:t>政府采购政策</w:t>
      </w:r>
      <w:r>
        <w:rPr>
          <w:rFonts w:hint="eastAsia" w:ascii="宋体" w:hAnsi="宋体" w:eastAsia="宋体"/>
          <w:highlight w:val="none"/>
          <w:lang w:eastAsia="zh-CN"/>
        </w:rPr>
        <w:t>（</w:t>
      </w:r>
      <w:r>
        <w:rPr>
          <w:rFonts w:hint="eastAsia" w:ascii="宋体" w:hAnsi="宋体" w:eastAsia="宋体"/>
          <w:highlight w:val="none"/>
        </w:rPr>
        <w:t>包括但不限于</w:t>
      </w:r>
      <w:r>
        <w:rPr>
          <w:rFonts w:hint="eastAsia" w:ascii="宋体" w:hAnsi="宋体" w:eastAsia="宋体"/>
          <w:highlight w:val="none"/>
          <w:lang w:val="en-US" w:eastAsia="zh-CN"/>
        </w:rPr>
        <w:t>以下内容</w:t>
      </w:r>
      <w:r>
        <w:rPr>
          <w:rFonts w:hint="eastAsia" w:ascii="宋体" w:hAnsi="宋体" w:eastAsia="宋体"/>
          <w:highlight w:val="none"/>
          <w:lang w:eastAsia="zh-CN"/>
        </w:rPr>
        <w:t>）</w:t>
      </w:r>
      <w:bookmarkEnd w:id="489"/>
      <w:bookmarkEnd w:id="490"/>
    </w:p>
    <w:p w14:paraId="2A463519">
      <w:pPr>
        <w:pStyle w:val="4"/>
        <w:outlineLvl w:val="2"/>
        <w:rPr>
          <w:rFonts w:hint="eastAsia" w:ascii="宋体" w:hAnsi="宋体"/>
          <w:highlight w:val="none"/>
          <w:lang w:val="en-US" w:eastAsia="zh-CN"/>
        </w:rPr>
      </w:pPr>
      <w:r>
        <w:rPr>
          <w:rFonts w:hint="eastAsia" w:ascii="宋体" w:hAnsi="宋体"/>
          <w:highlight w:val="none"/>
          <w:lang w:val="en-US" w:eastAsia="zh-CN"/>
        </w:rPr>
        <w:t>9.1中小企业、监狱企业及残疾人福利性单位</w:t>
      </w:r>
    </w:p>
    <w:p w14:paraId="187F6971">
      <w:pPr>
        <w:spacing w:line="400" w:lineRule="exact"/>
        <w:ind w:firstLine="420" w:firstLineChars="200"/>
        <w:outlineLvl w:val="3"/>
        <w:rPr>
          <w:rFonts w:hint="eastAsia" w:ascii="宋体" w:hAnsi="宋体"/>
          <w:highlight w:val="none"/>
          <w:lang w:val="en-US" w:eastAsia="zh-CN"/>
        </w:rPr>
      </w:pPr>
      <w:r>
        <w:rPr>
          <w:rFonts w:hint="eastAsia" w:ascii="宋体" w:hAnsi="宋体"/>
          <w:highlight w:val="none"/>
          <w:lang w:val="en-US" w:eastAsia="zh-CN"/>
        </w:rPr>
        <w:t>9.1.1中小企业。</w:t>
      </w:r>
    </w:p>
    <w:p w14:paraId="6354BB05">
      <w:pPr>
        <w:spacing w:line="400" w:lineRule="exact"/>
        <w:ind w:firstLine="420" w:firstLineChars="200"/>
        <w:rPr>
          <w:rFonts w:hint="eastAsia" w:ascii="宋体" w:hAnsi="宋体"/>
          <w:highlight w:val="none"/>
          <w:lang w:val="en-US" w:eastAsia="zh-CN"/>
        </w:rPr>
      </w:pPr>
      <w:r>
        <w:rPr>
          <w:rFonts w:hint="eastAsia" w:ascii="宋体" w:hAnsi="宋体"/>
          <w:highlight w:val="none"/>
          <w:lang w:val="en-US" w:eastAsia="zh-CN"/>
        </w:rPr>
        <w:t>9.1.1.1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号）、《金融业企业划型标准规定》（银发〔2015〕309号）等国务院批准的中小企业划分标准执行。</w:t>
      </w:r>
    </w:p>
    <w:p w14:paraId="04E7FE65">
      <w:pPr>
        <w:spacing w:line="400" w:lineRule="exact"/>
        <w:ind w:firstLine="420" w:firstLineChars="200"/>
        <w:rPr>
          <w:rFonts w:hint="eastAsia" w:ascii="宋体" w:hAnsi="宋体"/>
          <w:highlight w:val="none"/>
          <w:lang w:val="en-US" w:eastAsia="zh-CN"/>
        </w:rPr>
      </w:pPr>
      <w:r>
        <w:rPr>
          <w:rFonts w:hint="eastAsia" w:ascii="宋体" w:hAnsi="宋体"/>
          <w:highlight w:val="none"/>
          <w:lang w:val="en-US" w:eastAsia="zh-CN"/>
        </w:rPr>
        <w:t>9.1.1.2中小企业扶持政策。供应商按要求出具《中小企业声明函》，符合下列情形的，可享受中小企业扶持政策：（一）在货物采购项目中，货物由中小企业制造，即货物由中小企业生产且使用该中小企业商号或者注册商标； （二）在工程采购项目中，工程由中小企业承建，即工程施工单位为中小企业； （三）在服务采购项目中，服务由中小企业承接，即提供服务的人员为中小企业依照《中华人民共和国劳动合同法》 订立劳动合同的从业人员。</w:t>
      </w:r>
    </w:p>
    <w:p w14:paraId="59732C98">
      <w:pPr>
        <w:spacing w:line="400" w:lineRule="exact"/>
        <w:ind w:firstLine="420" w:firstLineChars="200"/>
        <w:rPr>
          <w:rFonts w:hint="eastAsia" w:ascii="宋体" w:hAnsi="宋体"/>
          <w:highlight w:val="none"/>
          <w:lang w:val="en-US" w:eastAsia="zh-CN"/>
        </w:rPr>
      </w:pPr>
      <w:r>
        <w:rPr>
          <w:rFonts w:hint="eastAsia" w:ascii="宋体" w:hAnsi="宋体"/>
          <w:highlight w:val="none"/>
          <w:lang w:val="en-US" w:eastAsia="zh-CN"/>
        </w:rPr>
        <w:t>9.1.1.3在货物采购项目中，供应商提供的货物既有中小企业制造货物，也有大型企业制造货物的，不享受中小企业扶持政策。</w:t>
      </w:r>
    </w:p>
    <w:p w14:paraId="481218E7">
      <w:pPr>
        <w:spacing w:line="400" w:lineRule="exact"/>
        <w:ind w:firstLine="420" w:firstLineChars="200"/>
        <w:rPr>
          <w:rFonts w:hint="eastAsia" w:ascii="宋体" w:hAnsi="宋体"/>
          <w:highlight w:val="none"/>
          <w:lang w:val="en-US" w:eastAsia="zh-CN"/>
        </w:rPr>
      </w:pPr>
      <w:r>
        <w:rPr>
          <w:rFonts w:hint="eastAsia" w:ascii="宋体" w:hAnsi="宋体"/>
          <w:highlight w:val="none"/>
          <w:lang w:val="en-US" w:eastAsia="zh-CN"/>
        </w:rPr>
        <w:t>9.1.1.4以联合体形式参加政府采购活动，联合体各方均为中小企业的，联合体视同中小企业。其中，联合体各方均为小微企业的，联合体视同小微企业。</w:t>
      </w:r>
    </w:p>
    <w:p w14:paraId="09F9E501">
      <w:pPr>
        <w:spacing w:line="400" w:lineRule="exact"/>
        <w:ind w:firstLine="420" w:firstLineChars="200"/>
        <w:rPr>
          <w:rFonts w:hint="eastAsia" w:ascii="宋体" w:hAnsi="宋体"/>
          <w:highlight w:val="none"/>
          <w:lang w:val="en-US" w:eastAsia="zh-CN"/>
        </w:rPr>
      </w:pPr>
      <w:bookmarkStart w:id="507" w:name="bookmark25"/>
      <w:bookmarkEnd w:id="507"/>
      <w:r>
        <w:rPr>
          <w:rFonts w:hint="eastAsia" w:ascii="宋体" w:hAnsi="宋体"/>
          <w:highlight w:val="none"/>
          <w:lang w:val="en-US" w:eastAsia="zh-CN"/>
        </w:rPr>
        <w:t xml:space="preserve">9.1.2监狱企业。在政府采购活动中，监狱企业视同小型、微型企业，享受预留份额、评审中价格扣除等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w:t>
      </w:r>
    </w:p>
    <w:p w14:paraId="28823B1B">
      <w:pPr>
        <w:spacing w:line="400" w:lineRule="exact"/>
        <w:ind w:firstLine="420" w:firstLineChars="200"/>
        <w:rPr>
          <w:rFonts w:hint="eastAsia" w:ascii="宋体" w:hAnsi="宋体"/>
          <w:highlight w:val="none"/>
          <w:lang w:val="en-US" w:eastAsia="zh-CN"/>
        </w:rPr>
      </w:pPr>
      <w:r>
        <w:rPr>
          <w:rFonts w:hint="eastAsia" w:ascii="宋体" w:hAnsi="宋体"/>
          <w:highlight w:val="none"/>
          <w:lang w:val="en-US" w:eastAsia="zh-CN"/>
        </w:rPr>
        <w:t>9.1.2.1监狱企业参加政府采购活动时，应当提供由省级以上监狱管理局、戒毒管理局（含新疆生产建设兵团）出具的属于监狱企业的证明文件，才能享受相关评审优惠政策。</w:t>
      </w:r>
    </w:p>
    <w:p w14:paraId="39EBE35C">
      <w:pPr>
        <w:spacing w:line="400" w:lineRule="exact"/>
        <w:ind w:firstLine="420" w:firstLineChars="200"/>
        <w:rPr>
          <w:rFonts w:hint="eastAsia" w:ascii="宋体" w:hAnsi="宋体"/>
          <w:highlight w:val="none"/>
          <w:lang w:val="en-US" w:eastAsia="zh-CN"/>
        </w:rPr>
      </w:pPr>
      <w:r>
        <w:rPr>
          <w:rFonts w:hint="eastAsia" w:ascii="宋体" w:hAnsi="宋体"/>
          <w:highlight w:val="none"/>
          <w:lang w:val="en-US" w:eastAsia="zh-CN"/>
        </w:rPr>
        <w:t>9.1.3残疾人福利性单位。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02BFC91D">
      <w:pPr>
        <w:spacing w:line="400" w:lineRule="exact"/>
        <w:ind w:firstLine="420" w:firstLineChars="200"/>
        <w:rPr>
          <w:rFonts w:hint="eastAsia" w:ascii="宋体" w:hAnsi="宋体"/>
          <w:highlight w:val="none"/>
          <w:lang w:val="en-US" w:eastAsia="zh-CN"/>
        </w:rPr>
      </w:pPr>
      <w:r>
        <w:rPr>
          <w:rFonts w:hint="eastAsia" w:ascii="宋体" w:hAnsi="宋体"/>
          <w:highlight w:val="none"/>
          <w:lang w:val="en-US" w:eastAsia="zh-CN"/>
        </w:rPr>
        <w:t>1）安置的残疾人占本单位在职职工人数的比例不低于25%（含25%），并且安置的残疾人人数不少于10人（含10人）；</w:t>
      </w:r>
    </w:p>
    <w:p w14:paraId="27CF6899">
      <w:pPr>
        <w:spacing w:line="400" w:lineRule="exact"/>
        <w:ind w:firstLine="420" w:firstLineChars="200"/>
        <w:rPr>
          <w:rFonts w:hint="eastAsia" w:ascii="宋体" w:hAnsi="宋体"/>
          <w:highlight w:val="none"/>
          <w:lang w:val="en-US" w:eastAsia="zh-CN"/>
        </w:rPr>
      </w:pPr>
      <w:r>
        <w:rPr>
          <w:rFonts w:hint="eastAsia" w:ascii="宋体" w:hAnsi="宋体"/>
          <w:highlight w:val="none"/>
          <w:lang w:val="en-US" w:eastAsia="zh-CN"/>
        </w:rPr>
        <w:t>2）依法与安置的每位残疾人签订了一年以上（含一年）的劳动合同或服务协议；</w:t>
      </w:r>
    </w:p>
    <w:p w14:paraId="520EDC53">
      <w:pPr>
        <w:spacing w:line="400" w:lineRule="exact"/>
        <w:ind w:firstLine="420" w:firstLineChars="200"/>
        <w:rPr>
          <w:rFonts w:hint="eastAsia" w:ascii="宋体" w:hAnsi="宋体"/>
          <w:highlight w:val="none"/>
          <w:lang w:val="en-US" w:eastAsia="zh-CN"/>
        </w:rPr>
      </w:pPr>
      <w:r>
        <w:rPr>
          <w:rFonts w:hint="eastAsia" w:ascii="宋体" w:hAnsi="宋体"/>
          <w:highlight w:val="none"/>
          <w:lang w:val="en-US" w:eastAsia="zh-CN"/>
        </w:rPr>
        <w:t>3）为安置的每位残疾人按月足额缴纳了基本养老保险、基本医疗保险、失业保险、工伤保险和生育保险等社会保险费；</w:t>
      </w:r>
    </w:p>
    <w:p w14:paraId="1571A2F7">
      <w:pPr>
        <w:spacing w:line="400" w:lineRule="exact"/>
        <w:ind w:firstLine="420" w:firstLineChars="200"/>
        <w:rPr>
          <w:rFonts w:hint="eastAsia" w:ascii="宋体" w:hAnsi="宋体"/>
          <w:highlight w:val="none"/>
          <w:lang w:val="en-US" w:eastAsia="zh-CN"/>
        </w:rPr>
      </w:pPr>
      <w:r>
        <w:rPr>
          <w:rFonts w:hint="eastAsia" w:ascii="宋体" w:hAnsi="宋体"/>
          <w:highlight w:val="none"/>
          <w:lang w:val="en-US" w:eastAsia="zh-CN"/>
        </w:rPr>
        <w:t>4）通过银行等金融机构向安置的每位残疾人，按月支付了不低于单位所在区县适用的经省级人民政府批准的月最低工资标准的工资；</w:t>
      </w:r>
    </w:p>
    <w:p w14:paraId="2E5923C0">
      <w:pPr>
        <w:spacing w:line="400" w:lineRule="exact"/>
        <w:ind w:firstLine="420" w:firstLineChars="200"/>
        <w:rPr>
          <w:rFonts w:hint="eastAsia" w:ascii="宋体" w:hAnsi="宋体"/>
          <w:highlight w:val="none"/>
          <w:lang w:val="en-US" w:eastAsia="zh-CN"/>
        </w:rPr>
      </w:pPr>
      <w:r>
        <w:rPr>
          <w:rFonts w:hint="eastAsia" w:ascii="宋体" w:hAnsi="宋体"/>
          <w:highlight w:val="none"/>
          <w:lang w:val="en-US" w:eastAsia="zh-CN"/>
        </w:rPr>
        <w:t>5）提供本单位制造的货物、承担的工程或者服务（以下简称产品），或者提供其他残疾人福利性单位制造的货物（不包括使用非残疾人福利性单位注册商标的货物）；</w:t>
      </w:r>
    </w:p>
    <w:p w14:paraId="277FF5B8">
      <w:pPr>
        <w:spacing w:line="400" w:lineRule="exact"/>
        <w:ind w:firstLine="420" w:firstLineChars="200"/>
        <w:rPr>
          <w:rFonts w:hint="eastAsia" w:ascii="宋体" w:hAnsi="宋体"/>
          <w:highlight w:val="none"/>
          <w:lang w:val="en-US" w:eastAsia="zh-CN"/>
        </w:rPr>
      </w:pPr>
      <w:r>
        <w:rPr>
          <w:rFonts w:hint="eastAsia" w:ascii="宋体" w:hAnsi="宋体"/>
          <w:highlight w:val="none"/>
          <w:lang w:val="en-US" w:eastAsia="zh-CN"/>
        </w:rPr>
        <w:t>9.1.3.1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14:paraId="3661B4C4">
      <w:pPr>
        <w:spacing w:line="400" w:lineRule="exact"/>
        <w:ind w:firstLine="420" w:firstLineChars="200"/>
        <w:rPr>
          <w:rFonts w:hint="default" w:ascii="宋体" w:hAnsi="宋体"/>
          <w:highlight w:val="none"/>
          <w:lang w:val="en-US" w:eastAsia="zh-CN"/>
        </w:rPr>
      </w:pPr>
      <w:r>
        <w:rPr>
          <w:rFonts w:hint="eastAsia" w:ascii="宋体" w:hAnsi="宋体"/>
          <w:highlight w:val="none"/>
          <w:lang w:val="en-US" w:eastAsia="zh-CN"/>
        </w:rPr>
        <w:t>9.1.3.2符合条件的残疾人福利性单位在参加政府采购活动时，按要求提供《残疾人福利性单位声明函》（见附件），并对声明的真实性负责。提供本单位制造的货物、承担的工程或者服务，或者提供其他残疾人福利性单位制造的货物（不包括使用非残疾人福利性单位注册商标的货物），符合要求者才能享受相关评审优惠政策</w:t>
      </w:r>
    </w:p>
    <w:p w14:paraId="61664E33">
      <w:pPr>
        <w:spacing w:line="400" w:lineRule="exact"/>
        <w:ind w:firstLine="420" w:firstLineChars="200"/>
        <w:outlineLvl w:val="3"/>
        <w:rPr>
          <w:rFonts w:hint="eastAsia" w:ascii="宋体" w:hAnsi="宋体"/>
          <w:highlight w:val="none"/>
          <w:lang w:val="en-US" w:eastAsia="zh-CN"/>
        </w:rPr>
      </w:pPr>
      <w:r>
        <w:rPr>
          <w:rFonts w:hint="eastAsia" w:ascii="宋体" w:hAnsi="宋体"/>
          <w:highlight w:val="none"/>
          <w:lang w:val="en-US" w:eastAsia="zh-CN"/>
        </w:rPr>
        <w:t>9.1.4中小企业划型标准（如有调整以最新为准）：</w:t>
      </w:r>
    </w:p>
    <w:p w14:paraId="1DC2F49F">
      <w:pPr>
        <w:pStyle w:val="58"/>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Times New Roman"/>
          <w:kern w:val="2"/>
          <w:sz w:val="21"/>
          <w:szCs w:val="24"/>
          <w:highlight w:val="none"/>
          <w:lang w:val="en-US" w:eastAsia="zh-CN" w:bidi="ar-SA"/>
        </w:rPr>
      </w:pPr>
      <w:bookmarkStart w:id="508" w:name="_Hlk161150004"/>
      <w:r>
        <w:rPr>
          <w:rFonts w:hint="eastAsia" w:ascii="宋体" w:hAnsi="宋体" w:eastAsia="宋体" w:cs="Times New Roman"/>
          <w:kern w:val="2"/>
          <w:sz w:val="21"/>
          <w:szCs w:val="24"/>
          <w:highlight w:val="none"/>
          <w:lang w:val="en-US" w:eastAsia="zh-CN" w:bidi="ar-SA"/>
        </w:rPr>
        <w:t>关于印发中小企业划型标准规定的通知</w:t>
      </w:r>
    </w:p>
    <w:p w14:paraId="16882B7F">
      <w:pPr>
        <w:pStyle w:val="58"/>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（工信部联企业〔2011〕300号）</w:t>
      </w:r>
      <w:bookmarkEnd w:id="508"/>
      <w:r>
        <w:rPr>
          <w:rFonts w:hint="eastAsia" w:ascii="宋体" w:hAnsi="宋体" w:eastAsia="宋体" w:cs="Times New Roman"/>
          <w:kern w:val="2"/>
          <w:sz w:val="21"/>
          <w:szCs w:val="24"/>
          <w:highlight w:val="none"/>
          <w:lang w:val="en-US" w:eastAsia="zh-CN" w:bidi="ar-SA"/>
        </w:rPr>
        <w:t>：</w:t>
      </w:r>
    </w:p>
    <w:p w14:paraId="28376324">
      <w:pPr>
        <w:keepNext w:val="0"/>
        <w:keepLines w:val="0"/>
        <w:pageBreakBefore w:val="0"/>
        <w:widowControl w:val="0"/>
        <w:kinsoku/>
        <w:wordWrap/>
        <w:overflowPunct/>
        <w:topLinePunct w:val="0"/>
        <w:autoSpaceDE/>
        <w:autoSpaceDN/>
        <w:bidi w:val="0"/>
        <w:spacing w:line="240" w:lineRule="auto"/>
        <w:ind w:firstLine="420" w:firstLineChars="200"/>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一、根据《中华人民共和国中小企业促进法》和《国务院关于进一步促进中小企业发展的若干意见》(国发〔2009〕36号)，制定本规定。</w:t>
      </w:r>
    </w:p>
    <w:p w14:paraId="2A6AB685">
      <w:pPr>
        <w:keepNext w:val="0"/>
        <w:keepLines w:val="0"/>
        <w:pageBreakBefore w:val="0"/>
        <w:widowControl w:val="0"/>
        <w:kinsoku/>
        <w:wordWrap/>
        <w:overflowPunct/>
        <w:topLinePunct w:val="0"/>
        <w:autoSpaceDE/>
        <w:autoSpaceDN/>
        <w:bidi w:val="0"/>
        <w:spacing w:line="240" w:lineRule="auto"/>
        <w:ind w:firstLine="420" w:firstLineChars="200"/>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二、中小企业划分为中型、小型、微型三种类型，具体标准根据企业从业人员、营业收入、资产总额等指标，结合行业特点制定。</w:t>
      </w:r>
    </w:p>
    <w:p w14:paraId="2A4CF42E">
      <w:pPr>
        <w:keepNext w:val="0"/>
        <w:keepLines w:val="0"/>
        <w:pageBreakBefore w:val="0"/>
        <w:widowControl w:val="0"/>
        <w:kinsoku/>
        <w:wordWrap/>
        <w:overflowPunct/>
        <w:topLinePunct w:val="0"/>
        <w:autoSpaceDE/>
        <w:autoSpaceDN/>
        <w:bidi w:val="0"/>
        <w:spacing w:line="240" w:lineRule="auto"/>
        <w:ind w:firstLine="420" w:firstLineChars="200"/>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4F1661E4">
      <w:pPr>
        <w:keepNext w:val="0"/>
        <w:keepLines w:val="0"/>
        <w:pageBreakBefore w:val="0"/>
        <w:widowControl w:val="0"/>
        <w:kinsoku/>
        <w:wordWrap/>
        <w:overflowPunct/>
        <w:topLinePunct w:val="0"/>
        <w:autoSpaceDE/>
        <w:autoSpaceDN/>
        <w:bidi w:val="0"/>
        <w:spacing w:line="240" w:lineRule="auto"/>
        <w:ind w:firstLine="420" w:firstLineChars="200"/>
        <w:textAlignment w:val="auto"/>
        <w:outlineLvl w:val="4"/>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四、各行业划型标准为：</w:t>
      </w:r>
    </w:p>
    <w:p w14:paraId="148EEE8D">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（一）农、林、牧、渔业。营业收入20000万元以下的为中小微型企业。其中，营业收入500万元及以上的为中型企业，营业收入50万元及以上的为小型企业，营业收入50万元以下的为微型企业。</w:t>
      </w:r>
    </w:p>
    <w:p w14:paraId="53FF93B9">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458DCF40">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677049A6">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5C15419C">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74898A9E">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53D08E05">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1D3DFB17">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722041A8">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5149236E">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7C4E4111">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3B74DA30">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62DD038C">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19DC1BD1">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0D1C7B76">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542F87DD">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（十六）其他未列明行业。从业人员300人以下的为中小微型企业。其中，从业人员100人及以上的为中型企业；从业人员10人及以上的为小型企业；从业人员10人以下的为微型企业。</w:t>
      </w:r>
    </w:p>
    <w:p w14:paraId="420C6A83">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outlineLvl w:val="4"/>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五、企业类型的划分以统计部门的统计数据为依据。</w:t>
      </w:r>
    </w:p>
    <w:p w14:paraId="6F09C9E0">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六、本规定适用于在中华人民共和国境内依法设立的各类所有制和各种组织形式的企业。个体工商户和本规定以外的行业，参照本规定进行划型。</w:t>
      </w:r>
    </w:p>
    <w:p w14:paraId="7BD4206F">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七、本规定的中型企业标准上限即为大型企业标准的下限，国家统计部门据此制定大中小微型企业的统计分类。国务院有关部门据此进行相关数据分析，不得制定与本规定不一致的企业划型标准。</w:t>
      </w:r>
    </w:p>
    <w:p w14:paraId="0C966E32">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八、本规定由工业和信息化部、国家统计局会同有关部门根据《国民经济行业分类》修订情况和企业发展变化情况适时修订。</w:t>
      </w:r>
    </w:p>
    <w:p w14:paraId="79D8AB1B">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outlineLvl w:val="4"/>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九、本规定由工业和信息化部、国家统计局会同有关部门负责解释。</w:t>
      </w:r>
    </w:p>
    <w:p w14:paraId="36AE00CF">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十、本规定自发布之日起执行，原国家经贸委、原国家计委、财政部和国家统计局2003年颁布的《中小企业标准暂行规定》同时废止。</w:t>
      </w:r>
    </w:p>
    <w:p w14:paraId="60CCEBDB">
      <w:pPr>
        <w:pStyle w:val="4"/>
        <w:outlineLvl w:val="2"/>
        <w:rPr>
          <w:rFonts w:hint="eastAsia" w:ascii="宋体" w:hAnsi="宋体"/>
          <w:highlight w:val="none"/>
          <w:lang w:val="en-US" w:eastAsia="zh-CN"/>
        </w:rPr>
      </w:pPr>
      <w:r>
        <w:rPr>
          <w:rFonts w:hint="eastAsia" w:ascii="宋体" w:hAnsi="宋体"/>
          <w:highlight w:val="none"/>
          <w:lang w:val="en-US" w:eastAsia="zh-CN"/>
        </w:rPr>
        <w:t>9.2政府采购节能产品、环境标志产品</w:t>
      </w:r>
    </w:p>
    <w:p w14:paraId="7B527C53">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9.2.1根据《关于调整优化节能产品、环境标志产品政府采购执行机制的通知》（财库〔2019〕9号）规定，财政部、发展改革委、生态环境部等部门根据产品节能环保性能、技术水平和市场成熟程度等因素，确定实施政府采购优先采购和强制采购的产品类别及所依据的相关标准规范，以品目清单的形式发布并适时调整。依据品目清单和认证证书实施政府优先采购和强制采购。</w:t>
      </w:r>
    </w:p>
    <w:p w14:paraId="7E0E0CD9">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9.2.2环境标志产品政府采购品目清单详见《关于印发环境标志产品政府采购品目清单的通知》（财库〔2019〕18号）；节能产品政府采购品目清单详见《关于印发节能产品政府采购品目清单的通知》（财库〔2019〕19号）；政府采购节能产品、环境标志产品认证机构详见《市场监管总局关于发布参与实施政府采购节能产品、环境标志产品认证机构名录的公告》（2019年第16号）。有更新和调整时按最新要求执行。本项目采购产品中如有属于“节能产品政府采购品目清单”范围的强制采购产品，则供应商所投产品必须获得国家确定的认证机构出具的、处于有效期之内的节能产品认证证书，否则投标无效。</w:t>
      </w:r>
    </w:p>
    <w:p w14:paraId="5CC7342B">
      <w:pPr>
        <w:pStyle w:val="4"/>
        <w:outlineLvl w:val="2"/>
        <w:rPr>
          <w:rFonts w:hint="eastAsia" w:ascii="宋体" w:hAnsi="宋体"/>
          <w:highlight w:val="none"/>
          <w:lang w:val="en-US" w:eastAsia="zh-CN"/>
        </w:rPr>
      </w:pPr>
      <w:r>
        <w:rPr>
          <w:rFonts w:hint="eastAsia" w:ascii="宋体" w:hAnsi="宋体"/>
          <w:highlight w:val="none"/>
          <w:lang w:val="en-US" w:eastAsia="zh-CN"/>
        </w:rPr>
        <w:t>9.3支持乡村产业振兴</w:t>
      </w:r>
    </w:p>
    <w:p w14:paraId="04D7E932">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落实《关于运用政府采购政策支持乡村产业振兴的通知》（财库〔2021〕19号）有关要求，做好支持乡村振兴工作。</w:t>
      </w:r>
    </w:p>
    <w:p w14:paraId="5D26B814">
      <w:pPr>
        <w:pStyle w:val="4"/>
        <w:outlineLvl w:val="2"/>
        <w:rPr>
          <w:rFonts w:hint="eastAsia" w:ascii="宋体" w:hAnsi="宋体"/>
          <w:highlight w:val="none"/>
          <w:lang w:val="en-US" w:eastAsia="zh-CN"/>
        </w:rPr>
      </w:pPr>
      <w:r>
        <w:rPr>
          <w:rFonts w:hint="eastAsia" w:ascii="宋体" w:hAnsi="宋体"/>
          <w:highlight w:val="none"/>
          <w:lang w:val="en-US" w:eastAsia="zh-CN"/>
        </w:rPr>
        <w:t>9.4正版软件</w:t>
      </w:r>
    </w:p>
    <w:p w14:paraId="4AAB4771">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各级政府部门在购置计算机办公设备时，必须采购预装正版操作系统软件的计算机产品，相关规定依据《国家版权局 信息产业部 财政部 国务院机关事务管理局关于政府部门购置计算机办公设备必须采购已预装正版操作系统软件产品的通知》（国权联〔2006〕1号）、《国务院办公厅关于进一步做好政府机关使用正版软件工作的通知》（国办发〔2010〕47号）、《财政部关于进一步做好政府机关使用正版软件工作的通知》（财预〔2010〕536号）。</w:t>
      </w:r>
    </w:p>
    <w:p w14:paraId="7E0FC361">
      <w:pPr>
        <w:pStyle w:val="4"/>
        <w:outlineLvl w:val="2"/>
        <w:rPr>
          <w:rFonts w:hint="eastAsia" w:ascii="宋体" w:hAnsi="宋体"/>
          <w:highlight w:val="none"/>
          <w:lang w:val="en-US" w:eastAsia="zh-CN"/>
        </w:rPr>
      </w:pPr>
      <w:r>
        <w:rPr>
          <w:rFonts w:hint="eastAsia" w:ascii="宋体" w:hAnsi="宋体"/>
          <w:highlight w:val="none"/>
          <w:lang w:val="en-US" w:eastAsia="zh-CN"/>
        </w:rPr>
        <w:t>9.5政务信息系统</w:t>
      </w:r>
    </w:p>
    <w:p w14:paraId="6A839A10">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default"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采购内容涉及政务信息系统时，应当符合《政务信息系统政府采购管理暂行办法》（财库〔2017〕210号）相关要求。</w:t>
      </w:r>
    </w:p>
    <w:p w14:paraId="05C34F20">
      <w:pPr>
        <w:pStyle w:val="4"/>
        <w:outlineLvl w:val="2"/>
        <w:rPr>
          <w:rFonts w:hint="eastAsia" w:ascii="宋体" w:hAnsi="宋体"/>
          <w:highlight w:val="none"/>
          <w:lang w:val="en-US" w:eastAsia="zh-CN"/>
        </w:rPr>
      </w:pPr>
      <w:r>
        <w:rPr>
          <w:rFonts w:hint="eastAsia" w:ascii="宋体" w:hAnsi="宋体"/>
          <w:highlight w:val="none"/>
          <w:lang w:val="en-US" w:eastAsia="zh-CN"/>
        </w:rPr>
        <w:t>9.6网络关键设备和网络安全专用产品</w:t>
      </w:r>
    </w:p>
    <w:p w14:paraId="0DE6EF95">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根据国家互联网信息办公室 工业和信息化部 公安部 财政部 国家认证认可监督管理委员会《关于调整网络安全专用产品安全管理有关事项的公告》（2023年第1号），列入《网络关键设备和网络安全专用产品目录》的网络安全专用产品应当按照《信息安全技术网络安全专用产品安全技术要求》等相关国家标准的强制性要求，由具备资格的机构安全认证合格或者安全检测符合要求后，方可销售或者提供。具备资格的机构是指列入《承担网络关键设备和网络安全专用产品安全认证和安全检测任务机构名录》的机构。</w:t>
      </w:r>
    </w:p>
    <w:p w14:paraId="0BD5C70E">
      <w:pPr>
        <w:pStyle w:val="4"/>
        <w:outlineLvl w:val="2"/>
        <w:rPr>
          <w:rFonts w:hint="default" w:ascii="宋体" w:hAnsi="宋体"/>
          <w:highlight w:val="none"/>
          <w:lang w:val="en-US" w:eastAsia="zh-CN"/>
        </w:rPr>
      </w:pPr>
      <w:r>
        <w:rPr>
          <w:rFonts w:hint="eastAsia" w:ascii="宋体" w:hAnsi="宋体"/>
          <w:highlight w:val="none"/>
          <w:lang w:val="en-US" w:eastAsia="zh-CN"/>
        </w:rPr>
        <w:t>9.7政府采购需求标准</w:t>
      </w:r>
    </w:p>
    <w:p w14:paraId="359342B0">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落实财政部门及财政部门会同有关部门制定发布的有关政府采购需求标准，有更新和调整时按最新要求执行。</w:t>
      </w:r>
    </w:p>
    <w:p w14:paraId="24EC0A14">
      <w:pPr>
        <w:pStyle w:val="4"/>
        <w:outlineLvl w:val="2"/>
        <w:rPr>
          <w:rFonts w:hint="eastAsia" w:ascii="宋体" w:hAnsi="宋体"/>
          <w:highlight w:val="none"/>
          <w:lang w:val="en-US" w:eastAsia="zh-CN"/>
        </w:rPr>
      </w:pPr>
      <w:r>
        <w:rPr>
          <w:rFonts w:hint="eastAsia" w:ascii="宋体" w:hAnsi="宋体"/>
          <w:highlight w:val="none"/>
          <w:lang w:val="en-US" w:eastAsia="zh-CN"/>
        </w:rPr>
        <w:t>9.8采购本国货物、工程和服务。</w:t>
      </w:r>
    </w:p>
    <w:p w14:paraId="5A23A820">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9.8.1政府采购应当采购本国货物、工程和服务。但有《中华人民共和国政府采购法》第十条规定情形的除外。</w:t>
      </w:r>
    </w:p>
    <w:p w14:paraId="48257CBC">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9.8.2本项目如接受非本国货物、工程、服务参与投标，则按具体要求。</w:t>
      </w:r>
    </w:p>
    <w:p w14:paraId="14870937">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9.8.3招标文件未特别注明接受“进口产品”字样的，均视为不接受进口产品。</w:t>
      </w:r>
    </w:p>
    <w:p w14:paraId="194571BA">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进口产品是指通过中国海关报关验放进入中国境内且产自关境外的产品，包括已经进入中国境内的进口产品。关于进口产品的相关规定依据《政府采购进口产品管理办法》（财库〔2007〕119号）、《关于政府采购进口产品管理有关问题的通知》（财办库〔2008〕248号）。</w:t>
      </w:r>
    </w:p>
    <w:p w14:paraId="5EF9DDF2">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outlineLvl w:val="3"/>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9.8.4本国产品标准及相关政策</w:t>
      </w:r>
    </w:p>
    <w:p w14:paraId="5325401A">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落实《国务院办公厅关于在政府采购中实施本国产品标准及相关政策的通知》（国办发〔2025〕34号）的规定，落实《财政部 工业和信息化部关于贯彻落实〈国务院办公厅关于在政府采购中实施本国产品标准及相关政策的通知〉的意见》（财库〔2025〕30号）相关要求。</w:t>
      </w:r>
    </w:p>
    <w:p w14:paraId="1CD7C77C">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9.8.4.1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43CE44E0">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9.8.4.2根据《国务院办公厅关于在政府采购中实施本国产品标准及相关政策的通知》规定，在分产品确定在中国境内生产的组件成本占比要求、以及特定产品的关键组件、关键工序相关要求实施前，本国产品应当符合以下条件：产品应当在中国境内生产，即在中华人民共和国关境内实现从原材料、组件到产品的属性改变。属性改变是指经过制造、加工或者组装等工序，产生完全不同于原材料、组件的新产品，并具有新的名称和特征（用途）。属性改变不包括以下细微操作：1.为确保产品在运输或者储存期间保持某种状态而进行的操作；2.为产品运输或者销售进行的包装或者展示；3.在产品或者其包装上粘贴或者印刷品牌、标志、标识以及其他用于区别的标记；4.简单地上漆、磨光和分装；5.其他不属于属性改变的情形。</w:t>
      </w:r>
    </w:p>
    <w:p w14:paraId="6182B7EE">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9.8.4.3政府采购活动中既有本国产品又有非本国产品参与竞争的，依法对本国产品给予价格评审优惠，对本国产品的报价给予20%的价格扣除，用扣除后的价格参与评审。</w:t>
      </w:r>
    </w:p>
    <w:p w14:paraId="4CB9DA32">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default"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D22B20B">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9.8.4.4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666EC0B2">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除另有约定外本项目不接受进口产品投标，所述的非本国产品不包括进口产品。</w:t>
      </w:r>
    </w:p>
    <w:p w14:paraId="4BD1DA49">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9.8.4.5供应商对其提供的产品出具《关于符合本国产品标准的声明函》或财政部会同有关部门规定的有关证明文件，符合要求的，该产品视为本国产品。供应商提供虚假声明函、虚假证明文件的，依照政府采购法等法律法规追究责任。</w:t>
      </w:r>
    </w:p>
    <w:p w14:paraId="5071BAA3">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中标人的《关于符合本国产品标准的声明函》或有关证明文件将随中标、成交结果同时公告。</w:t>
      </w:r>
    </w:p>
    <w:p w14:paraId="4AC4AFA4">
      <w:pPr>
        <w:pStyle w:val="4"/>
        <w:outlineLvl w:val="2"/>
        <w:rPr>
          <w:rFonts w:hint="eastAsia" w:ascii="宋体" w:hAnsi="宋体"/>
          <w:highlight w:val="none"/>
          <w:lang w:val="en-US" w:eastAsia="zh-CN"/>
        </w:rPr>
      </w:pPr>
      <w:r>
        <w:rPr>
          <w:rFonts w:hint="eastAsia" w:ascii="宋体" w:hAnsi="宋体"/>
          <w:highlight w:val="none"/>
          <w:lang w:val="en-US" w:eastAsia="zh-CN"/>
        </w:rPr>
        <w:t>9.9政府采购合同融资政策。见第二部分供应商须知前附表。</w:t>
      </w:r>
    </w:p>
    <w:p w14:paraId="15C65B1D">
      <w:pPr>
        <w:pStyle w:val="4"/>
        <w:outlineLvl w:val="2"/>
        <w:rPr>
          <w:rFonts w:hint="eastAsia" w:ascii="宋体" w:hAnsi="宋体"/>
          <w:highlight w:val="none"/>
          <w:lang w:val="en-US" w:eastAsia="zh-CN"/>
        </w:rPr>
      </w:pPr>
      <w:r>
        <w:rPr>
          <w:rFonts w:hint="eastAsia" w:ascii="宋体" w:hAnsi="宋体"/>
          <w:highlight w:val="none"/>
          <w:lang w:val="en-US" w:eastAsia="zh-CN"/>
        </w:rPr>
        <w:t>9.10其他政府采购政策。</w:t>
      </w:r>
    </w:p>
    <w:p w14:paraId="15E722DE">
      <w:pPr>
        <w:pStyle w:val="3"/>
        <w:outlineLvl w:val="1"/>
        <w:rPr>
          <w:rFonts w:ascii="宋体" w:hAnsi="宋体" w:eastAsia="宋体"/>
          <w:highlight w:val="none"/>
        </w:rPr>
      </w:pPr>
      <w:bookmarkStart w:id="509" w:name="_Toc20820"/>
      <w:bookmarkStart w:id="510" w:name="_Toc10447"/>
      <w:r>
        <w:rPr>
          <w:rFonts w:hint="eastAsia" w:ascii="宋体" w:hAnsi="宋体" w:eastAsia="宋体"/>
          <w:highlight w:val="none"/>
        </w:rPr>
        <w:t>10. 需要补充的其他内容</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9"/>
      <w:bookmarkEnd w:id="510"/>
    </w:p>
    <w:p w14:paraId="4081C762">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ascii="宋体" w:hAnsi="宋体"/>
          <w:highlight w:val="none"/>
        </w:rPr>
      </w:pPr>
      <w:r>
        <w:rPr>
          <w:rFonts w:hint="eastAsia" w:ascii="宋体" w:hAnsi="宋体"/>
          <w:highlight w:val="none"/>
        </w:rPr>
        <w:t>需要补充的其他内容：见供应商须知前附表。</w:t>
      </w:r>
    </w:p>
    <w:p w14:paraId="2F7FD842">
      <w:pPr>
        <w:pStyle w:val="3"/>
        <w:outlineLvl w:val="1"/>
        <w:rPr>
          <w:rFonts w:ascii="宋体" w:hAnsi="宋体" w:eastAsia="宋体"/>
          <w:highlight w:val="none"/>
        </w:rPr>
      </w:pPr>
      <w:bookmarkStart w:id="511" w:name="_Toc29712"/>
      <w:bookmarkStart w:id="512" w:name="_Toc16122"/>
      <w:bookmarkStart w:id="513" w:name="_Toc338840236"/>
      <w:bookmarkStart w:id="514" w:name="_Toc494093437"/>
      <w:bookmarkStart w:id="515" w:name="_Toc15737"/>
      <w:bookmarkStart w:id="516" w:name="_Toc23287"/>
      <w:bookmarkStart w:id="517" w:name="_Toc338840451"/>
      <w:bookmarkStart w:id="518" w:name="_Toc346523411"/>
      <w:bookmarkStart w:id="519" w:name="_Toc338840490"/>
      <w:bookmarkStart w:id="520" w:name="_Toc494526409"/>
      <w:bookmarkStart w:id="521" w:name="_Toc346523474"/>
      <w:bookmarkStart w:id="522" w:name="_Toc18875"/>
      <w:bookmarkStart w:id="523" w:name="_Toc13623"/>
      <w:r>
        <w:rPr>
          <w:rFonts w:hint="eastAsia" w:ascii="宋体" w:hAnsi="宋体" w:eastAsia="宋体"/>
          <w:highlight w:val="none"/>
        </w:rPr>
        <w:t>11．电子招标投标</w:t>
      </w:r>
      <w:bookmarkEnd w:id="511"/>
      <w:bookmarkEnd w:id="512"/>
      <w:bookmarkEnd w:id="513"/>
      <w:bookmarkEnd w:id="514"/>
      <w:bookmarkEnd w:id="515"/>
      <w:bookmarkEnd w:id="516"/>
      <w:bookmarkEnd w:id="517"/>
      <w:bookmarkEnd w:id="518"/>
      <w:bookmarkEnd w:id="519"/>
      <w:bookmarkEnd w:id="520"/>
      <w:bookmarkEnd w:id="521"/>
      <w:bookmarkEnd w:id="522"/>
      <w:bookmarkEnd w:id="523"/>
    </w:p>
    <w:p w14:paraId="71FF8771">
      <w:pPr>
        <w:spacing w:line="400" w:lineRule="exact"/>
        <w:ind w:firstLine="420" w:firstLineChars="200"/>
        <w:rPr>
          <w:rFonts w:hint="eastAsia" w:ascii="宋体" w:hAnsi="宋体"/>
          <w:highlight w:val="none"/>
        </w:rPr>
      </w:pPr>
      <w:r>
        <w:rPr>
          <w:rFonts w:hint="eastAsia" w:ascii="宋体" w:hAnsi="宋体"/>
          <w:highlight w:val="none"/>
        </w:rPr>
        <w:t xml:space="preserve">采用电子招标投标，对投标文件的编制、密封和标记、递交、开标、评标等的具体要求，见供应商须知前附表。 </w:t>
      </w:r>
    </w:p>
    <w:p w14:paraId="096CE7B5">
      <w:pPr>
        <w:spacing w:line="400" w:lineRule="exact"/>
        <w:ind w:firstLine="420" w:firstLineChars="200"/>
        <w:rPr>
          <w:rFonts w:hint="eastAsia" w:ascii="宋体" w:hAnsi="宋体"/>
          <w:highlight w:val="none"/>
        </w:rPr>
      </w:pPr>
    </w:p>
    <w:p w14:paraId="5496E4E3">
      <w:pPr>
        <w:pStyle w:val="2"/>
        <w:jc w:val="center"/>
        <w:rPr>
          <w:rFonts w:ascii="宋体" w:hAnsi="宋体"/>
          <w:b w:val="0"/>
          <w:bCs w:val="0"/>
          <w:highlight w:val="none"/>
        </w:rPr>
      </w:pPr>
      <w:bookmarkStart w:id="524" w:name="_Toc144974565"/>
      <w:bookmarkStart w:id="525" w:name="_Toc346523412"/>
      <w:bookmarkStart w:id="526" w:name="_Toc179632616"/>
      <w:bookmarkStart w:id="527" w:name="_Toc247085756"/>
      <w:bookmarkStart w:id="528" w:name="_Toc338840237"/>
      <w:bookmarkStart w:id="529" w:name="_Toc346523475"/>
      <w:bookmarkStart w:id="530" w:name="_Toc152042375"/>
      <w:bookmarkStart w:id="531" w:name="_Toc152045598"/>
      <w:bookmarkStart w:id="532" w:name="_Toc246996241"/>
      <w:bookmarkStart w:id="533" w:name="_Toc494526410"/>
      <w:bookmarkStart w:id="534" w:name="_Toc338840491"/>
      <w:bookmarkStart w:id="535" w:name="_Toc246996984"/>
      <w:bookmarkStart w:id="536" w:name="_Toc338840452"/>
      <w:bookmarkStart w:id="537" w:name="_Toc494093438"/>
      <w:r>
        <w:rPr>
          <w:rFonts w:hint="eastAsia" w:ascii="宋体" w:hAnsi="宋体"/>
          <w:highlight w:val="none"/>
        </w:rPr>
        <w:br w:type="page"/>
      </w:r>
      <w:bookmarkStart w:id="538" w:name="_Toc31515"/>
      <w:bookmarkStart w:id="539" w:name="_Toc15313"/>
      <w:bookmarkStart w:id="540" w:name="_Toc24747"/>
      <w:r>
        <w:rPr>
          <w:rFonts w:hint="eastAsia" w:ascii="宋体" w:hAnsi="宋体"/>
          <w:b w:val="0"/>
          <w:bCs w:val="0"/>
          <w:highlight w:val="none"/>
        </w:rPr>
        <w:t>第三章 评标办法</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Start w:id="541" w:name="_Toc246996242"/>
      <w:bookmarkStart w:id="542" w:name="_Toc179632617"/>
      <w:bookmarkStart w:id="543" w:name="_Toc152045599"/>
      <w:bookmarkStart w:id="544" w:name="_Toc144974566"/>
      <w:bookmarkStart w:id="545" w:name="_Toc152042376"/>
      <w:bookmarkStart w:id="546" w:name="_Toc246996985"/>
      <w:bookmarkStart w:id="547" w:name="_Toc247085757"/>
    </w:p>
    <w:bookmarkEnd w:id="540"/>
    <w:p w14:paraId="2C0B429E">
      <w:pPr>
        <w:pStyle w:val="3"/>
        <w:outlineLvl w:val="1"/>
        <w:rPr>
          <w:rFonts w:ascii="宋体" w:hAnsi="宋体" w:eastAsia="宋体"/>
          <w:highlight w:val="none"/>
        </w:rPr>
      </w:pPr>
      <w:bookmarkStart w:id="548" w:name="_Toc32258"/>
      <w:bookmarkStart w:id="549" w:name="_Toc452"/>
      <w:bookmarkStart w:id="550" w:name="_Toc346523476"/>
      <w:bookmarkStart w:id="551" w:name="_Toc338840453"/>
      <w:bookmarkStart w:id="552" w:name="_Toc29020"/>
      <w:bookmarkStart w:id="553" w:name="_Toc338840238"/>
      <w:bookmarkStart w:id="554" w:name="_Toc2246"/>
      <w:bookmarkStart w:id="555" w:name="_Toc338840492"/>
      <w:bookmarkStart w:id="556" w:name="_Toc346523413"/>
      <w:bookmarkStart w:id="557" w:name="_Toc3628"/>
      <w:bookmarkStart w:id="558" w:name="_Toc494093439"/>
      <w:bookmarkStart w:id="559" w:name="_Toc494526411"/>
      <w:bookmarkStart w:id="560" w:name="_Toc31260"/>
      <w:r>
        <w:rPr>
          <w:rFonts w:hint="eastAsia" w:ascii="宋体" w:hAnsi="宋体" w:eastAsia="宋体"/>
          <w:highlight w:val="none"/>
        </w:rPr>
        <w:t>评标办法前附表</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14:paraId="77115C85">
      <w:pPr>
        <w:ind w:left="826" w:hanging="826" w:hangingChars="343"/>
        <w:rPr>
          <w:rFonts w:ascii="宋体" w:hAnsi="宋体"/>
          <w:b/>
          <w:sz w:val="24"/>
          <w:highlight w:val="none"/>
        </w:rPr>
      </w:pPr>
      <w:r>
        <w:rPr>
          <w:rFonts w:hint="eastAsia" w:ascii="宋体" w:hAnsi="宋体"/>
          <w:b/>
          <w:sz w:val="24"/>
          <w:highlight w:val="none"/>
        </w:rPr>
        <w:t>注：1、评标办法前附表内容与评标办法正文内容不一致时以本表内容为准。</w:t>
      </w:r>
    </w:p>
    <w:p w14:paraId="3AB9FAA4">
      <w:pPr>
        <w:ind w:left="833" w:leftChars="228" w:hanging="354" w:hangingChars="147"/>
        <w:outlineLvl w:val="1"/>
        <w:rPr>
          <w:rFonts w:ascii="宋体" w:hAnsi="宋体"/>
          <w:b/>
          <w:sz w:val="24"/>
          <w:highlight w:val="none"/>
        </w:rPr>
      </w:pPr>
      <w:bookmarkStart w:id="561" w:name="_Toc8131"/>
      <w:r>
        <w:rPr>
          <w:rFonts w:hint="eastAsia" w:ascii="宋体" w:hAnsi="宋体"/>
          <w:b/>
          <w:sz w:val="24"/>
          <w:highlight w:val="none"/>
        </w:rPr>
        <w:t>2、评标办法前附表中涉及到的有关内容均应体现在投标文件中。</w:t>
      </w:r>
      <w:bookmarkEnd w:id="561"/>
    </w:p>
    <w:p w14:paraId="6D700E30">
      <w:pPr>
        <w:ind w:left="787" w:leftChars="228" w:hanging="308" w:hangingChars="147"/>
        <w:rPr>
          <w:rFonts w:ascii="宋体" w:hAnsi="宋体"/>
          <w:highlight w:val="none"/>
        </w:rPr>
      </w:pPr>
    </w:p>
    <w:tbl>
      <w:tblPr>
        <w:tblStyle w:val="34"/>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0"/>
        <w:gridCol w:w="540"/>
        <w:gridCol w:w="1594"/>
        <w:gridCol w:w="5426"/>
      </w:tblGrid>
      <w:tr w14:paraId="5ECB0C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71" w:hRule="atLeast"/>
        </w:trPr>
        <w:tc>
          <w:tcPr>
            <w:tcW w:w="720" w:type="dxa"/>
            <w:vMerge w:val="restart"/>
            <w:tcBorders>
              <w:top w:val="single" w:color="auto" w:sz="4" w:space="0"/>
              <w:right w:val="single" w:color="auto" w:sz="4" w:space="0"/>
            </w:tcBorders>
            <w:vAlign w:val="center"/>
          </w:tcPr>
          <w:p w14:paraId="50AADACD">
            <w:pPr>
              <w:spacing w:line="440" w:lineRule="exact"/>
              <w:jc w:val="center"/>
              <w:rPr>
                <w:rFonts w:ascii="宋体" w:hAnsi="宋体"/>
                <w:b/>
                <w:szCs w:val="21"/>
                <w:highlight w:val="none"/>
              </w:rPr>
            </w:pPr>
            <w:r>
              <w:rPr>
                <w:rFonts w:hint="eastAsia" w:ascii="宋体" w:hAnsi="宋体"/>
                <w:b/>
                <w:szCs w:val="21"/>
                <w:highlight w:val="none"/>
              </w:rPr>
              <w:t>1</w:t>
            </w:r>
          </w:p>
        </w:tc>
        <w:tc>
          <w:tcPr>
            <w:tcW w:w="540" w:type="dxa"/>
            <w:tcBorders>
              <w:top w:val="single" w:color="auto" w:sz="4" w:space="0"/>
              <w:left w:val="single" w:color="auto" w:sz="4" w:space="0"/>
              <w:bottom w:val="single" w:color="auto" w:sz="4" w:space="0"/>
              <w:right w:val="single" w:color="auto" w:sz="4" w:space="0"/>
            </w:tcBorders>
            <w:vAlign w:val="center"/>
          </w:tcPr>
          <w:p w14:paraId="73A5339F">
            <w:pPr>
              <w:spacing w:line="440" w:lineRule="exact"/>
              <w:jc w:val="center"/>
              <w:rPr>
                <w:rFonts w:ascii="宋体" w:hAnsi="宋体"/>
                <w:b/>
                <w:szCs w:val="21"/>
                <w:highlight w:val="none"/>
              </w:rPr>
            </w:pPr>
            <w:r>
              <w:rPr>
                <w:rFonts w:hint="eastAsia" w:ascii="宋体" w:hAnsi="宋体"/>
                <w:b/>
                <w:szCs w:val="21"/>
                <w:highlight w:val="none"/>
              </w:rPr>
              <w:t>评标方法</w:t>
            </w:r>
          </w:p>
        </w:tc>
        <w:tc>
          <w:tcPr>
            <w:tcW w:w="7020" w:type="dxa"/>
            <w:gridSpan w:val="2"/>
            <w:tcBorders>
              <w:top w:val="single" w:color="auto" w:sz="4" w:space="0"/>
              <w:left w:val="single" w:color="auto" w:sz="4" w:space="0"/>
              <w:bottom w:val="single" w:color="auto" w:sz="4" w:space="0"/>
              <w:right w:val="single" w:color="auto" w:sz="4" w:space="0"/>
            </w:tcBorders>
            <w:vAlign w:val="center"/>
          </w:tcPr>
          <w:p w14:paraId="3B31B7F9">
            <w:pPr>
              <w:tabs>
                <w:tab w:val="left" w:pos="72"/>
              </w:tabs>
              <w:spacing w:line="400" w:lineRule="exact"/>
              <w:ind w:firstLine="422" w:firstLineChars="200"/>
              <w:rPr>
                <w:rFonts w:ascii="宋体" w:hAnsi="宋体"/>
                <w:b/>
                <w:szCs w:val="21"/>
                <w:highlight w:val="none"/>
              </w:rPr>
            </w:pPr>
            <w:r>
              <w:rPr>
                <w:rFonts w:hint="eastAsia" w:ascii="宋体" w:hAnsi="宋体"/>
                <w:b/>
                <w:szCs w:val="21"/>
                <w:highlight w:val="none"/>
              </w:rPr>
              <w:t>1、评标方法：综合评分法。评标委员会成员根据招标文件规定进行独立评审，对需要共同认定的客观分存在争议的，应当按照少数服从多数的原则作出结论。持不同意见的评标委员会成员应当在评标报告上签署不同意见及理由，否则视为同意评标报告。</w:t>
            </w:r>
          </w:p>
          <w:p w14:paraId="2D949D51">
            <w:pPr>
              <w:tabs>
                <w:tab w:val="left" w:pos="72"/>
              </w:tabs>
              <w:spacing w:line="400" w:lineRule="exact"/>
              <w:ind w:firstLine="422" w:firstLineChars="200"/>
              <w:rPr>
                <w:rFonts w:ascii="宋体" w:hAnsi="宋体"/>
                <w:b/>
                <w:szCs w:val="21"/>
                <w:highlight w:val="none"/>
              </w:rPr>
            </w:pPr>
            <w:r>
              <w:rPr>
                <w:rFonts w:hint="eastAsia" w:ascii="宋体" w:hAnsi="宋体"/>
                <w:b/>
                <w:szCs w:val="21"/>
                <w:highlight w:val="none"/>
              </w:rPr>
              <w:t>2、</w:t>
            </w:r>
            <w:r>
              <w:rPr>
                <w:rFonts w:hint="eastAsia" w:ascii="宋体" w:hAnsi="宋体"/>
                <w:b/>
                <w:szCs w:val="21"/>
                <w:highlight w:val="none"/>
                <w:u w:val="single"/>
              </w:rPr>
              <w:t>评审。采购人负责资格审查；评标委员会负责符合性审查、商务和技术评审。</w:t>
            </w:r>
            <w:r>
              <w:rPr>
                <w:rFonts w:hint="eastAsia" w:ascii="宋体" w:hAnsi="宋体"/>
                <w:b/>
                <w:szCs w:val="21"/>
                <w:highlight w:val="none"/>
              </w:rPr>
              <w:t>（资格审查</w:t>
            </w:r>
            <w:r>
              <w:rPr>
                <w:rFonts w:hint="eastAsia" w:ascii="宋体" w:hAnsi="宋体"/>
                <w:b/>
                <w:szCs w:val="21"/>
                <w:highlight w:val="none"/>
                <w:lang w:val="en-US" w:eastAsia="zh-CN"/>
              </w:rPr>
              <w:t>或者</w:t>
            </w:r>
            <w:r>
              <w:rPr>
                <w:rFonts w:hint="eastAsia" w:ascii="宋体" w:hAnsi="宋体"/>
                <w:b/>
                <w:szCs w:val="21"/>
                <w:highlight w:val="none"/>
              </w:rPr>
              <w:t>符合性审查未通过者为无效投标）</w:t>
            </w:r>
          </w:p>
          <w:p w14:paraId="31E244F4">
            <w:pPr>
              <w:tabs>
                <w:tab w:val="left" w:pos="252"/>
              </w:tabs>
              <w:spacing w:line="400" w:lineRule="exact"/>
              <w:ind w:firstLine="422" w:firstLineChars="200"/>
              <w:jc w:val="left"/>
              <w:rPr>
                <w:rFonts w:hint="eastAsia" w:ascii="宋体" w:hAnsi="宋体"/>
                <w:b/>
                <w:szCs w:val="21"/>
                <w:highlight w:val="none"/>
              </w:rPr>
            </w:pPr>
            <w:r>
              <w:rPr>
                <w:rFonts w:hint="eastAsia" w:ascii="宋体" w:hAnsi="宋体" w:cs="宋体"/>
                <w:b/>
                <w:szCs w:val="21"/>
                <w:highlight w:val="none"/>
              </w:rPr>
              <w:t>3、</w:t>
            </w:r>
            <w:r>
              <w:rPr>
                <w:rFonts w:hint="eastAsia" w:ascii="宋体" w:hAnsi="宋体"/>
                <w:b/>
                <w:szCs w:val="21"/>
                <w:highlight w:val="none"/>
              </w:rPr>
              <w:t>推荐中标候选人。按得分由高到低顺序推荐中标候选人。</w:t>
            </w:r>
          </w:p>
          <w:p w14:paraId="60E1C6CC">
            <w:pPr>
              <w:tabs>
                <w:tab w:val="left" w:pos="252"/>
              </w:tabs>
              <w:spacing w:line="400" w:lineRule="exact"/>
              <w:ind w:firstLine="422" w:firstLineChars="200"/>
              <w:jc w:val="left"/>
              <w:rPr>
                <w:rFonts w:ascii="宋体" w:hAnsi="宋体"/>
                <w:b/>
                <w:strike/>
                <w:szCs w:val="21"/>
                <w:highlight w:val="none"/>
              </w:rPr>
            </w:pPr>
            <w:r>
              <w:rPr>
                <w:rFonts w:hint="eastAsia" w:ascii="宋体" w:hAnsi="宋体" w:eastAsia="宋体"/>
                <w:b/>
                <w:szCs w:val="21"/>
                <w:highlight w:val="none"/>
                <w:lang w:val="en-US" w:eastAsia="zh-CN"/>
              </w:rPr>
              <w:t>4、</w:t>
            </w:r>
            <w:r>
              <w:rPr>
                <w:rFonts w:hint="eastAsia" w:ascii="宋体" w:hAnsi="宋体" w:eastAsia="宋体"/>
                <w:b/>
                <w:szCs w:val="21"/>
                <w:highlight w:val="none"/>
              </w:rPr>
              <w:t>优先采购</w:t>
            </w:r>
            <w:r>
              <w:rPr>
                <w:rFonts w:hint="eastAsia" w:ascii="宋体" w:hAnsi="宋体" w:eastAsia="宋体"/>
                <w:b/>
                <w:szCs w:val="21"/>
                <w:highlight w:val="none"/>
                <w:lang w:val="en-US" w:eastAsia="zh-CN"/>
              </w:rPr>
              <w:t>政策。当</w:t>
            </w:r>
            <w:r>
              <w:rPr>
                <w:rFonts w:hint="eastAsia" w:ascii="宋体" w:hAnsi="宋体"/>
                <w:b/>
                <w:szCs w:val="21"/>
                <w:highlight w:val="none"/>
                <w:lang w:val="en-US" w:eastAsia="zh-CN"/>
              </w:rPr>
              <w:t>出现</w:t>
            </w:r>
            <w:r>
              <w:rPr>
                <w:rFonts w:hint="eastAsia" w:ascii="宋体" w:hAnsi="宋体" w:eastAsia="宋体"/>
                <w:b/>
                <w:szCs w:val="21"/>
                <w:highlight w:val="none"/>
                <w:lang w:val="en-US" w:eastAsia="zh-CN"/>
              </w:rPr>
              <w:t>供应商</w:t>
            </w:r>
            <w:r>
              <w:rPr>
                <w:rFonts w:hint="eastAsia" w:ascii="宋体" w:hAnsi="宋体"/>
                <w:b/>
                <w:szCs w:val="21"/>
                <w:highlight w:val="none"/>
                <w:lang w:val="en-US" w:eastAsia="zh-CN"/>
              </w:rPr>
              <w:t>排序并列</w:t>
            </w:r>
            <w:r>
              <w:rPr>
                <w:rFonts w:hint="eastAsia" w:ascii="宋体" w:hAnsi="宋体" w:eastAsia="宋体"/>
                <w:b/>
                <w:szCs w:val="21"/>
                <w:highlight w:val="none"/>
              </w:rPr>
              <w:t>时，所投产品属于节能产品、环境标志产品</w:t>
            </w:r>
            <w:r>
              <w:rPr>
                <w:rFonts w:hint="eastAsia" w:ascii="宋体" w:hAnsi="宋体" w:eastAsia="宋体"/>
                <w:b/>
                <w:szCs w:val="21"/>
                <w:highlight w:val="none"/>
                <w:lang w:val="en-US" w:eastAsia="zh-CN"/>
              </w:rPr>
              <w:t>政府采购品目清单范围</w:t>
            </w:r>
            <w:r>
              <w:rPr>
                <w:rFonts w:hint="eastAsia" w:ascii="宋体" w:hAnsi="宋体"/>
                <w:b/>
                <w:szCs w:val="21"/>
                <w:highlight w:val="none"/>
                <w:lang w:val="en-US" w:eastAsia="zh-CN"/>
              </w:rPr>
              <w:t>的</w:t>
            </w:r>
            <w:r>
              <w:rPr>
                <w:rFonts w:hint="eastAsia" w:ascii="宋体" w:hAnsi="宋体" w:eastAsia="宋体"/>
                <w:b/>
                <w:szCs w:val="21"/>
                <w:highlight w:val="none"/>
                <w:lang w:val="en-US" w:eastAsia="zh-CN"/>
              </w:rPr>
              <w:t>优先采购产品，且在投标文件中附国家确定的认证机构出具的、有效的产品认证证书的供应商</w:t>
            </w:r>
            <w:r>
              <w:rPr>
                <w:rFonts w:hint="eastAsia" w:ascii="宋体" w:hAnsi="宋体"/>
                <w:b/>
                <w:szCs w:val="21"/>
                <w:highlight w:val="none"/>
                <w:lang w:val="en-US" w:eastAsia="zh-CN"/>
              </w:rPr>
              <w:t>排序优先</w:t>
            </w:r>
            <w:r>
              <w:rPr>
                <w:rFonts w:hint="eastAsia" w:ascii="宋体" w:hAnsi="宋体" w:eastAsia="宋体"/>
                <w:b/>
                <w:szCs w:val="21"/>
                <w:highlight w:val="none"/>
                <w:lang w:eastAsia="zh-CN"/>
              </w:rPr>
              <w:t>，</w:t>
            </w:r>
            <w:r>
              <w:rPr>
                <w:rFonts w:hint="eastAsia" w:ascii="宋体" w:hAnsi="宋体" w:eastAsia="宋体"/>
                <w:b/>
                <w:szCs w:val="21"/>
                <w:highlight w:val="none"/>
                <w:lang w:val="en-US" w:eastAsia="zh-CN"/>
              </w:rPr>
              <w:t>均有</w:t>
            </w:r>
            <w:r>
              <w:rPr>
                <w:rFonts w:hint="eastAsia" w:ascii="宋体" w:hAnsi="宋体"/>
                <w:b/>
                <w:szCs w:val="21"/>
                <w:highlight w:val="none"/>
                <w:lang w:val="en-US" w:eastAsia="zh-CN"/>
              </w:rPr>
              <w:t>优先采购产品时以</w:t>
            </w:r>
            <w:r>
              <w:rPr>
                <w:rFonts w:hint="eastAsia" w:ascii="宋体" w:hAnsi="宋体" w:eastAsia="宋体"/>
                <w:b/>
                <w:szCs w:val="21"/>
                <w:highlight w:val="none"/>
              </w:rPr>
              <w:t>数量多者</w:t>
            </w:r>
            <w:r>
              <w:rPr>
                <w:rFonts w:hint="eastAsia" w:ascii="宋体" w:hAnsi="宋体"/>
                <w:b/>
                <w:szCs w:val="21"/>
                <w:highlight w:val="none"/>
                <w:lang w:val="en-US" w:eastAsia="zh-CN"/>
              </w:rPr>
              <w:t>排序</w:t>
            </w:r>
            <w:r>
              <w:rPr>
                <w:rFonts w:hint="eastAsia" w:ascii="宋体" w:hAnsi="宋体" w:eastAsia="宋体"/>
                <w:b/>
                <w:szCs w:val="21"/>
                <w:highlight w:val="none"/>
              </w:rPr>
              <w:t>优先。</w:t>
            </w:r>
          </w:p>
        </w:tc>
      </w:tr>
      <w:tr w14:paraId="1537D4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51" w:hRule="atLeast"/>
        </w:trPr>
        <w:tc>
          <w:tcPr>
            <w:tcW w:w="720" w:type="dxa"/>
            <w:vMerge w:val="continue"/>
            <w:tcBorders>
              <w:right w:val="single" w:color="auto" w:sz="4" w:space="0"/>
            </w:tcBorders>
            <w:vAlign w:val="center"/>
          </w:tcPr>
          <w:p w14:paraId="00EE81DB">
            <w:pPr>
              <w:spacing w:line="440" w:lineRule="exact"/>
              <w:jc w:val="center"/>
              <w:rPr>
                <w:rFonts w:ascii="宋体" w:hAnsi="宋体"/>
                <w:b/>
                <w:szCs w:val="21"/>
                <w:highlight w:val="none"/>
              </w:rPr>
            </w:pPr>
          </w:p>
        </w:tc>
        <w:tc>
          <w:tcPr>
            <w:tcW w:w="540" w:type="dxa"/>
            <w:tcBorders>
              <w:top w:val="single" w:color="auto" w:sz="4" w:space="0"/>
              <w:left w:val="single" w:color="auto" w:sz="4" w:space="0"/>
              <w:bottom w:val="single" w:color="auto" w:sz="4" w:space="0"/>
              <w:right w:val="single" w:color="auto" w:sz="4" w:space="0"/>
            </w:tcBorders>
            <w:vAlign w:val="center"/>
          </w:tcPr>
          <w:p w14:paraId="61B1FB89">
            <w:pPr>
              <w:jc w:val="center"/>
              <w:rPr>
                <w:rFonts w:ascii="宋体" w:hAnsi="宋体"/>
                <w:b/>
                <w:szCs w:val="21"/>
                <w:highlight w:val="none"/>
              </w:rPr>
            </w:pPr>
            <w:r>
              <w:rPr>
                <w:rFonts w:hint="eastAsia" w:ascii="宋体" w:hAnsi="宋体" w:cs="宋体"/>
                <w:b/>
                <w:szCs w:val="21"/>
                <w:highlight w:val="none"/>
              </w:rPr>
              <w:t>评标问题澄清</w:t>
            </w:r>
          </w:p>
        </w:tc>
        <w:tc>
          <w:tcPr>
            <w:tcW w:w="7020" w:type="dxa"/>
            <w:gridSpan w:val="2"/>
            <w:tcBorders>
              <w:top w:val="single" w:color="auto" w:sz="4" w:space="0"/>
              <w:left w:val="single" w:color="auto" w:sz="4" w:space="0"/>
              <w:bottom w:val="single" w:color="auto" w:sz="4" w:space="0"/>
              <w:right w:val="single" w:color="auto" w:sz="4" w:space="0"/>
            </w:tcBorders>
            <w:vAlign w:val="center"/>
          </w:tcPr>
          <w:p w14:paraId="596515A3">
            <w:pPr>
              <w:tabs>
                <w:tab w:val="left" w:pos="252"/>
              </w:tabs>
              <w:spacing w:line="400" w:lineRule="exact"/>
              <w:jc w:val="left"/>
              <w:rPr>
                <w:rFonts w:ascii="宋体" w:hAnsi="宋体" w:cs="宋体"/>
                <w:b/>
                <w:szCs w:val="21"/>
                <w:highlight w:val="none"/>
              </w:rPr>
            </w:pPr>
            <w:r>
              <w:rPr>
                <w:rFonts w:hint="eastAsia" w:ascii="宋体" w:hAnsi="宋体" w:cs="宋体"/>
                <w:b/>
                <w:szCs w:val="21"/>
                <w:highlight w:val="none"/>
              </w:rPr>
              <w:t>　　评标委员会可以通过</w:t>
            </w:r>
            <w:r>
              <w:rPr>
                <w:rFonts w:hint="eastAsia" w:ascii="宋体" w:hAnsi="宋体"/>
                <w:b/>
                <w:szCs w:val="21"/>
                <w:highlight w:val="none"/>
              </w:rPr>
              <w:t>电子交易系统</w:t>
            </w:r>
            <w:r>
              <w:rPr>
                <w:rFonts w:hint="eastAsia" w:ascii="宋体" w:hAnsi="宋体" w:cs="宋体"/>
                <w:b/>
                <w:szCs w:val="21"/>
                <w:highlight w:val="none"/>
              </w:rPr>
              <w:t>要求供应商对投标文件中有关问题做出答复，但答复内容不得超出投标文件范围或者改变投标文件的实质性内容。</w:t>
            </w:r>
          </w:p>
          <w:p w14:paraId="71C62D52">
            <w:pPr>
              <w:tabs>
                <w:tab w:val="left" w:pos="252"/>
              </w:tabs>
              <w:spacing w:line="400" w:lineRule="exact"/>
              <w:ind w:firstLine="421"/>
              <w:jc w:val="left"/>
              <w:rPr>
                <w:rFonts w:ascii="宋体" w:hAnsi="宋体"/>
                <w:b/>
                <w:szCs w:val="21"/>
                <w:highlight w:val="none"/>
              </w:rPr>
            </w:pPr>
            <w:r>
              <w:rPr>
                <w:rFonts w:hint="eastAsia" w:ascii="宋体" w:hAnsi="宋体" w:cs="宋体"/>
                <w:b/>
                <w:szCs w:val="21"/>
                <w:highlight w:val="none"/>
              </w:rPr>
              <w:t>供应商应时刻通过电子交易系统关注项目情况，评标委员会向供应商提出的澄清要求等，供应商应自系统发出30分钟（另有约定的从其约定）内回复，否则供应商自行承担责任。</w:t>
            </w:r>
          </w:p>
        </w:tc>
      </w:tr>
      <w:tr w14:paraId="21C52E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75" w:hRule="atLeast"/>
        </w:trPr>
        <w:tc>
          <w:tcPr>
            <w:tcW w:w="720" w:type="dxa"/>
            <w:tcBorders>
              <w:top w:val="single" w:color="auto" w:sz="4" w:space="0"/>
              <w:bottom w:val="single" w:color="auto" w:sz="4" w:space="0"/>
              <w:right w:val="single" w:color="auto" w:sz="4" w:space="0"/>
            </w:tcBorders>
            <w:vAlign w:val="center"/>
          </w:tcPr>
          <w:p w14:paraId="695700C2">
            <w:pPr>
              <w:spacing w:line="440" w:lineRule="exact"/>
              <w:jc w:val="center"/>
              <w:rPr>
                <w:rFonts w:ascii="宋体" w:hAnsi="宋体"/>
                <w:b/>
                <w:szCs w:val="21"/>
                <w:highlight w:val="none"/>
              </w:rPr>
            </w:pPr>
            <w:r>
              <w:rPr>
                <w:rFonts w:ascii="宋体" w:hAnsi="宋体"/>
                <w:b/>
                <w:szCs w:val="21"/>
                <w:highlight w:val="none"/>
              </w:rPr>
              <w:t>条款号</w:t>
            </w:r>
          </w:p>
        </w:tc>
        <w:tc>
          <w:tcPr>
            <w:tcW w:w="540" w:type="dxa"/>
            <w:tcBorders>
              <w:top w:val="single" w:color="auto" w:sz="4" w:space="0"/>
              <w:bottom w:val="single" w:color="auto" w:sz="4" w:space="0"/>
              <w:right w:val="single" w:color="auto" w:sz="4" w:space="0"/>
            </w:tcBorders>
            <w:vAlign w:val="center"/>
          </w:tcPr>
          <w:p w14:paraId="44C30A66">
            <w:pPr>
              <w:jc w:val="center"/>
              <w:rPr>
                <w:rFonts w:ascii="宋体" w:hAnsi="宋体"/>
                <w:b/>
                <w:szCs w:val="21"/>
                <w:highlight w:val="none"/>
              </w:rPr>
            </w:pPr>
            <w:r>
              <w:rPr>
                <w:rFonts w:hint="eastAsia" w:ascii="宋体" w:hAnsi="宋体"/>
                <w:b/>
                <w:szCs w:val="21"/>
                <w:highlight w:val="none"/>
              </w:rPr>
              <w:t>审查　内容</w:t>
            </w:r>
          </w:p>
        </w:tc>
        <w:tc>
          <w:tcPr>
            <w:tcW w:w="1594" w:type="dxa"/>
            <w:tcBorders>
              <w:top w:val="single" w:color="auto" w:sz="4" w:space="0"/>
              <w:left w:val="single" w:color="auto" w:sz="4" w:space="0"/>
              <w:bottom w:val="single" w:color="auto" w:sz="4" w:space="0"/>
              <w:right w:val="single" w:color="auto" w:sz="4" w:space="0"/>
            </w:tcBorders>
            <w:vAlign w:val="center"/>
          </w:tcPr>
          <w:p w14:paraId="39796DB1">
            <w:pPr>
              <w:spacing w:line="440" w:lineRule="exact"/>
              <w:jc w:val="center"/>
              <w:rPr>
                <w:rFonts w:ascii="宋体" w:hAnsi="宋体"/>
                <w:b/>
                <w:szCs w:val="21"/>
                <w:highlight w:val="none"/>
              </w:rPr>
            </w:pPr>
            <w:r>
              <w:rPr>
                <w:rFonts w:ascii="宋体" w:hAnsi="宋体"/>
                <w:b/>
                <w:szCs w:val="21"/>
                <w:highlight w:val="none"/>
              </w:rPr>
              <w:t>评审因素</w:t>
            </w:r>
          </w:p>
        </w:tc>
        <w:tc>
          <w:tcPr>
            <w:tcW w:w="5426" w:type="dxa"/>
            <w:tcBorders>
              <w:top w:val="single" w:color="auto" w:sz="4" w:space="0"/>
              <w:left w:val="single" w:color="auto" w:sz="4" w:space="0"/>
              <w:bottom w:val="single" w:color="auto" w:sz="4" w:space="0"/>
              <w:right w:val="single" w:color="auto" w:sz="4" w:space="0"/>
            </w:tcBorders>
            <w:vAlign w:val="center"/>
          </w:tcPr>
          <w:p w14:paraId="32224D55">
            <w:pPr>
              <w:spacing w:line="440" w:lineRule="exact"/>
              <w:jc w:val="center"/>
              <w:rPr>
                <w:rFonts w:ascii="宋体" w:hAnsi="宋体"/>
                <w:b/>
                <w:szCs w:val="21"/>
                <w:highlight w:val="none"/>
              </w:rPr>
            </w:pPr>
            <w:r>
              <w:rPr>
                <w:rFonts w:ascii="宋体" w:hAnsi="宋体"/>
                <w:b/>
                <w:szCs w:val="21"/>
                <w:highlight w:val="none"/>
              </w:rPr>
              <w:t>评审标准</w:t>
            </w:r>
          </w:p>
        </w:tc>
      </w:tr>
      <w:tr w14:paraId="15A83B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80" w:hRule="atLeast"/>
        </w:trPr>
        <w:tc>
          <w:tcPr>
            <w:tcW w:w="720" w:type="dxa"/>
            <w:tcBorders>
              <w:top w:val="single" w:color="auto" w:sz="4" w:space="0"/>
              <w:bottom w:val="single" w:color="auto" w:sz="4" w:space="0"/>
              <w:right w:val="single" w:color="auto" w:sz="4" w:space="0"/>
            </w:tcBorders>
            <w:vAlign w:val="center"/>
          </w:tcPr>
          <w:p w14:paraId="1DAA30A7">
            <w:pPr>
              <w:spacing w:line="440" w:lineRule="exact"/>
              <w:jc w:val="center"/>
              <w:rPr>
                <w:rFonts w:ascii="宋体" w:hAnsi="宋体"/>
                <w:szCs w:val="21"/>
                <w:highlight w:val="none"/>
              </w:rPr>
            </w:pPr>
            <w:r>
              <w:rPr>
                <w:rFonts w:hint="eastAsia" w:ascii="宋体" w:hAnsi="宋体"/>
                <w:szCs w:val="21"/>
                <w:highlight w:val="none"/>
              </w:rPr>
              <w:t>2.1.1</w:t>
            </w:r>
          </w:p>
        </w:tc>
        <w:tc>
          <w:tcPr>
            <w:tcW w:w="540" w:type="dxa"/>
            <w:tcBorders>
              <w:top w:val="single" w:color="auto" w:sz="4" w:space="0"/>
              <w:bottom w:val="single" w:color="auto" w:sz="4" w:space="0"/>
              <w:right w:val="single" w:color="auto" w:sz="4" w:space="0"/>
            </w:tcBorders>
            <w:vAlign w:val="center"/>
          </w:tcPr>
          <w:p w14:paraId="21DB16DA">
            <w:pPr>
              <w:spacing w:line="360" w:lineRule="exact"/>
              <w:jc w:val="center"/>
              <w:rPr>
                <w:rFonts w:ascii="宋体" w:hAnsi="宋体"/>
                <w:szCs w:val="21"/>
                <w:highlight w:val="none"/>
              </w:rPr>
            </w:pPr>
            <w:r>
              <w:rPr>
                <w:rFonts w:ascii="宋体" w:hAnsi="宋体"/>
                <w:szCs w:val="21"/>
                <w:highlight w:val="none"/>
              </w:rPr>
              <w:t>资格</w:t>
            </w:r>
            <w:r>
              <w:rPr>
                <w:rFonts w:hint="eastAsia" w:ascii="宋体" w:hAnsi="宋体"/>
                <w:szCs w:val="21"/>
                <w:highlight w:val="none"/>
              </w:rPr>
              <w:t>　</w:t>
            </w:r>
            <w:r>
              <w:rPr>
                <w:rFonts w:ascii="宋体" w:hAnsi="宋体"/>
                <w:szCs w:val="21"/>
                <w:highlight w:val="none"/>
              </w:rPr>
              <w:t>审查</w:t>
            </w:r>
          </w:p>
        </w:tc>
        <w:tc>
          <w:tcPr>
            <w:tcW w:w="1594" w:type="dxa"/>
            <w:tcBorders>
              <w:top w:val="single" w:color="auto" w:sz="4" w:space="0"/>
              <w:left w:val="single" w:color="auto" w:sz="4" w:space="0"/>
              <w:bottom w:val="single" w:color="auto" w:sz="4" w:space="0"/>
              <w:right w:val="single" w:color="auto" w:sz="4" w:space="0"/>
            </w:tcBorders>
            <w:vAlign w:val="center"/>
          </w:tcPr>
          <w:p w14:paraId="7DE8599A">
            <w:pPr>
              <w:spacing w:line="440" w:lineRule="exact"/>
              <w:jc w:val="center"/>
              <w:rPr>
                <w:rFonts w:ascii="宋体" w:hAnsi="宋体"/>
                <w:szCs w:val="21"/>
                <w:highlight w:val="none"/>
              </w:rPr>
            </w:pPr>
            <w:r>
              <w:rPr>
                <w:rFonts w:hint="eastAsia" w:ascii="宋体" w:hAnsi="宋体"/>
                <w:szCs w:val="21"/>
                <w:highlight w:val="none"/>
              </w:rPr>
              <w:t>供应商资格</w:t>
            </w:r>
          </w:p>
        </w:tc>
        <w:tc>
          <w:tcPr>
            <w:tcW w:w="5426" w:type="dxa"/>
            <w:tcBorders>
              <w:top w:val="single" w:color="auto" w:sz="4" w:space="0"/>
              <w:left w:val="single" w:color="auto" w:sz="4" w:space="0"/>
              <w:bottom w:val="single" w:color="auto" w:sz="4" w:space="0"/>
              <w:right w:val="single" w:color="auto" w:sz="4" w:space="0"/>
            </w:tcBorders>
            <w:vAlign w:val="center"/>
          </w:tcPr>
          <w:p w14:paraId="3F380A2C">
            <w:pPr>
              <w:spacing w:line="440" w:lineRule="atLeast"/>
              <w:ind w:firstLine="422" w:firstLineChars="200"/>
              <w:rPr>
                <w:rFonts w:ascii="宋体" w:hAnsi="宋体"/>
                <w:szCs w:val="21"/>
                <w:highlight w:val="none"/>
              </w:rPr>
            </w:pPr>
            <w:r>
              <w:rPr>
                <w:rFonts w:hint="eastAsia" w:ascii="宋体" w:hAnsi="宋体" w:cs="宋体"/>
                <w:b/>
                <w:bCs/>
                <w:szCs w:val="21"/>
                <w:highlight w:val="none"/>
              </w:rPr>
              <w:t>由采购人于开标后进行资格审查，</w:t>
            </w:r>
            <w:r>
              <w:rPr>
                <w:rFonts w:hint="eastAsia" w:ascii="宋体" w:hAnsi="宋体" w:cs="宋体"/>
                <w:b/>
                <w:bCs/>
                <w:szCs w:val="32"/>
                <w:highlight w:val="none"/>
              </w:rPr>
              <w:t>未通过者注明原因</w:t>
            </w:r>
            <w:r>
              <w:rPr>
                <w:rFonts w:hint="eastAsia" w:ascii="宋体" w:hAnsi="宋体" w:cs="宋体"/>
                <w:b/>
                <w:bCs/>
                <w:szCs w:val="21"/>
                <w:highlight w:val="none"/>
              </w:rPr>
              <w:t>。</w:t>
            </w:r>
          </w:p>
        </w:tc>
      </w:tr>
      <w:tr w14:paraId="421E0A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0" w:type="dxa"/>
            <w:vMerge w:val="restart"/>
            <w:tcBorders>
              <w:top w:val="single" w:color="auto" w:sz="4" w:space="0"/>
              <w:right w:val="single" w:color="auto" w:sz="4" w:space="0"/>
            </w:tcBorders>
            <w:vAlign w:val="center"/>
          </w:tcPr>
          <w:p w14:paraId="15ADE901">
            <w:pPr>
              <w:spacing w:line="440" w:lineRule="exact"/>
              <w:jc w:val="center"/>
              <w:rPr>
                <w:rFonts w:ascii="宋体" w:hAnsi="宋体"/>
                <w:szCs w:val="21"/>
                <w:highlight w:val="none"/>
              </w:rPr>
            </w:pPr>
          </w:p>
          <w:p w14:paraId="4F44FBFC">
            <w:pPr>
              <w:spacing w:line="440" w:lineRule="exact"/>
              <w:jc w:val="center"/>
              <w:rPr>
                <w:rFonts w:ascii="宋体" w:hAnsi="宋体"/>
                <w:szCs w:val="21"/>
                <w:highlight w:val="none"/>
              </w:rPr>
            </w:pPr>
          </w:p>
          <w:p w14:paraId="7F41117E">
            <w:pPr>
              <w:spacing w:line="440" w:lineRule="exact"/>
              <w:jc w:val="center"/>
              <w:rPr>
                <w:rFonts w:ascii="宋体" w:hAnsi="宋体"/>
                <w:szCs w:val="21"/>
                <w:highlight w:val="none"/>
              </w:rPr>
            </w:pPr>
          </w:p>
          <w:p w14:paraId="64206475">
            <w:pPr>
              <w:spacing w:line="440" w:lineRule="exact"/>
              <w:jc w:val="center"/>
              <w:rPr>
                <w:rFonts w:ascii="宋体" w:hAnsi="宋体"/>
                <w:szCs w:val="21"/>
                <w:highlight w:val="none"/>
              </w:rPr>
            </w:pPr>
            <w:r>
              <w:rPr>
                <w:rFonts w:hint="eastAsia" w:ascii="宋体" w:hAnsi="宋体"/>
                <w:szCs w:val="21"/>
                <w:highlight w:val="none"/>
              </w:rPr>
              <w:t>2.1.2</w:t>
            </w:r>
          </w:p>
          <w:p w14:paraId="77774450">
            <w:pPr>
              <w:spacing w:line="440" w:lineRule="exact"/>
              <w:jc w:val="center"/>
              <w:rPr>
                <w:rFonts w:ascii="宋体" w:hAnsi="宋体"/>
                <w:szCs w:val="21"/>
                <w:highlight w:val="none"/>
              </w:rPr>
            </w:pPr>
          </w:p>
          <w:p w14:paraId="46CF1943">
            <w:pPr>
              <w:spacing w:line="440" w:lineRule="exact"/>
              <w:jc w:val="center"/>
              <w:rPr>
                <w:rFonts w:ascii="宋体" w:hAnsi="宋体"/>
                <w:szCs w:val="21"/>
                <w:highlight w:val="none"/>
              </w:rPr>
            </w:pPr>
          </w:p>
          <w:p w14:paraId="34004202">
            <w:pPr>
              <w:spacing w:line="440" w:lineRule="exact"/>
              <w:jc w:val="center"/>
              <w:rPr>
                <w:rFonts w:ascii="宋体" w:hAnsi="宋体"/>
                <w:szCs w:val="21"/>
                <w:highlight w:val="none"/>
              </w:rPr>
            </w:pPr>
          </w:p>
        </w:tc>
        <w:tc>
          <w:tcPr>
            <w:tcW w:w="540" w:type="dxa"/>
            <w:vMerge w:val="restart"/>
            <w:tcBorders>
              <w:top w:val="single" w:color="auto" w:sz="4" w:space="0"/>
              <w:right w:val="single" w:color="auto" w:sz="4" w:space="0"/>
            </w:tcBorders>
            <w:vAlign w:val="center"/>
          </w:tcPr>
          <w:p w14:paraId="3777B585">
            <w:pPr>
              <w:spacing w:line="440" w:lineRule="exact"/>
              <w:jc w:val="center"/>
              <w:rPr>
                <w:rFonts w:ascii="宋体" w:hAnsi="宋体"/>
                <w:szCs w:val="21"/>
                <w:highlight w:val="none"/>
              </w:rPr>
            </w:pPr>
          </w:p>
          <w:p w14:paraId="6F9FA050">
            <w:pPr>
              <w:spacing w:line="440" w:lineRule="exact"/>
              <w:jc w:val="center"/>
              <w:rPr>
                <w:rFonts w:ascii="宋体" w:hAnsi="宋体"/>
                <w:szCs w:val="21"/>
                <w:highlight w:val="none"/>
              </w:rPr>
            </w:pPr>
          </w:p>
          <w:p w14:paraId="32AD3CA1">
            <w:pPr>
              <w:spacing w:line="440" w:lineRule="exact"/>
              <w:jc w:val="center"/>
              <w:rPr>
                <w:rFonts w:ascii="宋体" w:hAnsi="宋体"/>
                <w:szCs w:val="21"/>
                <w:highlight w:val="none"/>
              </w:rPr>
            </w:pPr>
            <w:r>
              <w:rPr>
                <w:rFonts w:hint="eastAsia" w:ascii="宋体" w:hAnsi="宋体"/>
                <w:szCs w:val="21"/>
                <w:highlight w:val="none"/>
              </w:rPr>
              <w:t>符合性审查</w:t>
            </w:r>
          </w:p>
          <w:p w14:paraId="20CD78FD">
            <w:pPr>
              <w:spacing w:line="440" w:lineRule="exact"/>
              <w:jc w:val="center"/>
              <w:rPr>
                <w:rFonts w:ascii="宋体" w:hAnsi="宋体"/>
                <w:szCs w:val="21"/>
                <w:highlight w:val="none"/>
              </w:rPr>
            </w:pPr>
          </w:p>
          <w:p w14:paraId="6A2F4745">
            <w:pPr>
              <w:spacing w:line="440" w:lineRule="exact"/>
              <w:jc w:val="center"/>
              <w:rPr>
                <w:rFonts w:ascii="宋体" w:hAnsi="宋体"/>
                <w:szCs w:val="21"/>
                <w:highlight w:val="none"/>
              </w:rPr>
            </w:pPr>
          </w:p>
          <w:p w14:paraId="4FAFCF9A">
            <w:pPr>
              <w:spacing w:line="440" w:lineRule="exact"/>
              <w:jc w:val="center"/>
              <w:rPr>
                <w:rFonts w:ascii="宋体" w:hAnsi="宋体"/>
                <w:szCs w:val="21"/>
                <w:highlight w:val="none"/>
              </w:rPr>
            </w:pPr>
          </w:p>
          <w:p w14:paraId="19FACBB6">
            <w:pPr>
              <w:spacing w:line="440" w:lineRule="exact"/>
              <w:jc w:val="center"/>
              <w:rPr>
                <w:rFonts w:ascii="宋体" w:hAnsi="宋体"/>
                <w:szCs w:val="21"/>
                <w:highlight w:val="none"/>
              </w:rPr>
            </w:pPr>
          </w:p>
          <w:p w14:paraId="337FCA5D">
            <w:pPr>
              <w:spacing w:line="440" w:lineRule="exact"/>
              <w:jc w:val="center"/>
              <w:rPr>
                <w:rFonts w:ascii="宋体" w:hAnsi="宋体"/>
                <w:szCs w:val="21"/>
                <w:highlight w:val="none"/>
              </w:rPr>
            </w:pPr>
          </w:p>
        </w:tc>
        <w:tc>
          <w:tcPr>
            <w:tcW w:w="1594" w:type="dxa"/>
            <w:tcBorders>
              <w:top w:val="single" w:color="auto" w:sz="4" w:space="0"/>
              <w:left w:val="single" w:color="auto" w:sz="4" w:space="0"/>
              <w:bottom w:val="single" w:color="auto" w:sz="4" w:space="0"/>
              <w:right w:val="single" w:color="auto" w:sz="4" w:space="0"/>
            </w:tcBorders>
            <w:vAlign w:val="center"/>
          </w:tcPr>
          <w:p w14:paraId="717BF3D9">
            <w:pPr>
              <w:spacing w:line="440" w:lineRule="exact"/>
              <w:jc w:val="center"/>
              <w:rPr>
                <w:rFonts w:ascii="宋体" w:hAnsi="宋体"/>
                <w:szCs w:val="21"/>
                <w:highlight w:val="none"/>
              </w:rPr>
            </w:pPr>
            <w:r>
              <w:rPr>
                <w:rFonts w:hint="eastAsia" w:ascii="宋体" w:hAnsi="宋体" w:cs="宋体"/>
                <w:szCs w:val="21"/>
                <w:highlight w:val="none"/>
              </w:rPr>
              <w:t>供应商名称</w:t>
            </w:r>
          </w:p>
        </w:tc>
        <w:tc>
          <w:tcPr>
            <w:tcW w:w="5426" w:type="dxa"/>
            <w:tcBorders>
              <w:top w:val="single" w:color="auto" w:sz="4" w:space="0"/>
              <w:left w:val="single" w:color="auto" w:sz="4" w:space="0"/>
              <w:bottom w:val="single" w:color="auto" w:sz="4" w:space="0"/>
              <w:right w:val="single" w:color="auto" w:sz="4" w:space="0"/>
            </w:tcBorders>
            <w:vAlign w:val="center"/>
          </w:tcPr>
          <w:p w14:paraId="7DEDCB9C">
            <w:pPr>
              <w:spacing w:line="440" w:lineRule="atLeast"/>
              <w:rPr>
                <w:rFonts w:ascii="宋体" w:hAnsi="宋体"/>
                <w:szCs w:val="21"/>
                <w:highlight w:val="none"/>
              </w:rPr>
            </w:pPr>
            <w:r>
              <w:rPr>
                <w:rFonts w:hint="eastAsia" w:ascii="宋体" w:hAnsi="宋体" w:cs="宋体"/>
                <w:szCs w:val="21"/>
                <w:highlight w:val="none"/>
              </w:rPr>
              <w:t>供应商名称与单位盖章、资格证明材料相一致。</w:t>
            </w:r>
          </w:p>
        </w:tc>
      </w:tr>
      <w:tr w14:paraId="5A555C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trPr>
        <w:tc>
          <w:tcPr>
            <w:tcW w:w="720" w:type="dxa"/>
            <w:vMerge w:val="continue"/>
            <w:tcBorders>
              <w:right w:val="single" w:color="auto" w:sz="4" w:space="0"/>
            </w:tcBorders>
            <w:vAlign w:val="center"/>
          </w:tcPr>
          <w:p w14:paraId="64E12CDA">
            <w:pPr>
              <w:spacing w:line="440" w:lineRule="exact"/>
              <w:jc w:val="center"/>
              <w:rPr>
                <w:rFonts w:ascii="宋体" w:hAnsi="宋体"/>
                <w:szCs w:val="21"/>
                <w:highlight w:val="none"/>
              </w:rPr>
            </w:pPr>
          </w:p>
        </w:tc>
        <w:tc>
          <w:tcPr>
            <w:tcW w:w="540" w:type="dxa"/>
            <w:vMerge w:val="continue"/>
            <w:tcBorders>
              <w:right w:val="single" w:color="auto" w:sz="4" w:space="0"/>
            </w:tcBorders>
            <w:vAlign w:val="center"/>
          </w:tcPr>
          <w:p w14:paraId="32178F16">
            <w:pPr>
              <w:spacing w:line="440" w:lineRule="exact"/>
              <w:jc w:val="center"/>
              <w:rPr>
                <w:rFonts w:ascii="宋体" w:hAnsi="宋体"/>
                <w:szCs w:val="21"/>
                <w:highlight w:val="none"/>
              </w:rPr>
            </w:pPr>
          </w:p>
        </w:tc>
        <w:tc>
          <w:tcPr>
            <w:tcW w:w="1594" w:type="dxa"/>
            <w:tcBorders>
              <w:top w:val="single" w:color="auto" w:sz="4" w:space="0"/>
              <w:left w:val="single" w:color="auto" w:sz="4" w:space="0"/>
              <w:bottom w:val="single" w:color="auto" w:sz="4" w:space="0"/>
              <w:right w:val="single" w:color="auto" w:sz="4" w:space="0"/>
            </w:tcBorders>
            <w:vAlign w:val="center"/>
          </w:tcPr>
          <w:p w14:paraId="13B42735">
            <w:pPr>
              <w:spacing w:line="440" w:lineRule="exact"/>
              <w:jc w:val="center"/>
              <w:rPr>
                <w:rFonts w:ascii="宋体" w:hAnsi="宋体"/>
                <w:szCs w:val="21"/>
                <w:highlight w:val="none"/>
              </w:rPr>
            </w:pPr>
            <w:r>
              <w:rPr>
                <w:rFonts w:ascii="宋体" w:hAnsi="宋体"/>
                <w:szCs w:val="21"/>
                <w:highlight w:val="none"/>
              </w:rPr>
              <w:t>签字盖章</w:t>
            </w:r>
          </w:p>
        </w:tc>
        <w:tc>
          <w:tcPr>
            <w:tcW w:w="5426" w:type="dxa"/>
            <w:tcBorders>
              <w:top w:val="single" w:color="auto" w:sz="4" w:space="0"/>
              <w:left w:val="single" w:color="auto" w:sz="4" w:space="0"/>
              <w:bottom w:val="single" w:color="auto" w:sz="4" w:space="0"/>
              <w:right w:val="single" w:color="auto" w:sz="4" w:space="0"/>
            </w:tcBorders>
            <w:vAlign w:val="center"/>
          </w:tcPr>
          <w:p w14:paraId="7127B16E">
            <w:pPr>
              <w:spacing w:line="440" w:lineRule="atLeast"/>
              <w:rPr>
                <w:rFonts w:ascii="宋体" w:hAnsi="宋体"/>
                <w:szCs w:val="21"/>
                <w:highlight w:val="none"/>
              </w:rPr>
            </w:pPr>
            <w:r>
              <w:rPr>
                <w:rFonts w:hint="eastAsia" w:ascii="宋体" w:hAnsi="宋体"/>
                <w:szCs w:val="21"/>
                <w:highlight w:val="none"/>
                <w:lang w:val="en-US" w:eastAsia="zh-CN"/>
              </w:rPr>
              <w:t>按招标文件要求提供</w:t>
            </w:r>
            <w:r>
              <w:rPr>
                <w:rFonts w:hint="eastAsia" w:ascii="宋体" w:hAnsi="宋体"/>
                <w:szCs w:val="21"/>
                <w:highlight w:val="none"/>
              </w:rPr>
              <w:t>投标函、法定代表人资格证明（或授权委托书）</w:t>
            </w:r>
            <w:r>
              <w:rPr>
                <w:rFonts w:hint="eastAsia" w:ascii="宋体" w:hAnsi="宋体"/>
                <w:szCs w:val="21"/>
                <w:highlight w:val="none"/>
                <w:lang w:val="en-US" w:eastAsia="zh-CN"/>
              </w:rPr>
              <w:t>并按要求</w:t>
            </w:r>
            <w:r>
              <w:rPr>
                <w:rFonts w:hint="eastAsia" w:ascii="宋体" w:hAnsi="宋体"/>
                <w:szCs w:val="21"/>
                <w:highlight w:val="none"/>
              </w:rPr>
              <w:t>盖章、签字</w:t>
            </w:r>
            <w:r>
              <w:rPr>
                <w:rFonts w:hint="eastAsia" w:ascii="宋体" w:hAnsi="宋体"/>
                <w:szCs w:val="21"/>
                <w:highlight w:val="none"/>
                <w:lang w:eastAsia="zh-CN"/>
              </w:rPr>
              <w:t>。</w:t>
            </w:r>
          </w:p>
        </w:tc>
      </w:tr>
      <w:tr w14:paraId="72702F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20" w:type="dxa"/>
            <w:vMerge w:val="continue"/>
            <w:tcBorders>
              <w:right w:val="single" w:color="auto" w:sz="4" w:space="0"/>
            </w:tcBorders>
            <w:vAlign w:val="center"/>
          </w:tcPr>
          <w:p w14:paraId="7E1EF765">
            <w:pPr>
              <w:spacing w:line="440" w:lineRule="exact"/>
              <w:jc w:val="center"/>
              <w:rPr>
                <w:rFonts w:ascii="宋体" w:hAnsi="宋体"/>
                <w:szCs w:val="21"/>
                <w:highlight w:val="none"/>
              </w:rPr>
            </w:pPr>
          </w:p>
        </w:tc>
        <w:tc>
          <w:tcPr>
            <w:tcW w:w="540" w:type="dxa"/>
            <w:vMerge w:val="continue"/>
            <w:tcBorders>
              <w:right w:val="single" w:color="auto" w:sz="4" w:space="0"/>
            </w:tcBorders>
            <w:vAlign w:val="center"/>
          </w:tcPr>
          <w:p w14:paraId="668F455A">
            <w:pPr>
              <w:spacing w:line="440" w:lineRule="exact"/>
              <w:jc w:val="center"/>
              <w:rPr>
                <w:rFonts w:ascii="宋体" w:hAnsi="宋体"/>
                <w:szCs w:val="21"/>
                <w:highlight w:val="none"/>
              </w:rPr>
            </w:pPr>
          </w:p>
        </w:tc>
        <w:tc>
          <w:tcPr>
            <w:tcW w:w="1594" w:type="dxa"/>
            <w:tcBorders>
              <w:top w:val="single" w:color="auto" w:sz="4" w:space="0"/>
              <w:left w:val="single" w:color="auto" w:sz="4" w:space="0"/>
              <w:bottom w:val="single" w:color="auto" w:sz="4" w:space="0"/>
              <w:right w:val="single" w:color="auto" w:sz="4" w:space="0"/>
            </w:tcBorders>
            <w:vAlign w:val="center"/>
          </w:tcPr>
          <w:p w14:paraId="1DD7CCBE">
            <w:pPr>
              <w:tabs>
                <w:tab w:val="left" w:pos="1260"/>
              </w:tabs>
              <w:spacing w:line="440" w:lineRule="exact"/>
              <w:jc w:val="center"/>
              <w:rPr>
                <w:rFonts w:ascii="宋体" w:hAnsi="宋体"/>
                <w:color w:val="auto"/>
                <w:szCs w:val="21"/>
                <w:highlight w:val="none"/>
              </w:rPr>
            </w:pPr>
            <w:r>
              <w:rPr>
                <w:rFonts w:hint="eastAsia" w:ascii="宋体" w:hAnsi="宋体"/>
                <w:color w:val="auto"/>
                <w:szCs w:val="21"/>
                <w:highlight w:val="none"/>
                <w:lang w:val="en-US" w:eastAsia="zh-CN"/>
              </w:rPr>
              <w:t>进口产品投标</w:t>
            </w:r>
          </w:p>
        </w:tc>
        <w:tc>
          <w:tcPr>
            <w:tcW w:w="5426" w:type="dxa"/>
            <w:tcBorders>
              <w:top w:val="single" w:color="auto" w:sz="4" w:space="0"/>
              <w:left w:val="single" w:color="auto" w:sz="4" w:space="0"/>
              <w:bottom w:val="single" w:color="auto" w:sz="4" w:space="0"/>
              <w:right w:val="single" w:color="auto" w:sz="4" w:space="0"/>
            </w:tcBorders>
            <w:vAlign w:val="center"/>
          </w:tcPr>
          <w:p w14:paraId="2E198DA4">
            <w:pPr>
              <w:spacing w:line="440" w:lineRule="atLeast"/>
              <w:rPr>
                <w:color w:val="auto"/>
                <w:highlight w:val="none"/>
              </w:rPr>
            </w:pPr>
            <w:r>
              <w:rPr>
                <w:rFonts w:hint="eastAsia" w:ascii="宋体" w:hAnsi="宋体"/>
                <w:color w:val="auto"/>
                <w:szCs w:val="21"/>
                <w:highlight w:val="none"/>
                <w:lang w:val="en-US" w:eastAsia="zh-CN"/>
              </w:rPr>
              <w:t>不接受进口产品投标。（查看投标函）</w:t>
            </w:r>
          </w:p>
        </w:tc>
      </w:tr>
      <w:tr w14:paraId="6652DA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720" w:type="dxa"/>
            <w:vMerge w:val="continue"/>
            <w:tcBorders>
              <w:right w:val="single" w:color="auto" w:sz="4" w:space="0"/>
            </w:tcBorders>
            <w:vAlign w:val="center"/>
          </w:tcPr>
          <w:p w14:paraId="2C8720F2">
            <w:pPr>
              <w:spacing w:line="440" w:lineRule="exact"/>
              <w:jc w:val="center"/>
              <w:rPr>
                <w:rFonts w:ascii="宋体" w:hAnsi="宋体"/>
                <w:szCs w:val="21"/>
                <w:highlight w:val="none"/>
              </w:rPr>
            </w:pPr>
          </w:p>
        </w:tc>
        <w:tc>
          <w:tcPr>
            <w:tcW w:w="540" w:type="dxa"/>
            <w:vMerge w:val="continue"/>
            <w:tcBorders>
              <w:right w:val="single" w:color="auto" w:sz="4" w:space="0"/>
            </w:tcBorders>
            <w:vAlign w:val="center"/>
          </w:tcPr>
          <w:p w14:paraId="3CB44DD6">
            <w:pPr>
              <w:spacing w:line="440" w:lineRule="exact"/>
              <w:jc w:val="center"/>
              <w:rPr>
                <w:rFonts w:ascii="宋体" w:hAnsi="宋体"/>
                <w:szCs w:val="21"/>
                <w:highlight w:val="none"/>
              </w:rPr>
            </w:pPr>
          </w:p>
        </w:tc>
        <w:tc>
          <w:tcPr>
            <w:tcW w:w="1594" w:type="dxa"/>
            <w:tcBorders>
              <w:top w:val="single" w:color="auto" w:sz="4" w:space="0"/>
              <w:left w:val="single" w:color="auto" w:sz="4" w:space="0"/>
              <w:right w:val="single" w:color="auto" w:sz="4" w:space="0"/>
            </w:tcBorders>
            <w:vAlign w:val="center"/>
          </w:tcPr>
          <w:p w14:paraId="5B54EAEB">
            <w:pPr>
              <w:spacing w:line="440" w:lineRule="exact"/>
              <w:jc w:val="center"/>
              <w:rPr>
                <w:rFonts w:ascii="宋体" w:hAnsi="宋体"/>
                <w:color w:val="auto"/>
                <w:szCs w:val="21"/>
                <w:highlight w:val="none"/>
              </w:rPr>
            </w:pPr>
            <w:r>
              <w:rPr>
                <w:rFonts w:hint="eastAsia" w:ascii="宋体" w:hAnsi="宋体"/>
                <w:color w:val="auto"/>
                <w:szCs w:val="21"/>
                <w:highlight w:val="none"/>
                <w:lang w:val="en-US" w:eastAsia="zh-CN"/>
              </w:rPr>
              <w:t>联合体投标</w:t>
            </w:r>
          </w:p>
        </w:tc>
        <w:tc>
          <w:tcPr>
            <w:tcW w:w="5426" w:type="dxa"/>
            <w:tcBorders>
              <w:top w:val="single" w:color="auto" w:sz="4" w:space="0"/>
              <w:left w:val="single" w:color="auto" w:sz="4" w:space="0"/>
              <w:right w:val="single" w:color="auto" w:sz="4" w:space="0"/>
            </w:tcBorders>
            <w:vAlign w:val="center"/>
          </w:tcPr>
          <w:p w14:paraId="6630840E">
            <w:pPr>
              <w:spacing w:line="440" w:lineRule="atLeast"/>
              <w:rPr>
                <w:rFonts w:ascii="宋体" w:hAnsi="宋体"/>
                <w:color w:val="auto"/>
                <w:szCs w:val="21"/>
                <w:highlight w:val="none"/>
              </w:rPr>
            </w:pPr>
            <w:r>
              <w:rPr>
                <w:rFonts w:hint="eastAsia" w:ascii="宋体" w:hAnsi="宋体"/>
                <w:color w:val="auto"/>
                <w:szCs w:val="21"/>
                <w:highlight w:val="none"/>
                <w:lang w:val="en-US" w:eastAsia="zh-CN"/>
              </w:rPr>
              <w:t>不接受联合体投标。（查看投标函）</w:t>
            </w:r>
          </w:p>
        </w:tc>
      </w:tr>
      <w:tr w14:paraId="753E75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720" w:type="dxa"/>
            <w:vMerge w:val="continue"/>
            <w:tcBorders>
              <w:right w:val="single" w:color="auto" w:sz="4" w:space="0"/>
            </w:tcBorders>
            <w:vAlign w:val="center"/>
          </w:tcPr>
          <w:p w14:paraId="3BC1CCE1">
            <w:pPr>
              <w:spacing w:line="440" w:lineRule="exact"/>
              <w:jc w:val="center"/>
              <w:rPr>
                <w:rFonts w:ascii="宋体" w:hAnsi="宋体"/>
                <w:szCs w:val="21"/>
                <w:highlight w:val="none"/>
              </w:rPr>
            </w:pPr>
          </w:p>
        </w:tc>
        <w:tc>
          <w:tcPr>
            <w:tcW w:w="540" w:type="dxa"/>
            <w:vMerge w:val="continue"/>
            <w:tcBorders>
              <w:right w:val="single" w:color="auto" w:sz="4" w:space="0"/>
            </w:tcBorders>
            <w:vAlign w:val="center"/>
          </w:tcPr>
          <w:p w14:paraId="5A086FA3">
            <w:pPr>
              <w:spacing w:line="440" w:lineRule="exact"/>
              <w:jc w:val="center"/>
              <w:rPr>
                <w:rFonts w:ascii="宋体" w:hAnsi="宋体"/>
                <w:szCs w:val="21"/>
                <w:highlight w:val="none"/>
              </w:rPr>
            </w:pPr>
          </w:p>
        </w:tc>
        <w:tc>
          <w:tcPr>
            <w:tcW w:w="1594" w:type="dxa"/>
            <w:tcBorders>
              <w:top w:val="single" w:color="auto" w:sz="4" w:space="0"/>
              <w:left w:val="single" w:color="auto" w:sz="4" w:space="0"/>
              <w:right w:val="single" w:color="auto" w:sz="4" w:space="0"/>
            </w:tcBorders>
            <w:vAlign w:val="center"/>
          </w:tcPr>
          <w:p w14:paraId="162E920A">
            <w:pPr>
              <w:spacing w:line="440" w:lineRule="exact"/>
              <w:jc w:val="center"/>
              <w:rPr>
                <w:rFonts w:ascii="宋体" w:hAnsi="宋体"/>
                <w:color w:val="auto"/>
                <w:szCs w:val="21"/>
                <w:highlight w:val="none"/>
              </w:rPr>
            </w:pPr>
            <w:r>
              <w:rPr>
                <w:rFonts w:hint="eastAsia" w:ascii="宋体" w:hAnsi="宋体"/>
                <w:color w:val="auto"/>
                <w:szCs w:val="21"/>
                <w:highlight w:val="none"/>
                <w:lang w:val="en-US" w:eastAsia="zh-CN"/>
              </w:rPr>
              <w:t>是否允许分包</w:t>
            </w:r>
          </w:p>
        </w:tc>
        <w:tc>
          <w:tcPr>
            <w:tcW w:w="5426" w:type="dxa"/>
            <w:tcBorders>
              <w:top w:val="single" w:color="auto" w:sz="4" w:space="0"/>
              <w:left w:val="single" w:color="auto" w:sz="4" w:space="0"/>
              <w:right w:val="single" w:color="auto" w:sz="4" w:space="0"/>
            </w:tcBorders>
            <w:vAlign w:val="center"/>
          </w:tcPr>
          <w:p w14:paraId="1972AC0D">
            <w:pPr>
              <w:spacing w:line="440" w:lineRule="atLeast"/>
              <w:rPr>
                <w:rFonts w:ascii="宋体" w:hAnsi="宋体"/>
                <w:color w:val="auto"/>
                <w:szCs w:val="21"/>
                <w:highlight w:val="none"/>
              </w:rPr>
            </w:pPr>
            <w:r>
              <w:rPr>
                <w:rFonts w:hint="eastAsia" w:ascii="宋体" w:hAnsi="宋体"/>
                <w:color w:val="auto"/>
                <w:szCs w:val="21"/>
                <w:highlight w:val="none"/>
                <w:lang w:val="en-US" w:eastAsia="zh-CN"/>
              </w:rPr>
              <w:t>不允许将项目内容分包给他人履行。（查看供应商须知前附表）</w:t>
            </w:r>
          </w:p>
        </w:tc>
      </w:tr>
      <w:tr w14:paraId="64FCE5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0" w:type="dxa"/>
            <w:vMerge w:val="continue"/>
            <w:tcBorders>
              <w:right w:val="single" w:color="auto" w:sz="4" w:space="0"/>
            </w:tcBorders>
            <w:vAlign w:val="center"/>
          </w:tcPr>
          <w:p w14:paraId="556EA533">
            <w:pPr>
              <w:spacing w:line="440" w:lineRule="exact"/>
              <w:jc w:val="center"/>
              <w:rPr>
                <w:rFonts w:ascii="宋体" w:hAnsi="宋体"/>
                <w:szCs w:val="21"/>
                <w:highlight w:val="none"/>
              </w:rPr>
            </w:pPr>
          </w:p>
        </w:tc>
        <w:tc>
          <w:tcPr>
            <w:tcW w:w="540" w:type="dxa"/>
            <w:vMerge w:val="continue"/>
            <w:tcBorders>
              <w:right w:val="single" w:color="auto" w:sz="4" w:space="0"/>
            </w:tcBorders>
            <w:vAlign w:val="center"/>
          </w:tcPr>
          <w:p w14:paraId="6AB0D080">
            <w:pPr>
              <w:spacing w:line="440" w:lineRule="exact"/>
              <w:jc w:val="center"/>
              <w:rPr>
                <w:rFonts w:ascii="宋体" w:hAnsi="宋体"/>
                <w:szCs w:val="21"/>
                <w:highlight w:val="none"/>
              </w:rPr>
            </w:pPr>
          </w:p>
        </w:tc>
        <w:tc>
          <w:tcPr>
            <w:tcW w:w="1594" w:type="dxa"/>
            <w:tcBorders>
              <w:top w:val="single" w:color="auto" w:sz="4" w:space="0"/>
              <w:left w:val="single" w:color="auto" w:sz="4" w:space="0"/>
              <w:bottom w:val="single" w:color="auto" w:sz="4" w:space="0"/>
              <w:right w:val="single" w:color="auto" w:sz="4" w:space="0"/>
            </w:tcBorders>
            <w:vAlign w:val="center"/>
          </w:tcPr>
          <w:p w14:paraId="6A5CEB45">
            <w:pPr>
              <w:spacing w:line="440" w:lineRule="exact"/>
              <w:jc w:val="center"/>
              <w:rPr>
                <w:rFonts w:ascii="宋体" w:hAnsi="宋体"/>
                <w:szCs w:val="21"/>
                <w:highlight w:val="none"/>
              </w:rPr>
            </w:pPr>
            <w:r>
              <w:rPr>
                <w:rFonts w:hint="eastAsia" w:ascii="宋体" w:hAnsi="宋体"/>
                <w:szCs w:val="21"/>
                <w:highlight w:val="none"/>
              </w:rPr>
              <w:t>投标报价</w:t>
            </w:r>
          </w:p>
        </w:tc>
        <w:tc>
          <w:tcPr>
            <w:tcW w:w="5426" w:type="dxa"/>
            <w:tcBorders>
              <w:top w:val="single" w:color="auto" w:sz="4" w:space="0"/>
              <w:left w:val="single" w:color="auto" w:sz="4" w:space="0"/>
              <w:bottom w:val="single" w:color="auto" w:sz="4" w:space="0"/>
              <w:right w:val="single" w:color="auto" w:sz="4" w:space="0"/>
            </w:tcBorders>
            <w:vAlign w:val="center"/>
          </w:tcPr>
          <w:p w14:paraId="3A185EFD">
            <w:pPr>
              <w:spacing w:line="440" w:lineRule="atLeast"/>
              <w:rPr>
                <w:highlight w:val="none"/>
              </w:rPr>
            </w:pPr>
            <w:r>
              <w:rPr>
                <w:rFonts w:hint="eastAsia"/>
                <w:highlight w:val="none"/>
              </w:rPr>
              <w:t>1、投标函中只</w:t>
            </w:r>
            <w:r>
              <w:rPr>
                <w:rFonts w:hint="eastAsia"/>
                <w:highlight w:val="none"/>
                <w:lang w:val="en-US" w:eastAsia="zh-CN"/>
              </w:rPr>
              <w:t>能</w:t>
            </w:r>
            <w:r>
              <w:rPr>
                <w:rFonts w:hint="eastAsia"/>
                <w:highlight w:val="none"/>
              </w:rPr>
              <w:t>有一个有效投标报价</w:t>
            </w:r>
            <w:r>
              <w:rPr>
                <w:rFonts w:hint="eastAsia"/>
                <w:highlight w:val="none"/>
                <w:lang w:eastAsia="zh-CN"/>
              </w:rPr>
              <w:t>，</w:t>
            </w:r>
            <w:r>
              <w:rPr>
                <w:rFonts w:hint="eastAsia"/>
                <w:highlight w:val="none"/>
                <w:lang w:val="en-US" w:eastAsia="zh-CN"/>
              </w:rPr>
              <w:t>未出现可选择性或可调整的报价</w:t>
            </w:r>
            <w:r>
              <w:rPr>
                <w:rFonts w:hint="eastAsia"/>
                <w:highlight w:val="none"/>
              </w:rPr>
              <w:t>（</w:t>
            </w:r>
            <w:r>
              <w:rPr>
                <w:rFonts w:hint="eastAsia"/>
                <w:highlight w:val="none"/>
                <w:lang w:val="en-US" w:eastAsia="zh-CN"/>
              </w:rPr>
              <w:t>采购</w:t>
            </w:r>
            <w:r>
              <w:rPr>
                <w:rFonts w:hint="eastAsia"/>
                <w:highlight w:val="none"/>
              </w:rPr>
              <w:t>文件另有</w:t>
            </w:r>
            <w:r>
              <w:rPr>
                <w:rFonts w:hint="eastAsia"/>
                <w:highlight w:val="none"/>
                <w:lang w:val="en-US" w:eastAsia="zh-CN"/>
              </w:rPr>
              <w:t>规定的</w:t>
            </w:r>
            <w:r>
              <w:rPr>
                <w:rFonts w:hint="eastAsia"/>
                <w:highlight w:val="none"/>
              </w:rPr>
              <w:t>除外）。</w:t>
            </w:r>
          </w:p>
          <w:p w14:paraId="143819FB">
            <w:pPr>
              <w:spacing w:line="440" w:lineRule="atLeast"/>
              <w:rPr>
                <w:rFonts w:hint="eastAsia"/>
                <w:highlight w:val="none"/>
              </w:rPr>
            </w:pPr>
            <w:r>
              <w:rPr>
                <w:rFonts w:hint="eastAsia"/>
                <w:highlight w:val="none"/>
              </w:rPr>
              <w:t>2、</w:t>
            </w:r>
            <w:r>
              <w:rPr>
                <w:rFonts w:hint="eastAsia"/>
                <w:highlight w:val="none"/>
                <w:lang w:val="en-US" w:eastAsia="zh-CN"/>
              </w:rPr>
              <w:t>投标报价</w:t>
            </w:r>
            <w:r>
              <w:rPr>
                <w:rFonts w:hint="eastAsia"/>
                <w:highlight w:val="none"/>
              </w:rPr>
              <w:t>不得高于最高限价。</w:t>
            </w:r>
          </w:p>
          <w:p w14:paraId="6C58F060">
            <w:pPr>
              <w:spacing w:line="440" w:lineRule="atLeast"/>
              <w:rPr>
                <w:rFonts w:hint="default"/>
                <w:highlight w:val="none"/>
              </w:rPr>
            </w:pPr>
            <w:r>
              <w:rPr>
                <w:rFonts w:hint="eastAsia"/>
                <w:highlight w:val="none"/>
                <w:lang w:val="en-US" w:eastAsia="zh-CN"/>
              </w:rPr>
              <w:t>3、异常低价审查：评审中出现下列情形之一的，评审委员会应当启动异常低价投标审查程序：投标报价低于全部通过符合性审查供应商投标报价平均值50%的；或者低于通过符合性审查的次低报价供应商投标报价50%的；或者低于采购项目最高限价45%的（投标文件中已提交书面说明及证明材料的可不再重复提交）；或者评审委员会基于专业判断，认为供应商报价过低，有可能影响产品质量或者不能诚信履约的其他情形。</w:t>
            </w:r>
          </w:p>
          <w:p w14:paraId="6B7EDB15">
            <w:pPr>
              <w:spacing w:line="440" w:lineRule="atLeast"/>
              <w:ind w:firstLine="420" w:firstLineChars="200"/>
              <w:rPr>
                <w:rFonts w:hint="default"/>
                <w:highlight w:val="none"/>
              </w:rPr>
            </w:pPr>
            <w:r>
              <w:rPr>
                <w:rFonts w:hint="eastAsia"/>
                <w:highlight w:val="none"/>
                <w:lang w:val="en-US" w:eastAsia="zh-CN"/>
              </w:rPr>
              <w:t>评审委员会</w:t>
            </w:r>
            <w:r>
              <w:rPr>
                <w:rFonts w:hint="eastAsia"/>
                <w:highlight w:val="none"/>
              </w:rPr>
              <w:t>应通过电子交易系统向该供应商</w:t>
            </w:r>
            <w:r>
              <w:rPr>
                <w:rFonts w:hint="eastAsia"/>
                <w:highlight w:val="none"/>
                <w:lang w:val="en-US" w:eastAsia="zh-CN"/>
              </w:rPr>
              <w:t>发</w:t>
            </w:r>
            <w:r>
              <w:rPr>
                <w:rFonts w:hint="eastAsia"/>
                <w:highlight w:val="none"/>
              </w:rPr>
              <w:t>出</w:t>
            </w:r>
            <w:r>
              <w:rPr>
                <w:rFonts w:hint="eastAsia"/>
                <w:highlight w:val="none"/>
                <w:lang w:val="en-US" w:eastAsia="zh-CN"/>
              </w:rPr>
              <w:t>澄清通知</w:t>
            </w:r>
            <w:r>
              <w:rPr>
                <w:rFonts w:hint="eastAsia"/>
                <w:highlight w:val="none"/>
              </w:rPr>
              <w:t>，</w:t>
            </w:r>
            <w:r>
              <w:rPr>
                <w:rFonts w:hint="eastAsia"/>
                <w:highlight w:val="none"/>
                <w:lang w:val="en-US" w:eastAsia="zh-CN"/>
              </w:rPr>
              <w:t>供应商在通知发出30分钟（另有约定的除外）内通过该系统答复，并提供项目具体成本测算等与报价合理性相关的书面说明及必要的证明材料，包括但不限于原材料成本、人工成本、制造费用等。供应商不能提供书面说明、证明材料，或者不能证明其报价合理性的，评审委员会应当将其作为无效投标处理。</w:t>
            </w:r>
          </w:p>
          <w:p w14:paraId="7F06276E">
            <w:pPr>
              <w:spacing w:line="440" w:lineRule="atLeast"/>
              <w:ind w:firstLine="420" w:firstLineChars="200"/>
              <w:rPr>
                <w:rFonts w:ascii="宋体" w:hAnsi="宋体"/>
                <w:szCs w:val="21"/>
                <w:highlight w:val="none"/>
              </w:rPr>
            </w:pPr>
            <w:r>
              <w:rPr>
                <w:rFonts w:hint="eastAsia"/>
                <w:highlight w:val="none"/>
                <w:lang w:val="en-US" w:eastAsia="zh-CN"/>
              </w:rPr>
              <w:t>异常低价审查的启动原因、审查意见和审查结果应当在评审报告中记录，并随供应商相关材料以及评审委员会有关资料一并归档。</w:t>
            </w:r>
          </w:p>
        </w:tc>
      </w:tr>
      <w:tr w14:paraId="43F153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0" w:type="dxa"/>
            <w:vMerge w:val="continue"/>
            <w:tcBorders>
              <w:right w:val="single" w:color="auto" w:sz="4" w:space="0"/>
            </w:tcBorders>
            <w:vAlign w:val="center"/>
          </w:tcPr>
          <w:p w14:paraId="361ECBE4">
            <w:pPr>
              <w:spacing w:line="440" w:lineRule="exact"/>
              <w:jc w:val="center"/>
              <w:rPr>
                <w:rFonts w:ascii="宋体" w:hAnsi="宋体"/>
                <w:szCs w:val="21"/>
                <w:highlight w:val="none"/>
              </w:rPr>
            </w:pPr>
          </w:p>
        </w:tc>
        <w:tc>
          <w:tcPr>
            <w:tcW w:w="540" w:type="dxa"/>
            <w:vMerge w:val="continue"/>
            <w:tcBorders>
              <w:right w:val="single" w:color="auto" w:sz="4" w:space="0"/>
            </w:tcBorders>
            <w:vAlign w:val="center"/>
          </w:tcPr>
          <w:p w14:paraId="28A788D5">
            <w:pPr>
              <w:spacing w:line="440" w:lineRule="exact"/>
              <w:jc w:val="center"/>
              <w:rPr>
                <w:rFonts w:ascii="宋体" w:hAnsi="宋体"/>
                <w:szCs w:val="21"/>
                <w:highlight w:val="none"/>
              </w:rPr>
            </w:pPr>
          </w:p>
        </w:tc>
        <w:tc>
          <w:tcPr>
            <w:tcW w:w="1594" w:type="dxa"/>
            <w:tcBorders>
              <w:top w:val="single" w:color="auto" w:sz="4" w:space="0"/>
              <w:left w:val="single" w:color="auto" w:sz="4" w:space="0"/>
              <w:bottom w:val="single" w:color="auto" w:sz="4" w:space="0"/>
              <w:right w:val="single" w:color="auto" w:sz="4" w:space="0"/>
            </w:tcBorders>
            <w:vAlign w:val="center"/>
          </w:tcPr>
          <w:p w14:paraId="3791BCE9">
            <w:pPr>
              <w:spacing w:line="440" w:lineRule="exact"/>
              <w:jc w:val="center"/>
              <w:rPr>
                <w:rFonts w:ascii="宋体" w:hAnsi="宋体"/>
                <w:szCs w:val="21"/>
                <w:highlight w:val="none"/>
              </w:rPr>
            </w:pPr>
            <w:r>
              <w:rPr>
                <w:rFonts w:hint="eastAsia" w:ascii="宋体" w:hAnsi="宋体"/>
                <w:szCs w:val="21"/>
                <w:highlight w:val="none"/>
              </w:rPr>
              <w:t>合同履行期限</w:t>
            </w:r>
          </w:p>
        </w:tc>
        <w:tc>
          <w:tcPr>
            <w:tcW w:w="5426" w:type="dxa"/>
            <w:tcBorders>
              <w:top w:val="single" w:color="auto" w:sz="4" w:space="0"/>
              <w:left w:val="single" w:color="auto" w:sz="4" w:space="0"/>
              <w:bottom w:val="single" w:color="auto" w:sz="4" w:space="0"/>
              <w:right w:val="single" w:color="auto" w:sz="4" w:space="0"/>
            </w:tcBorders>
            <w:vAlign w:val="center"/>
          </w:tcPr>
          <w:p w14:paraId="4A1ECAEE">
            <w:pPr>
              <w:spacing w:line="440" w:lineRule="atLeast"/>
              <w:rPr>
                <w:rFonts w:ascii="宋体" w:hAnsi="宋体" w:cs="宋体"/>
                <w:szCs w:val="21"/>
                <w:highlight w:val="none"/>
              </w:rPr>
            </w:pPr>
            <w:r>
              <w:rPr>
                <w:rFonts w:hint="eastAsia" w:ascii="宋体" w:hAnsi="宋体"/>
                <w:szCs w:val="21"/>
                <w:highlight w:val="none"/>
              </w:rPr>
              <w:t>不多于"供应商须知前附表"规定的时间。(查看投标函)</w:t>
            </w:r>
          </w:p>
        </w:tc>
      </w:tr>
      <w:tr w14:paraId="4FE4A5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0" w:type="dxa"/>
            <w:vMerge w:val="continue"/>
            <w:tcBorders>
              <w:right w:val="single" w:color="auto" w:sz="4" w:space="0"/>
            </w:tcBorders>
            <w:vAlign w:val="center"/>
          </w:tcPr>
          <w:p w14:paraId="1F7A57CA">
            <w:pPr>
              <w:spacing w:line="440" w:lineRule="exact"/>
              <w:jc w:val="center"/>
              <w:rPr>
                <w:rFonts w:ascii="宋体" w:hAnsi="宋体"/>
                <w:szCs w:val="21"/>
                <w:highlight w:val="none"/>
              </w:rPr>
            </w:pPr>
          </w:p>
        </w:tc>
        <w:tc>
          <w:tcPr>
            <w:tcW w:w="540" w:type="dxa"/>
            <w:vMerge w:val="continue"/>
            <w:tcBorders>
              <w:right w:val="single" w:color="auto" w:sz="4" w:space="0"/>
            </w:tcBorders>
            <w:vAlign w:val="center"/>
          </w:tcPr>
          <w:p w14:paraId="706DAAA8">
            <w:pPr>
              <w:spacing w:line="440" w:lineRule="exact"/>
              <w:jc w:val="center"/>
              <w:rPr>
                <w:rFonts w:ascii="宋体" w:hAnsi="宋体"/>
                <w:szCs w:val="21"/>
                <w:highlight w:val="none"/>
              </w:rPr>
            </w:pPr>
          </w:p>
        </w:tc>
        <w:tc>
          <w:tcPr>
            <w:tcW w:w="1594" w:type="dxa"/>
            <w:tcBorders>
              <w:top w:val="single" w:color="auto" w:sz="4" w:space="0"/>
              <w:left w:val="single" w:color="auto" w:sz="4" w:space="0"/>
              <w:bottom w:val="single" w:color="auto" w:sz="4" w:space="0"/>
              <w:right w:val="single" w:color="auto" w:sz="4" w:space="0"/>
            </w:tcBorders>
            <w:vAlign w:val="center"/>
          </w:tcPr>
          <w:p w14:paraId="769910C8">
            <w:pPr>
              <w:spacing w:line="440" w:lineRule="exact"/>
              <w:jc w:val="center"/>
              <w:rPr>
                <w:rFonts w:ascii="宋体" w:hAnsi="宋体"/>
                <w:szCs w:val="21"/>
                <w:highlight w:val="none"/>
              </w:rPr>
            </w:pPr>
            <w:r>
              <w:rPr>
                <w:rFonts w:ascii="宋体" w:hAnsi="宋体"/>
                <w:szCs w:val="21"/>
                <w:highlight w:val="none"/>
              </w:rPr>
              <w:t>质量要求</w:t>
            </w:r>
          </w:p>
        </w:tc>
        <w:tc>
          <w:tcPr>
            <w:tcW w:w="5426" w:type="dxa"/>
            <w:tcBorders>
              <w:top w:val="single" w:color="auto" w:sz="4" w:space="0"/>
              <w:left w:val="single" w:color="auto" w:sz="4" w:space="0"/>
              <w:bottom w:val="single" w:color="auto" w:sz="4" w:space="0"/>
              <w:right w:val="single" w:color="auto" w:sz="4" w:space="0"/>
            </w:tcBorders>
            <w:vAlign w:val="center"/>
          </w:tcPr>
          <w:p w14:paraId="1DE71E9E">
            <w:pPr>
              <w:spacing w:line="440" w:lineRule="atLeast"/>
              <w:rPr>
                <w:rFonts w:ascii="宋体" w:hAnsi="宋体" w:cs="宋体"/>
                <w:szCs w:val="21"/>
                <w:highlight w:val="none"/>
              </w:rPr>
            </w:pPr>
            <w:r>
              <w:rPr>
                <w:rFonts w:hint="eastAsia" w:ascii="宋体" w:hAnsi="宋体"/>
                <w:szCs w:val="21"/>
                <w:highlight w:val="none"/>
              </w:rPr>
              <w:t>响应“供应商须知前附表”要求。(查看投标函)</w:t>
            </w:r>
          </w:p>
        </w:tc>
      </w:tr>
      <w:tr w14:paraId="059BB5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0" w:type="dxa"/>
            <w:vMerge w:val="continue"/>
            <w:tcBorders>
              <w:right w:val="single" w:color="auto" w:sz="4" w:space="0"/>
            </w:tcBorders>
            <w:vAlign w:val="center"/>
          </w:tcPr>
          <w:p w14:paraId="1C01BADD">
            <w:pPr>
              <w:spacing w:line="440" w:lineRule="exact"/>
              <w:jc w:val="center"/>
              <w:rPr>
                <w:rFonts w:ascii="宋体" w:hAnsi="宋体"/>
                <w:szCs w:val="21"/>
                <w:highlight w:val="none"/>
              </w:rPr>
            </w:pPr>
          </w:p>
        </w:tc>
        <w:tc>
          <w:tcPr>
            <w:tcW w:w="540" w:type="dxa"/>
            <w:vMerge w:val="continue"/>
            <w:tcBorders>
              <w:right w:val="single" w:color="auto" w:sz="4" w:space="0"/>
            </w:tcBorders>
            <w:vAlign w:val="center"/>
          </w:tcPr>
          <w:p w14:paraId="165495B1">
            <w:pPr>
              <w:spacing w:line="440" w:lineRule="exact"/>
              <w:jc w:val="center"/>
              <w:rPr>
                <w:rFonts w:ascii="宋体" w:hAnsi="宋体"/>
                <w:szCs w:val="21"/>
                <w:highlight w:val="none"/>
              </w:rPr>
            </w:pPr>
          </w:p>
        </w:tc>
        <w:tc>
          <w:tcPr>
            <w:tcW w:w="1594" w:type="dxa"/>
            <w:tcBorders>
              <w:top w:val="single" w:color="auto" w:sz="4" w:space="0"/>
              <w:left w:val="single" w:color="auto" w:sz="4" w:space="0"/>
              <w:bottom w:val="single" w:color="auto" w:sz="4" w:space="0"/>
              <w:right w:val="single" w:color="auto" w:sz="4" w:space="0"/>
            </w:tcBorders>
            <w:vAlign w:val="center"/>
          </w:tcPr>
          <w:p w14:paraId="13E523D6">
            <w:pPr>
              <w:spacing w:line="440" w:lineRule="exact"/>
              <w:jc w:val="center"/>
              <w:rPr>
                <w:rFonts w:hint="default" w:ascii="宋体" w:hAnsi="宋体" w:eastAsia="宋体"/>
                <w:szCs w:val="21"/>
                <w:highlight w:val="none"/>
                <w:lang w:val="en-US" w:eastAsia="zh-CN"/>
              </w:rPr>
            </w:pPr>
            <w:r>
              <w:rPr>
                <w:rFonts w:hint="eastAsia" w:ascii="宋体" w:hAnsi="宋体"/>
                <w:szCs w:val="21"/>
                <w:highlight w:val="none"/>
                <w:lang w:val="en-US" w:eastAsia="zh-CN"/>
              </w:rPr>
              <w:t>运维期限</w:t>
            </w:r>
          </w:p>
        </w:tc>
        <w:tc>
          <w:tcPr>
            <w:tcW w:w="5426" w:type="dxa"/>
            <w:tcBorders>
              <w:top w:val="single" w:color="auto" w:sz="4" w:space="0"/>
              <w:left w:val="single" w:color="auto" w:sz="4" w:space="0"/>
              <w:bottom w:val="single" w:color="auto" w:sz="4" w:space="0"/>
              <w:right w:val="single" w:color="auto" w:sz="4" w:space="0"/>
            </w:tcBorders>
            <w:vAlign w:val="center"/>
          </w:tcPr>
          <w:p w14:paraId="28034097">
            <w:pPr>
              <w:spacing w:line="440" w:lineRule="atLeast"/>
              <w:rPr>
                <w:rFonts w:hint="eastAsia" w:ascii="宋体" w:hAnsi="宋体" w:eastAsia="宋体"/>
                <w:szCs w:val="21"/>
                <w:highlight w:val="none"/>
                <w:lang w:val="en-US" w:eastAsia="zh-CN"/>
              </w:rPr>
            </w:pPr>
            <w:r>
              <w:rPr>
                <w:rFonts w:hint="eastAsia" w:ascii="宋体" w:hAnsi="宋体"/>
                <w:szCs w:val="21"/>
                <w:highlight w:val="none"/>
              </w:rPr>
              <w:t>响应“供应商须知前附表”要求。(查看投标函)</w:t>
            </w:r>
          </w:p>
        </w:tc>
      </w:tr>
      <w:tr w14:paraId="4839F9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0" w:type="dxa"/>
            <w:vMerge w:val="continue"/>
            <w:tcBorders>
              <w:right w:val="single" w:color="auto" w:sz="4" w:space="0"/>
            </w:tcBorders>
            <w:vAlign w:val="center"/>
          </w:tcPr>
          <w:p w14:paraId="7B9D10D8">
            <w:pPr>
              <w:spacing w:line="440" w:lineRule="exact"/>
              <w:jc w:val="center"/>
              <w:rPr>
                <w:rFonts w:ascii="宋体" w:hAnsi="宋体"/>
                <w:szCs w:val="21"/>
                <w:highlight w:val="none"/>
              </w:rPr>
            </w:pPr>
          </w:p>
        </w:tc>
        <w:tc>
          <w:tcPr>
            <w:tcW w:w="540" w:type="dxa"/>
            <w:vMerge w:val="continue"/>
            <w:tcBorders>
              <w:right w:val="single" w:color="auto" w:sz="4" w:space="0"/>
            </w:tcBorders>
            <w:vAlign w:val="center"/>
          </w:tcPr>
          <w:p w14:paraId="35205FFF">
            <w:pPr>
              <w:spacing w:line="440" w:lineRule="exact"/>
              <w:jc w:val="center"/>
              <w:rPr>
                <w:rFonts w:ascii="宋体" w:hAnsi="宋体"/>
                <w:szCs w:val="21"/>
                <w:highlight w:val="none"/>
              </w:rPr>
            </w:pPr>
          </w:p>
        </w:tc>
        <w:tc>
          <w:tcPr>
            <w:tcW w:w="1594" w:type="dxa"/>
            <w:tcBorders>
              <w:top w:val="single" w:color="auto" w:sz="4" w:space="0"/>
              <w:left w:val="single" w:color="auto" w:sz="4" w:space="0"/>
              <w:bottom w:val="single" w:color="auto" w:sz="4" w:space="0"/>
              <w:right w:val="single" w:color="auto" w:sz="4" w:space="0"/>
            </w:tcBorders>
            <w:vAlign w:val="center"/>
          </w:tcPr>
          <w:p w14:paraId="14747FDE">
            <w:pPr>
              <w:spacing w:line="440" w:lineRule="exact"/>
              <w:jc w:val="center"/>
              <w:rPr>
                <w:rFonts w:hint="eastAsia" w:ascii="宋体" w:hAnsi="宋体"/>
                <w:szCs w:val="21"/>
                <w:highlight w:val="none"/>
                <w:lang w:val="en-US" w:eastAsia="zh-CN"/>
              </w:rPr>
            </w:pPr>
            <w:r>
              <w:rPr>
                <w:rFonts w:hint="eastAsia"/>
                <w:color w:val="auto"/>
                <w:highlight w:val="none"/>
              </w:rPr>
              <w:t>加“*”的指标</w:t>
            </w:r>
          </w:p>
        </w:tc>
        <w:tc>
          <w:tcPr>
            <w:tcW w:w="5426" w:type="dxa"/>
            <w:tcBorders>
              <w:top w:val="single" w:color="auto" w:sz="4" w:space="0"/>
              <w:left w:val="single" w:color="auto" w:sz="4" w:space="0"/>
              <w:bottom w:val="single" w:color="auto" w:sz="4" w:space="0"/>
              <w:right w:val="single" w:color="auto" w:sz="4" w:space="0"/>
            </w:tcBorders>
            <w:vAlign w:val="center"/>
          </w:tcPr>
          <w:p w14:paraId="144C6297">
            <w:pPr>
              <w:spacing w:line="440" w:lineRule="atLeast"/>
              <w:rPr>
                <w:rFonts w:hint="eastAsia" w:ascii="宋体" w:hAnsi="宋体"/>
                <w:szCs w:val="21"/>
                <w:highlight w:val="none"/>
              </w:rPr>
            </w:pPr>
            <w:r>
              <w:rPr>
                <w:rFonts w:hint="eastAsia"/>
                <w:color w:val="auto"/>
                <w:highlight w:val="none"/>
              </w:rPr>
              <w:t>加“*”的指标为实质性</w:t>
            </w:r>
            <w:r>
              <w:rPr>
                <w:rFonts w:hint="eastAsia" w:ascii="宋体" w:hAnsi="宋体" w:cs="宋体"/>
                <w:color w:val="auto"/>
                <w:highlight w:val="none"/>
              </w:rPr>
              <w:t>要求，不满足者为无效投标。</w:t>
            </w:r>
          </w:p>
        </w:tc>
      </w:tr>
      <w:tr w14:paraId="39979B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0" w:type="dxa"/>
            <w:vMerge w:val="continue"/>
            <w:tcBorders>
              <w:right w:val="single" w:color="auto" w:sz="4" w:space="0"/>
            </w:tcBorders>
            <w:vAlign w:val="center"/>
          </w:tcPr>
          <w:p w14:paraId="650DEBA1">
            <w:pPr>
              <w:spacing w:line="440" w:lineRule="exact"/>
              <w:jc w:val="center"/>
              <w:rPr>
                <w:rFonts w:ascii="宋体" w:hAnsi="宋体"/>
                <w:szCs w:val="21"/>
                <w:highlight w:val="none"/>
              </w:rPr>
            </w:pPr>
          </w:p>
        </w:tc>
        <w:tc>
          <w:tcPr>
            <w:tcW w:w="540" w:type="dxa"/>
            <w:vMerge w:val="continue"/>
            <w:tcBorders>
              <w:right w:val="single" w:color="auto" w:sz="4" w:space="0"/>
            </w:tcBorders>
            <w:vAlign w:val="center"/>
          </w:tcPr>
          <w:p w14:paraId="1B08F000">
            <w:pPr>
              <w:spacing w:line="440" w:lineRule="exact"/>
              <w:jc w:val="center"/>
              <w:rPr>
                <w:rFonts w:ascii="宋体" w:hAnsi="宋体"/>
                <w:szCs w:val="21"/>
                <w:highlight w:val="none"/>
              </w:rPr>
            </w:pPr>
          </w:p>
        </w:tc>
        <w:tc>
          <w:tcPr>
            <w:tcW w:w="1594" w:type="dxa"/>
            <w:tcBorders>
              <w:top w:val="single" w:color="auto" w:sz="4" w:space="0"/>
              <w:left w:val="single" w:color="auto" w:sz="4" w:space="0"/>
              <w:bottom w:val="single" w:color="auto" w:sz="4" w:space="0"/>
              <w:right w:val="single" w:color="auto" w:sz="4" w:space="0"/>
            </w:tcBorders>
            <w:vAlign w:val="center"/>
          </w:tcPr>
          <w:p w14:paraId="40E8DDA0">
            <w:pPr>
              <w:spacing w:line="440" w:lineRule="exact"/>
              <w:jc w:val="center"/>
              <w:rPr>
                <w:rFonts w:ascii="宋体" w:hAnsi="宋体"/>
                <w:szCs w:val="21"/>
                <w:highlight w:val="none"/>
              </w:rPr>
            </w:pPr>
            <w:r>
              <w:rPr>
                <w:rFonts w:hint="eastAsia" w:ascii="宋体" w:hAnsi="宋体"/>
                <w:szCs w:val="21"/>
                <w:highlight w:val="none"/>
              </w:rPr>
              <w:t>投标有效期</w:t>
            </w:r>
          </w:p>
        </w:tc>
        <w:tc>
          <w:tcPr>
            <w:tcW w:w="5426" w:type="dxa"/>
            <w:tcBorders>
              <w:top w:val="single" w:color="auto" w:sz="4" w:space="0"/>
              <w:left w:val="single" w:color="auto" w:sz="4" w:space="0"/>
              <w:bottom w:val="single" w:color="auto" w:sz="4" w:space="0"/>
              <w:right w:val="single" w:color="auto" w:sz="4" w:space="0"/>
            </w:tcBorders>
            <w:vAlign w:val="center"/>
          </w:tcPr>
          <w:p w14:paraId="57071208">
            <w:pPr>
              <w:spacing w:line="440" w:lineRule="atLeast"/>
              <w:rPr>
                <w:rFonts w:ascii="宋体" w:hAnsi="宋体" w:cs="宋体"/>
                <w:szCs w:val="21"/>
                <w:highlight w:val="none"/>
              </w:rPr>
            </w:pPr>
            <w:r>
              <w:rPr>
                <w:rFonts w:hint="eastAsia" w:ascii="宋体" w:hAnsi="宋体"/>
                <w:szCs w:val="21"/>
                <w:highlight w:val="none"/>
              </w:rPr>
              <w:t>不得少于“供应商须知前附表”规定的时间。(查看投标函)</w:t>
            </w:r>
          </w:p>
        </w:tc>
      </w:tr>
      <w:tr w14:paraId="53A3B9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0" w:type="dxa"/>
            <w:vMerge w:val="continue"/>
            <w:tcBorders>
              <w:right w:val="single" w:color="auto" w:sz="4" w:space="0"/>
            </w:tcBorders>
            <w:vAlign w:val="center"/>
          </w:tcPr>
          <w:p w14:paraId="1AABEB59">
            <w:pPr>
              <w:spacing w:line="440" w:lineRule="exact"/>
              <w:jc w:val="center"/>
              <w:rPr>
                <w:rFonts w:ascii="宋体" w:hAnsi="宋体"/>
                <w:szCs w:val="21"/>
                <w:highlight w:val="none"/>
              </w:rPr>
            </w:pPr>
          </w:p>
        </w:tc>
        <w:tc>
          <w:tcPr>
            <w:tcW w:w="540" w:type="dxa"/>
            <w:vMerge w:val="continue"/>
            <w:tcBorders>
              <w:right w:val="single" w:color="auto" w:sz="4" w:space="0"/>
            </w:tcBorders>
            <w:vAlign w:val="center"/>
          </w:tcPr>
          <w:p w14:paraId="4AE4998A">
            <w:pPr>
              <w:spacing w:line="440" w:lineRule="exact"/>
              <w:jc w:val="center"/>
              <w:rPr>
                <w:rFonts w:ascii="宋体" w:hAnsi="宋体"/>
                <w:szCs w:val="21"/>
                <w:highlight w:val="none"/>
              </w:rPr>
            </w:pPr>
          </w:p>
        </w:tc>
        <w:tc>
          <w:tcPr>
            <w:tcW w:w="1594" w:type="dxa"/>
            <w:tcBorders>
              <w:top w:val="single" w:color="auto" w:sz="4" w:space="0"/>
              <w:left w:val="single" w:color="auto" w:sz="4" w:space="0"/>
              <w:bottom w:val="single" w:color="auto" w:sz="4" w:space="0"/>
              <w:right w:val="single" w:color="auto" w:sz="4" w:space="0"/>
            </w:tcBorders>
            <w:vAlign w:val="center"/>
          </w:tcPr>
          <w:p w14:paraId="71F83F37">
            <w:pPr>
              <w:spacing w:line="440" w:lineRule="exact"/>
              <w:jc w:val="center"/>
              <w:rPr>
                <w:rFonts w:ascii="宋体" w:hAnsi="宋体"/>
                <w:szCs w:val="21"/>
                <w:highlight w:val="none"/>
              </w:rPr>
            </w:pPr>
            <w:r>
              <w:rPr>
                <w:rFonts w:hint="eastAsia" w:ascii="宋体" w:hAnsi="宋体"/>
                <w:szCs w:val="21"/>
                <w:highlight w:val="none"/>
              </w:rPr>
              <w:t>付款方式</w:t>
            </w:r>
          </w:p>
        </w:tc>
        <w:tc>
          <w:tcPr>
            <w:tcW w:w="5426" w:type="dxa"/>
            <w:tcBorders>
              <w:top w:val="single" w:color="auto" w:sz="4" w:space="0"/>
              <w:left w:val="single" w:color="auto" w:sz="4" w:space="0"/>
              <w:bottom w:val="single" w:color="auto" w:sz="4" w:space="0"/>
              <w:right w:val="single" w:color="auto" w:sz="4" w:space="0"/>
            </w:tcBorders>
            <w:vAlign w:val="center"/>
          </w:tcPr>
          <w:p w14:paraId="5E0CE956">
            <w:pPr>
              <w:spacing w:line="440" w:lineRule="atLeast"/>
              <w:rPr>
                <w:rFonts w:ascii="宋体" w:hAnsi="宋体" w:cs="宋体"/>
                <w:szCs w:val="21"/>
                <w:highlight w:val="none"/>
              </w:rPr>
            </w:pPr>
            <w:r>
              <w:rPr>
                <w:rFonts w:hint="eastAsia" w:ascii="宋体" w:hAnsi="宋体"/>
                <w:szCs w:val="21"/>
                <w:highlight w:val="none"/>
              </w:rPr>
              <w:t>响应“供应商须知前附表”要求(查看投标函)</w:t>
            </w:r>
          </w:p>
        </w:tc>
      </w:tr>
      <w:tr w14:paraId="0C9DC2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0" w:type="dxa"/>
            <w:vMerge w:val="continue"/>
            <w:tcBorders>
              <w:right w:val="single" w:color="auto" w:sz="4" w:space="0"/>
            </w:tcBorders>
            <w:vAlign w:val="center"/>
          </w:tcPr>
          <w:p w14:paraId="49883F3E">
            <w:pPr>
              <w:spacing w:line="440" w:lineRule="exact"/>
              <w:jc w:val="center"/>
              <w:rPr>
                <w:rFonts w:ascii="宋体" w:hAnsi="宋体"/>
                <w:szCs w:val="21"/>
                <w:highlight w:val="none"/>
              </w:rPr>
            </w:pPr>
          </w:p>
        </w:tc>
        <w:tc>
          <w:tcPr>
            <w:tcW w:w="540" w:type="dxa"/>
            <w:vMerge w:val="continue"/>
            <w:tcBorders>
              <w:right w:val="single" w:color="auto" w:sz="4" w:space="0"/>
            </w:tcBorders>
            <w:vAlign w:val="center"/>
          </w:tcPr>
          <w:p w14:paraId="033580B1">
            <w:pPr>
              <w:spacing w:line="440" w:lineRule="exact"/>
              <w:jc w:val="center"/>
              <w:rPr>
                <w:rFonts w:ascii="宋体" w:hAnsi="宋体"/>
                <w:szCs w:val="21"/>
                <w:highlight w:val="none"/>
              </w:rPr>
            </w:pPr>
          </w:p>
        </w:tc>
        <w:tc>
          <w:tcPr>
            <w:tcW w:w="1594" w:type="dxa"/>
            <w:tcBorders>
              <w:top w:val="single" w:color="auto" w:sz="4" w:space="0"/>
              <w:left w:val="single" w:color="auto" w:sz="4" w:space="0"/>
              <w:bottom w:val="single" w:color="auto" w:sz="4" w:space="0"/>
              <w:right w:val="single" w:color="auto" w:sz="4" w:space="0"/>
            </w:tcBorders>
            <w:vAlign w:val="center"/>
          </w:tcPr>
          <w:p w14:paraId="4679CC42">
            <w:pPr>
              <w:spacing w:line="440" w:lineRule="exact"/>
              <w:jc w:val="center"/>
              <w:rPr>
                <w:rFonts w:hint="eastAsia" w:ascii="宋体" w:hAnsi="宋体"/>
                <w:szCs w:val="21"/>
                <w:highlight w:val="none"/>
              </w:rPr>
            </w:pPr>
            <w:r>
              <w:rPr>
                <w:rFonts w:hint="eastAsia" w:ascii="宋体" w:hAnsi="宋体"/>
                <w:szCs w:val="21"/>
                <w:highlight w:val="none"/>
              </w:rPr>
              <w:t>硬件特征码</w:t>
            </w:r>
          </w:p>
        </w:tc>
        <w:tc>
          <w:tcPr>
            <w:tcW w:w="5426" w:type="dxa"/>
            <w:tcBorders>
              <w:top w:val="single" w:color="auto" w:sz="4" w:space="0"/>
              <w:left w:val="single" w:color="auto" w:sz="4" w:space="0"/>
              <w:bottom w:val="single" w:color="auto" w:sz="4" w:space="0"/>
              <w:right w:val="single" w:color="auto" w:sz="4" w:space="0"/>
            </w:tcBorders>
            <w:vAlign w:val="center"/>
          </w:tcPr>
          <w:p w14:paraId="0DF1EDF7">
            <w:pPr>
              <w:spacing w:line="440" w:lineRule="atLeast"/>
              <w:rPr>
                <w:rFonts w:hint="eastAsia" w:ascii="宋体" w:hAnsi="宋体" w:cs="宋体"/>
                <w:szCs w:val="21"/>
                <w:highlight w:val="none"/>
              </w:rPr>
            </w:pPr>
            <w:r>
              <w:rPr>
                <w:rFonts w:hint="eastAsia" w:ascii="宋体" w:hAnsi="宋体" w:cs="宋体"/>
                <w:szCs w:val="21"/>
                <w:highlight w:val="none"/>
              </w:rPr>
              <w:t>供应商上传投标文件的计算机“硬件特征码”不得与本项目其他供应商相同。</w:t>
            </w:r>
          </w:p>
        </w:tc>
      </w:tr>
      <w:tr w14:paraId="721F3C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0" w:type="dxa"/>
            <w:vMerge w:val="continue"/>
            <w:tcBorders>
              <w:right w:val="single" w:color="auto" w:sz="4" w:space="0"/>
            </w:tcBorders>
            <w:vAlign w:val="center"/>
          </w:tcPr>
          <w:p w14:paraId="35C4A6A7">
            <w:pPr>
              <w:spacing w:line="440" w:lineRule="exact"/>
              <w:jc w:val="center"/>
              <w:rPr>
                <w:rFonts w:ascii="宋体" w:hAnsi="宋体"/>
                <w:szCs w:val="21"/>
                <w:highlight w:val="none"/>
              </w:rPr>
            </w:pPr>
          </w:p>
        </w:tc>
        <w:tc>
          <w:tcPr>
            <w:tcW w:w="540" w:type="dxa"/>
            <w:vMerge w:val="continue"/>
            <w:tcBorders>
              <w:right w:val="single" w:color="auto" w:sz="4" w:space="0"/>
            </w:tcBorders>
            <w:vAlign w:val="center"/>
          </w:tcPr>
          <w:p w14:paraId="26227022">
            <w:pPr>
              <w:spacing w:line="440" w:lineRule="exact"/>
              <w:jc w:val="center"/>
              <w:rPr>
                <w:rFonts w:ascii="宋体" w:hAnsi="宋体"/>
                <w:szCs w:val="21"/>
                <w:highlight w:val="none"/>
              </w:rPr>
            </w:pPr>
          </w:p>
        </w:tc>
        <w:tc>
          <w:tcPr>
            <w:tcW w:w="1594" w:type="dxa"/>
            <w:tcBorders>
              <w:top w:val="single" w:color="auto" w:sz="4" w:space="0"/>
              <w:left w:val="single" w:color="auto" w:sz="4" w:space="0"/>
              <w:bottom w:val="single" w:color="auto" w:sz="4" w:space="0"/>
              <w:right w:val="single" w:color="auto" w:sz="4" w:space="0"/>
            </w:tcBorders>
            <w:vAlign w:val="center"/>
          </w:tcPr>
          <w:p w14:paraId="107A2298">
            <w:pPr>
              <w:spacing w:line="440" w:lineRule="exact"/>
              <w:jc w:val="center"/>
              <w:rPr>
                <w:rFonts w:ascii="宋体" w:hAnsi="宋体"/>
                <w:szCs w:val="21"/>
                <w:highlight w:val="none"/>
              </w:rPr>
            </w:pPr>
            <w:r>
              <w:rPr>
                <w:rFonts w:hint="eastAsia" w:ascii="宋体" w:hAnsi="宋体"/>
                <w:szCs w:val="21"/>
                <w:highlight w:val="none"/>
              </w:rPr>
              <w:t>其他无效投标情形</w:t>
            </w:r>
          </w:p>
        </w:tc>
        <w:tc>
          <w:tcPr>
            <w:tcW w:w="5426" w:type="dxa"/>
            <w:tcBorders>
              <w:top w:val="single" w:color="auto" w:sz="4" w:space="0"/>
              <w:left w:val="single" w:color="auto" w:sz="4" w:space="0"/>
              <w:bottom w:val="single" w:color="auto" w:sz="4" w:space="0"/>
              <w:right w:val="single" w:color="auto" w:sz="4" w:space="0"/>
            </w:tcBorders>
            <w:vAlign w:val="center"/>
          </w:tcPr>
          <w:p w14:paraId="73339EED">
            <w:pPr>
              <w:spacing w:line="440" w:lineRule="exact"/>
              <w:jc w:val="left"/>
              <w:rPr>
                <w:highlight w:val="none"/>
              </w:rPr>
            </w:pPr>
            <w:r>
              <w:rPr>
                <w:rFonts w:hint="eastAsia"/>
                <w:highlight w:val="none"/>
              </w:rPr>
              <w:t>不存在本章“附件Ａ　无效投标条件”所列情形。</w:t>
            </w:r>
          </w:p>
        </w:tc>
      </w:tr>
      <w:tr w14:paraId="64FA16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8280" w:type="dxa"/>
            <w:gridSpan w:val="4"/>
            <w:tcBorders>
              <w:top w:val="single" w:color="auto" w:sz="4" w:space="0"/>
              <w:right w:val="single" w:color="auto" w:sz="4" w:space="0"/>
            </w:tcBorders>
            <w:vAlign w:val="center"/>
          </w:tcPr>
          <w:p w14:paraId="1F6FA2F8">
            <w:pPr>
              <w:spacing w:line="440" w:lineRule="exact"/>
              <w:ind w:firstLine="420" w:firstLineChars="200"/>
              <w:jc w:val="left"/>
              <w:rPr>
                <w:highlight w:val="none"/>
              </w:rPr>
            </w:pPr>
            <w:r>
              <w:rPr>
                <w:rFonts w:hint="eastAsia"/>
                <w:highlight w:val="none"/>
              </w:rPr>
              <w:t>对于无效投标，评标委员会应详细写明具体原因以及采购文件或法律依据，并写入评标报告。</w:t>
            </w:r>
          </w:p>
        </w:tc>
      </w:tr>
    </w:tbl>
    <w:p w14:paraId="36C4FE6A">
      <w:pPr>
        <w:spacing w:line="440" w:lineRule="exact"/>
        <w:rPr>
          <w:rFonts w:ascii="宋体" w:hAnsi="宋体"/>
          <w:b/>
          <w:bCs/>
          <w:highlight w:val="none"/>
        </w:rPr>
      </w:pPr>
    </w:p>
    <w:p w14:paraId="675854A2">
      <w:pPr>
        <w:spacing w:line="440" w:lineRule="exact"/>
        <w:rPr>
          <w:rFonts w:ascii="宋体" w:hAnsi="宋体"/>
          <w:b/>
          <w:bCs/>
          <w:highlight w:val="none"/>
        </w:rPr>
      </w:pPr>
      <w:r>
        <w:rPr>
          <w:rFonts w:hint="eastAsia" w:ascii="宋体" w:hAnsi="宋体"/>
          <w:b/>
          <w:bCs/>
          <w:highlight w:val="none"/>
        </w:rPr>
        <w:t>商务和技术评审内容如下：</w:t>
      </w:r>
    </w:p>
    <w:tbl>
      <w:tblPr>
        <w:tblStyle w:val="34"/>
        <w:tblW w:w="8280"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18"/>
        <w:gridCol w:w="642"/>
        <w:gridCol w:w="1583"/>
        <w:gridCol w:w="701"/>
        <w:gridCol w:w="4736"/>
      </w:tblGrid>
      <w:tr w14:paraId="05ECAB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trPr>
        <w:tc>
          <w:tcPr>
            <w:tcW w:w="1260" w:type="dxa"/>
            <w:gridSpan w:val="2"/>
            <w:tcBorders>
              <w:top w:val="single" w:color="auto" w:sz="4" w:space="0"/>
              <w:bottom w:val="single" w:color="auto" w:sz="4" w:space="0"/>
              <w:right w:val="single" w:color="auto" w:sz="4" w:space="0"/>
            </w:tcBorders>
            <w:vAlign w:val="center"/>
          </w:tcPr>
          <w:p w14:paraId="2BC12758">
            <w:pPr>
              <w:spacing w:line="440" w:lineRule="exact"/>
              <w:jc w:val="center"/>
              <w:rPr>
                <w:rFonts w:ascii="宋体" w:hAnsi="宋体"/>
                <w:b/>
                <w:bCs/>
                <w:szCs w:val="21"/>
                <w:highlight w:val="none"/>
              </w:rPr>
            </w:pPr>
            <w:r>
              <w:rPr>
                <w:rFonts w:hint="eastAsia" w:ascii="宋体" w:hAnsi="宋体"/>
                <w:b/>
                <w:bCs/>
                <w:highlight w:val="none"/>
              </w:rPr>
              <w:t>条款号</w:t>
            </w:r>
          </w:p>
        </w:tc>
        <w:tc>
          <w:tcPr>
            <w:tcW w:w="1583" w:type="dxa"/>
            <w:tcBorders>
              <w:top w:val="single" w:color="auto" w:sz="4" w:space="0"/>
              <w:left w:val="single" w:color="auto" w:sz="4" w:space="0"/>
              <w:right w:val="single" w:color="auto" w:sz="4" w:space="0"/>
            </w:tcBorders>
            <w:vAlign w:val="center"/>
          </w:tcPr>
          <w:p w14:paraId="3441BCA6">
            <w:pPr>
              <w:spacing w:line="440" w:lineRule="exact"/>
              <w:jc w:val="center"/>
              <w:rPr>
                <w:rFonts w:ascii="宋体" w:hAnsi="宋体"/>
                <w:b/>
                <w:bCs/>
                <w:szCs w:val="21"/>
                <w:highlight w:val="none"/>
              </w:rPr>
            </w:pPr>
            <w:r>
              <w:rPr>
                <w:rFonts w:hint="eastAsia" w:ascii="宋体" w:hAnsi="宋体"/>
                <w:b/>
                <w:bCs/>
                <w:highlight w:val="none"/>
              </w:rPr>
              <w:t>条款内容</w:t>
            </w:r>
          </w:p>
        </w:tc>
        <w:tc>
          <w:tcPr>
            <w:tcW w:w="5437" w:type="dxa"/>
            <w:gridSpan w:val="2"/>
            <w:tcBorders>
              <w:top w:val="single" w:color="auto" w:sz="4" w:space="0"/>
              <w:left w:val="single" w:color="auto" w:sz="4" w:space="0"/>
              <w:right w:val="single" w:color="auto" w:sz="4" w:space="0"/>
            </w:tcBorders>
            <w:vAlign w:val="center"/>
          </w:tcPr>
          <w:p w14:paraId="55B676CB">
            <w:pPr>
              <w:spacing w:line="440" w:lineRule="exact"/>
              <w:jc w:val="center"/>
              <w:rPr>
                <w:rFonts w:ascii="宋体" w:hAnsi="宋体"/>
                <w:b/>
                <w:bCs/>
                <w:szCs w:val="21"/>
                <w:highlight w:val="none"/>
              </w:rPr>
            </w:pPr>
            <w:r>
              <w:rPr>
                <w:rFonts w:hint="eastAsia" w:ascii="宋体" w:hAnsi="宋体"/>
                <w:b/>
                <w:bCs/>
                <w:highlight w:val="none"/>
              </w:rPr>
              <w:t>编列内容</w:t>
            </w:r>
          </w:p>
        </w:tc>
      </w:tr>
      <w:tr w14:paraId="5A8A2C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trPr>
        <w:tc>
          <w:tcPr>
            <w:tcW w:w="1260" w:type="dxa"/>
            <w:gridSpan w:val="2"/>
            <w:tcBorders>
              <w:top w:val="single" w:color="auto" w:sz="4" w:space="0"/>
              <w:bottom w:val="single" w:color="auto" w:sz="4" w:space="0"/>
              <w:right w:val="single" w:color="auto" w:sz="4" w:space="0"/>
            </w:tcBorders>
            <w:vAlign w:val="center"/>
          </w:tcPr>
          <w:p w14:paraId="2BF2C63D">
            <w:pPr>
              <w:spacing w:line="440" w:lineRule="exact"/>
              <w:jc w:val="center"/>
              <w:rPr>
                <w:rFonts w:ascii="宋体" w:hAnsi="宋体"/>
                <w:szCs w:val="21"/>
                <w:highlight w:val="none"/>
              </w:rPr>
            </w:pPr>
            <w:r>
              <w:rPr>
                <w:rFonts w:hint="eastAsia" w:ascii="宋体" w:hAnsi="宋体"/>
                <w:szCs w:val="21"/>
                <w:highlight w:val="none"/>
              </w:rPr>
              <w:t>2.2.1</w:t>
            </w:r>
          </w:p>
        </w:tc>
        <w:tc>
          <w:tcPr>
            <w:tcW w:w="1583" w:type="dxa"/>
            <w:tcBorders>
              <w:top w:val="single" w:color="auto" w:sz="4" w:space="0"/>
              <w:left w:val="single" w:color="auto" w:sz="4" w:space="0"/>
              <w:right w:val="single" w:color="auto" w:sz="4" w:space="0"/>
            </w:tcBorders>
            <w:vAlign w:val="center"/>
          </w:tcPr>
          <w:p w14:paraId="04464704">
            <w:pPr>
              <w:spacing w:line="440" w:lineRule="exact"/>
              <w:jc w:val="center"/>
              <w:rPr>
                <w:rFonts w:ascii="宋体" w:hAnsi="宋体"/>
                <w:szCs w:val="21"/>
                <w:highlight w:val="none"/>
              </w:rPr>
            </w:pPr>
            <w:r>
              <w:rPr>
                <w:rFonts w:hint="eastAsia" w:ascii="宋体" w:hAnsi="宋体"/>
                <w:szCs w:val="21"/>
                <w:highlight w:val="none"/>
              </w:rPr>
              <w:t>分值构成</w:t>
            </w:r>
          </w:p>
          <w:p w14:paraId="0379F87B">
            <w:pPr>
              <w:spacing w:line="440" w:lineRule="exact"/>
              <w:jc w:val="center"/>
              <w:rPr>
                <w:rFonts w:ascii="宋体" w:hAnsi="宋体"/>
                <w:szCs w:val="21"/>
                <w:highlight w:val="none"/>
              </w:rPr>
            </w:pPr>
            <w:r>
              <w:rPr>
                <w:rFonts w:hint="eastAsia" w:ascii="宋体" w:hAnsi="宋体"/>
                <w:szCs w:val="21"/>
                <w:highlight w:val="none"/>
              </w:rPr>
              <w:t>(总分 100 分)</w:t>
            </w:r>
          </w:p>
        </w:tc>
        <w:tc>
          <w:tcPr>
            <w:tcW w:w="5437" w:type="dxa"/>
            <w:gridSpan w:val="2"/>
            <w:tcBorders>
              <w:top w:val="single" w:color="auto" w:sz="4" w:space="0"/>
              <w:left w:val="single" w:color="auto" w:sz="4" w:space="0"/>
              <w:right w:val="single" w:color="auto" w:sz="4" w:space="0"/>
            </w:tcBorders>
            <w:vAlign w:val="center"/>
          </w:tcPr>
          <w:p w14:paraId="30866F94">
            <w:pPr>
              <w:spacing w:line="440" w:lineRule="exact"/>
              <w:jc w:val="left"/>
              <w:rPr>
                <w:rFonts w:ascii="宋体" w:hAnsi="宋体"/>
                <w:color w:val="auto"/>
                <w:highlight w:val="none"/>
              </w:rPr>
            </w:pPr>
            <w:r>
              <w:rPr>
                <w:rFonts w:hint="eastAsia" w:ascii="宋体" w:hAnsi="宋体"/>
                <w:color w:val="auto"/>
                <w:highlight w:val="none"/>
              </w:rPr>
              <w:t>投标报价：</w:t>
            </w:r>
            <w:r>
              <w:rPr>
                <w:rFonts w:hint="eastAsia" w:ascii="宋体" w:hAnsi="宋体"/>
                <w:color w:val="auto"/>
                <w:highlight w:val="none"/>
                <w:u w:val="single"/>
                <w:lang w:val="en-US" w:eastAsia="zh-CN"/>
              </w:rPr>
              <w:t>10</w:t>
            </w:r>
            <w:r>
              <w:rPr>
                <w:rFonts w:hint="eastAsia" w:ascii="宋体" w:hAnsi="宋体"/>
                <w:color w:val="auto"/>
                <w:highlight w:val="none"/>
              </w:rPr>
              <w:t>分</w:t>
            </w:r>
          </w:p>
          <w:p w14:paraId="64982454">
            <w:pPr>
              <w:spacing w:line="440" w:lineRule="exact"/>
              <w:jc w:val="left"/>
              <w:rPr>
                <w:rFonts w:ascii="宋体" w:hAnsi="宋体"/>
                <w:color w:val="auto"/>
                <w:highlight w:val="none"/>
              </w:rPr>
            </w:pPr>
            <w:r>
              <w:rPr>
                <w:rFonts w:hint="eastAsia" w:ascii="宋体" w:hAnsi="宋体"/>
                <w:color w:val="auto"/>
                <w:highlight w:val="none"/>
              </w:rPr>
              <w:t>商务部分：</w:t>
            </w:r>
            <w:r>
              <w:rPr>
                <w:rFonts w:hint="eastAsia" w:ascii="宋体" w:hAnsi="宋体"/>
                <w:color w:val="auto"/>
                <w:highlight w:val="none"/>
                <w:u w:val="single"/>
                <w:lang w:val="en-US" w:eastAsia="zh-CN"/>
              </w:rPr>
              <w:t>8</w:t>
            </w:r>
            <w:r>
              <w:rPr>
                <w:rFonts w:hint="eastAsia" w:ascii="宋体" w:hAnsi="宋体"/>
                <w:color w:val="auto"/>
                <w:highlight w:val="none"/>
              </w:rPr>
              <w:t>分</w:t>
            </w:r>
          </w:p>
          <w:p w14:paraId="4B3FD472">
            <w:pPr>
              <w:spacing w:line="440" w:lineRule="exact"/>
              <w:jc w:val="left"/>
              <w:rPr>
                <w:rFonts w:ascii="宋体" w:hAnsi="宋体"/>
                <w:highlight w:val="none"/>
              </w:rPr>
            </w:pPr>
            <w:r>
              <w:rPr>
                <w:rFonts w:hint="eastAsia" w:ascii="宋体" w:hAnsi="宋体"/>
                <w:color w:val="auto"/>
                <w:highlight w:val="none"/>
              </w:rPr>
              <w:t>技术部分：</w:t>
            </w:r>
            <w:r>
              <w:rPr>
                <w:rFonts w:hint="eastAsia" w:ascii="宋体" w:hAnsi="宋体"/>
                <w:color w:val="auto"/>
                <w:highlight w:val="none"/>
                <w:u w:val="single"/>
                <w:lang w:val="en-US" w:eastAsia="zh-CN"/>
              </w:rPr>
              <w:t>82</w:t>
            </w:r>
            <w:r>
              <w:rPr>
                <w:rFonts w:hint="eastAsia" w:ascii="宋体" w:hAnsi="宋体"/>
                <w:color w:val="auto"/>
                <w:highlight w:val="none"/>
              </w:rPr>
              <w:t>分</w:t>
            </w:r>
          </w:p>
        </w:tc>
      </w:tr>
      <w:tr w14:paraId="743D34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trPr>
        <w:tc>
          <w:tcPr>
            <w:tcW w:w="1260" w:type="dxa"/>
            <w:gridSpan w:val="2"/>
            <w:tcBorders>
              <w:top w:val="single" w:color="auto" w:sz="4" w:space="0"/>
              <w:bottom w:val="single" w:color="auto" w:sz="4" w:space="0"/>
              <w:right w:val="single" w:color="auto" w:sz="4" w:space="0"/>
            </w:tcBorders>
            <w:vAlign w:val="center"/>
          </w:tcPr>
          <w:p w14:paraId="44B7EA55">
            <w:pPr>
              <w:spacing w:line="440" w:lineRule="exact"/>
              <w:jc w:val="center"/>
              <w:rPr>
                <w:rFonts w:ascii="宋体" w:hAnsi="宋体"/>
                <w:highlight w:val="none"/>
              </w:rPr>
            </w:pPr>
            <w:r>
              <w:rPr>
                <w:rFonts w:ascii="宋体" w:hAnsi="宋体"/>
                <w:szCs w:val="21"/>
                <w:highlight w:val="none"/>
              </w:rPr>
              <w:t>2.2.</w:t>
            </w:r>
            <w:r>
              <w:rPr>
                <w:rFonts w:hint="eastAsia" w:ascii="宋体" w:hAnsi="宋体"/>
                <w:szCs w:val="21"/>
                <w:highlight w:val="none"/>
              </w:rPr>
              <w:t>2</w:t>
            </w:r>
          </w:p>
        </w:tc>
        <w:tc>
          <w:tcPr>
            <w:tcW w:w="1583" w:type="dxa"/>
            <w:tcBorders>
              <w:top w:val="single" w:color="auto" w:sz="4" w:space="0"/>
              <w:left w:val="single" w:color="auto" w:sz="4" w:space="0"/>
              <w:right w:val="single" w:color="auto" w:sz="4" w:space="0"/>
            </w:tcBorders>
            <w:vAlign w:val="center"/>
          </w:tcPr>
          <w:p w14:paraId="2AFF7E8F">
            <w:pPr>
              <w:spacing w:line="440" w:lineRule="exact"/>
              <w:jc w:val="center"/>
              <w:rPr>
                <w:rFonts w:ascii="宋体" w:hAnsi="宋体"/>
                <w:highlight w:val="none"/>
              </w:rPr>
            </w:pPr>
            <w:r>
              <w:rPr>
                <w:rFonts w:ascii="宋体" w:hAnsi="宋体"/>
                <w:szCs w:val="21"/>
                <w:highlight w:val="none"/>
              </w:rPr>
              <w:t>投标报价</w:t>
            </w:r>
          </w:p>
        </w:tc>
        <w:tc>
          <w:tcPr>
            <w:tcW w:w="5437" w:type="dxa"/>
            <w:gridSpan w:val="2"/>
            <w:tcBorders>
              <w:top w:val="single" w:color="auto" w:sz="4" w:space="0"/>
              <w:left w:val="single" w:color="auto" w:sz="4" w:space="0"/>
              <w:right w:val="single" w:color="auto" w:sz="4" w:space="0"/>
            </w:tcBorders>
            <w:vAlign w:val="center"/>
          </w:tcPr>
          <w:p w14:paraId="05234FAE">
            <w:pPr>
              <w:numPr>
                <w:ilvl w:val="0"/>
                <w:numId w:val="0"/>
              </w:numPr>
              <w:ind w:firstLine="420" w:firstLineChars="200"/>
              <w:rPr>
                <w:rFonts w:hint="default"/>
                <w:highlight w:val="none"/>
                <w:lang w:val="en-US" w:eastAsia="zh-CN"/>
              </w:rPr>
            </w:pPr>
            <w:r>
              <w:rPr>
                <w:rFonts w:hint="eastAsia"/>
                <w:highlight w:val="none"/>
                <w:lang w:val="en-US" w:eastAsia="zh-CN"/>
              </w:rPr>
              <w:t>1、</w:t>
            </w:r>
            <w:r>
              <w:rPr>
                <w:rFonts w:hint="eastAsia"/>
                <w:highlight w:val="none"/>
              </w:rPr>
              <w:t>价格分采用低价优先法计算，即满足项目需求且投标报价最低的有效投标报价为评标基准价，其价格分为满分</w:t>
            </w:r>
            <w:r>
              <w:rPr>
                <w:rFonts w:hint="eastAsia"/>
                <w:highlight w:val="none"/>
                <w:lang w:eastAsia="zh-CN"/>
              </w:rPr>
              <w:t>，</w:t>
            </w:r>
            <w:r>
              <w:rPr>
                <w:rFonts w:hint="eastAsia"/>
                <w:highlight w:val="none"/>
                <w:lang w:val="en-US" w:eastAsia="zh-CN"/>
              </w:rPr>
              <w:t>其他供应商的价格分计算方法如下：</w:t>
            </w:r>
          </w:p>
          <w:p w14:paraId="64D9D1EF">
            <w:pPr>
              <w:numPr>
                <w:ilvl w:val="0"/>
                <w:numId w:val="0"/>
              </w:numPr>
              <w:ind w:firstLine="422" w:firstLineChars="200"/>
              <w:rPr>
                <w:rFonts w:hint="eastAsia"/>
                <w:highlight w:val="none"/>
                <w:lang w:eastAsia="zh-CN"/>
              </w:rPr>
            </w:pPr>
            <w:r>
              <w:rPr>
                <w:rFonts w:hint="default"/>
                <w:b/>
                <w:bCs/>
                <w:highlight w:val="none"/>
              </w:rPr>
              <w:t>①</w:t>
            </w:r>
            <w:r>
              <w:rPr>
                <w:rFonts w:hint="eastAsia"/>
                <w:b/>
                <w:bCs/>
                <w:highlight w:val="none"/>
                <w:lang w:val="en-US" w:eastAsia="zh-CN"/>
              </w:rPr>
              <w:t>报价得分＝（评标基准价/投标报价）×价格分值</w:t>
            </w:r>
            <w:r>
              <w:rPr>
                <w:rFonts w:hint="eastAsia"/>
                <w:b/>
                <w:bCs/>
                <w:highlight w:val="none"/>
                <w:lang w:eastAsia="zh-CN"/>
              </w:rPr>
              <w:t>。</w:t>
            </w:r>
          </w:p>
          <w:p w14:paraId="695BDAB6">
            <w:pPr>
              <w:numPr>
                <w:ilvl w:val="0"/>
                <w:numId w:val="0"/>
              </w:numPr>
              <w:ind w:firstLine="420" w:firstLineChars="200"/>
              <w:rPr>
                <w:rFonts w:hint="eastAsia"/>
                <w:highlight w:val="none"/>
              </w:rPr>
            </w:pPr>
            <w:r>
              <w:rPr>
                <w:rFonts w:hint="eastAsia"/>
                <w:highlight w:val="none"/>
                <w:lang w:val="en-US" w:eastAsia="zh-CN"/>
              </w:rPr>
              <w:t>此处</w:t>
            </w:r>
            <w:r>
              <w:rPr>
                <w:rFonts w:hint="eastAsia"/>
                <w:highlight w:val="none"/>
              </w:rPr>
              <w:t>评标基准价、投标报价</w:t>
            </w:r>
            <w:r>
              <w:rPr>
                <w:rFonts w:hint="eastAsia"/>
                <w:highlight w:val="none"/>
                <w:lang w:val="en-US" w:eastAsia="zh-CN"/>
              </w:rPr>
              <w:t>是</w:t>
            </w:r>
            <w:r>
              <w:rPr>
                <w:rFonts w:hint="eastAsia"/>
                <w:highlight w:val="none"/>
              </w:rPr>
              <w:t>指经过</w:t>
            </w:r>
            <w:r>
              <w:rPr>
                <w:rFonts w:hint="eastAsia"/>
                <w:highlight w:val="none"/>
                <w:lang w:val="en-US" w:eastAsia="zh-CN"/>
              </w:rPr>
              <w:t>价格</w:t>
            </w:r>
            <w:r>
              <w:rPr>
                <w:rFonts w:hint="eastAsia"/>
                <w:highlight w:val="none"/>
              </w:rPr>
              <w:t>修正</w:t>
            </w:r>
            <w:r>
              <w:rPr>
                <w:rFonts w:hint="eastAsia"/>
                <w:highlight w:val="none"/>
                <w:lang w:val="en-US" w:eastAsia="zh-CN"/>
              </w:rPr>
              <w:t>以</w:t>
            </w:r>
            <w:r>
              <w:rPr>
                <w:rFonts w:hint="eastAsia"/>
                <w:highlight w:val="none"/>
              </w:rPr>
              <w:t>及因落实政府采购政策进行价格调整后的</w:t>
            </w:r>
            <w:r>
              <w:rPr>
                <w:rFonts w:hint="eastAsia"/>
                <w:highlight w:val="none"/>
                <w:lang w:val="en-US" w:eastAsia="zh-CN"/>
              </w:rPr>
              <w:t>价格</w:t>
            </w:r>
            <w:r>
              <w:rPr>
                <w:rFonts w:hint="eastAsia"/>
                <w:highlight w:val="none"/>
                <w:lang w:eastAsia="zh-CN"/>
              </w:rPr>
              <w:t>，</w:t>
            </w:r>
            <w:r>
              <w:rPr>
                <w:rFonts w:hint="eastAsia"/>
                <w:highlight w:val="none"/>
                <w:lang w:val="en-US" w:eastAsia="zh-CN"/>
              </w:rPr>
              <w:t>即评审报价。</w:t>
            </w:r>
          </w:p>
          <w:p w14:paraId="08A0ECC7">
            <w:pPr>
              <w:numPr>
                <w:ilvl w:val="0"/>
                <w:numId w:val="0"/>
              </w:numPr>
              <w:ind w:firstLine="422" w:firstLineChars="200"/>
              <w:rPr>
                <w:rFonts w:hint="eastAsia"/>
                <w:highlight w:val="none"/>
                <w:lang w:val="en-US" w:eastAsia="zh-CN"/>
              </w:rPr>
            </w:pPr>
            <w:r>
              <w:rPr>
                <w:rFonts w:hint="default"/>
                <w:b/>
                <w:bCs/>
                <w:highlight w:val="none"/>
                <w:lang w:val="en-US" w:eastAsia="zh-CN"/>
              </w:rPr>
              <w:t>②</w:t>
            </w:r>
            <w:r>
              <w:rPr>
                <w:rFonts w:hint="eastAsia"/>
                <w:b/>
                <w:bCs/>
                <w:highlight w:val="none"/>
                <w:lang w:val="en-US" w:eastAsia="zh-CN"/>
              </w:rPr>
              <w:t>评审报价=投标报价-投标报价</w:t>
            </w:r>
            <w:r>
              <w:rPr>
                <w:rFonts w:hint="default"/>
                <w:b/>
                <w:bCs/>
                <w:highlight w:val="none"/>
                <w:lang w:val="en-US" w:eastAsia="zh-CN"/>
              </w:rPr>
              <w:t>×</w:t>
            </w:r>
            <w:r>
              <w:rPr>
                <w:rFonts w:hint="eastAsia"/>
                <w:b/>
                <w:bCs/>
                <w:highlight w:val="none"/>
                <w:lang w:val="en-US" w:eastAsia="zh-CN"/>
              </w:rPr>
              <w:t>20%（小微企业扣除）-投标报价</w:t>
            </w:r>
            <w:r>
              <w:rPr>
                <w:rFonts w:hint="default"/>
                <w:b/>
                <w:bCs/>
                <w:highlight w:val="none"/>
                <w:lang w:val="en-US" w:eastAsia="zh-CN"/>
              </w:rPr>
              <w:t>×</w:t>
            </w:r>
            <w:r>
              <w:rPr>
                <w:rFonts w:hint="eastAsia"/>
                <w:b/>
                <w:bCs/>
                <w:highlight w:val="none"/>
                <w:lang w:val="en-US" w:eastAsia="zh-CN"/>
              </w:rPr>
              <w:t>20%（本国产品扣除）。（如涉及）</w:t>
            </w:r>
          </w:p>
          <w:p w14:paraId="22B42821">
            <w:pPr>
              <w:numPr>
                <w:ilvl w:val="0"/>
                <w:numId w:val="0"/>
              </w:numPr>
              <w:ind w:firstLine="422" w:firstLineChars="200"/>
              <w:rPr>
                <w:color w:val="FF0000"/>
                <w:highlight w:val="none"/>
              </w:rPr>
            </w:pPr>
            <w:r>
              <w:rPr>
                <w:rFonts w:hint="eastAsia"/>
                <w:b/>
                <w:bCs/>
                <w:highlight w:val="none"/>
                <w:lang w:val="en-US" w:eastAsia="zh-CN"/>
              </w:rPr>
              <w:t>2、小微企业支持政策。</w:t>
            </w:r>
            <w:r>
              <w:rPr>
                <w:rFonts w:hint="eastAsia"/>
                <w:highlight w:val="none"/>
              </w:rPr>
              <w:t>非专门</w:t>
            </w:r>
            <w:r>
              <w:rPr>
                <w:rFonts w:hint="eastAsia"/>
                <w:highlight w:val="none"/>
                <w:lang w:val="en-US" w:eastAsia="zh-CN"/>
              </w:rPr>
              <w:t>面向</w:t>
            </w:r>
            <w:r>
              <w:rPr>
                <w:rFonts w:hint="eastAsia"/>
                <w:highlight w:val="none"/>
              </w:rPr>
              <w:t>中小企业</w:t>
            </w:r>
            <w:r>
              <w:rPr>
                <w:rFonts w:hint="eastAsia"/>
                <w:highlight w:val="none"/>
                <w:lang w:val="en-US" w:eastAsia="zh-CN"/>
              </w:rPr>
              <w:t>的</w:t>
            </w:r>
            <w:r>
              <w:rPr>
                <w:rFonts w:hint="eastAsia"/>
                <w:highlight w:val="none"/>
              </w:rPr>
              <w:t>采购</w:t>
            </w:r>
            <w:r>
              <w:rPr>
                <w:rFonts w:hint="eastAsia"/>
                <w:highlight w:val="none"/>
                <w:lang w:val="en-US" w:eastAsia="zh-CN"/>
              </w:rPr>
              <w:t>项目</w:t>
            </w:r>
            <w:r>
              <w:rPr>
                <w:rFonts w:hint="eastAsia"/>
                <w:highlight w:val="none"/>
              </w:rPr>
              <w:t>，小型、微型企业提供《中小企业声明函》</w:t>
            </w:r>
            <w:r>
              <w:rPr>
                <w:rFonts w:hint="eastAsia"/>
                <w:highlight w:val="none"/>
                <w:lang w:val="en-US" w:eastAsia="zh-CN"/>
              </w:rPr>
              <w:t>，对符合规定的小微企业投标报价给予20%价格扣除。符合中小企业划分标准的个体工商户视同中</w:t>
            </w:r>
            <w:r>
              <w:rPr>
                <w:rFonts w:hint="eastAsia"/>
                <w:color w:val="auto"/>
                <w:highlight w:val="none"/>
                <w:lang w:val="en-US" w:eastAsia="zh-CN"/>
              </w:rPr>
              <w:t>小企业。监狱企业、残疾人福利性单位视同小型、微型企业。同一供应商存在上述多重身份时不叠加计算。专门面向中小微企业或小微企业采购的项目，所有供应商均不予价格扣除。</w:t>
            </w:r>
          </w:p>
        </w:tc>
      </w:tr>
      <w:tr w14:paraId="4646CD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trPr>
        <w:tc>
          <w:tcPr>
            <w:tcW w:w="1260" w:type="dxa"/>
            <w:gridSpan w:val="2"/>
            <w:tcBorders>
              <w:top w:val="single" w:color="auto" w:sz="4" w:space="0"/>
              <w:bottom w:val="single" w:color="auto" w:sz="4" w:space="0"/>
              <w:right w:val="single" w:color="auto" w:sz="4" w:space="0"/>
            </w:tcBorders>
            <w:vAlign w:val="center"/>
          </w:tcPr>
          <w:p w14:paraId="3D70B7A9">
            <w:pPr>
              <w:spacing w:line="440" w:lineRule="exact"/>
              <w:jc w:val="center"/>
              <w:rPr>
                <w:rFonts w:ascii="宋体" w:hAnsi="宋体"/>
                <w:szCs w:val="21"/>
                <w:highlight w:val="none"/>
              </w:rPr>
            </w:pPr>
            <w:r>
              <w:rPr>
                <w:rFonts w:hint="eastAsia" w:ascii="宋体" w:hAnsi="宋体"/>
                <w:b/>
                <w:bCs/>
                <w:highlight w:val="none"/>
              </w:rPr>
              <w:t>条款号</w:t>
            </w:r>
          </w:p>
        </w:tc>
        <w:tc>
          <w:tcPr>
            <w:tcW w:w="1583" w:type="dxa"/>
            <w:tcBorders>
              <w:top w:val="single" w:color="auto" w:sz="4" w:space="0"/>
              <w:left w:val="single" w:color="auto" w:sz="4" w:space="0"/>
              <w:right w:val="single" w:color="auto" w:sz="4" w:space="0"/>
            </w:tcBorders>
            <w:vAlign w:val="center"/>
          </w:tcPr>
          <w:p w14:paraId="3F38CF3B">
            <w:pPr>
              <w:spacing w:line="440" w:lineRule="exact"/>
              <w:jc w:val="center"/>
              <w:rPr>
                <w:rFonts w:ascii="宋体" w:hAnsi="宋体"/>
                <w:b/>
                <w:bCs/>
                <w:color w:val="FF0000"/>
                <w:sz w:val="32"/>
                <w:szCs w:val="32"/>
                <w:highlight w:val="none"/>
              </w:rPr>
            </w:pPr>
            <w:r>
              <w:rPr>
                <w:rFonts w:hint="eastAsia" w:ascii="宋体" w:hAnsi="宋体"/>
                <w:b/>
                <w:bCs/>
                <w:highlight w:val="none"/>
              </w:rPr>
              <w:t>评审因素</w:t>
            </w:r>
          </w:p>
        </w:tc>
        <w:tc>
          <w:tcPr>
            <w:tcW w:w="701" w:type="dxa"/>
            <w:tcBorders>
              <w:top w:val="single" w:color="auto" w:sz="4" w:space="0"/>
              <w:left w:val="single" w:color="auto" w:sz="4" w:space="0"/>
              <w:right w:val="single" w:color="auto" w:sz="4" w:space="0"/>
            </w:tcBorders>
            <w:vAlign w:val="center"/>
          </w:tcPr>
          <w:p w14:paraId="465AE7D4">
            <w:pPr>
              <w:spacing w:line="440" w:lineRule="exact"/>
              <w:jc w:val="center"/>
              <w:rPr>
                <w:rFonts w:ascii="宋体" w:hAnsi="宋体"/>
                <w:b/>
                <w:bCs/>
                <w:highlight w:val="none"/>
              </w:rPr>
            </w:pPr>
            <w:r>
              <w:rPr>
                <w:rFonts w:hint="eastAsia" w:ascii="宋体" w:hAnsi="宋体"/>
                <w:b/>
                <w:bCs/>
                <w:highlight w:val="none"/>
              </w:rPr>
              <w:t>分值</w:t>
            </w:r>
          </w:p>
        </w:tc>
        <w:tc>
          <w:tcPr>
            <w:tcW w:w="4736" w:type="dxa"/>
            <w:tcBorders>
              <w:top w:val="single" w:color="auto" w:sz="4" w:space="0"/>
              <w:left w:val="single" w:color="auto" w:sz="4" w:space="0"/>
              <w:right w:val="single" w:color="auto" w:sz="4" w:space="0"/>
            </w:tcBorders>
            <w:vAlign w:val="center"/>
          </w:tcPr>
          <w:p w14:paraId="6E72258A">
            <w:pPr>
              <w:spacing w:line="440" w:lineRule="exact"/>
              <w:jc w:val="center"/>
              <w:rPr>
                <w:rFonts w:ascii="宋体" w:hAnsi="宋体"/>
                <w:b/>
                <w:bCs/>
                <w:highlight w:val="none"/>
              </w:rPr>
            </w:pPr>
            <w:r>
              <w:rPr>
                <w:rFonts w:hint="eastAsia" w:ascii="宋体" w:hAnsi="宋体"/>
                <w:b/>
                <w:bCs/>
                <w:highlight w:val="none"/>
              </w:rPr>
              <w:t>细化、量化评审标准</w:t>
            </w:r>
          </w:p>
        </w:tc>
      </w:tr>
      <w:tr w14:paraId="01F06C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618" w:type="dxa"/>
            <w:vMerge w:val="restart"/>
            <w:tcBorders>
              <w:top w:val="single" w:color="auto" w:sz="4" w:space="0"/>
              <w:right w:val="single" w:color="auto" w:sz="4" w:space="0"/>
            </w:tcBorders>
            <w:vAlign w:val="center"/>
          </w:tcPr>
          <w:p w14:paraId="5E155475">
            <w:pPr>
              <w:spacing w:line="440" w:lineRule="exact"/>
              <w:jc w:val="center"/>
              <w:rPr>
                <w:rFonts w:ascii="宋体" w:hAnsi="宋体"/>
                <w:highlight w:val="none"/>
              </w:rPr>
            </w:pPr>
            <w:r>
              <w:rPr>
                <w:rFonts w:hint="eastAsia" w:ascii="宋体" w:hAnsi="宋体"/>
                <w:highlight w:val="none"/>
              </w:rPr>
              <w:t>2.2.4</w:t>
            </w:r>
          </w:p>
        </w:tc>
        <w:tc>
          <w:tcPr>
            <w:tcW w:w="642" w:type="dxa"/>
            <w:vMerge w:val="restart"/>
            <w:tcBorders>
              <w:top w:val="single" w:color="auto" w:sz="4" w:space="0"/>
              <w:left w:val="single" w:color="auto" w:sz="4" w:space="0"/>
              <w:right w:val="single" w:color="auto" w:sz="4" w:space="0"/>
            </w:tcBorders>
            <w:vAlign w:val="center"/>
          </w:tcPr>
          <w:p w14:paraId="2B5D7526">
            <w:pPr>
              <w:spacing w:line="440" w:lineRule="exact"/>
              <w:jc w:val="center"/>
              <w:rPr>
                <w:rFonts w:ascii="宋体" w:hAnsi="宋体"/>
                <w:highlight w:val="none"/>
              </w:rPr>
            </w:pPr>
            <w:r>
              <w:rPr>
                <w:rFonts w:hint="eastAsia" w:ascii="宋体" w:hAnsi="宋体"/>
                <w:highlight w:val="none"/>
              </w:rPr>
              <w:t>商务评审内容</w:t>
            </w:r>
          </w:p>
        </w:tc>
        <w:tc>
          <w:tcPr>
            <w:tcW w:w="1583" w:type="dxa"/>
            <w:tcBorders>
              <w:top w:val="single" w:color="auto" w:sz="4" w:space="0"/>
              <w:left w:val="single" w:color="auto" w:sz="4" w:space="0"/>
              <w:bottom w:val="single" w:color="auto" w:sz="4" w:space="0"/>
              <w:right w:val="single" w:color="auto" w:sz="4" w:space="0"/>
            </w:tcBorders>
            <w:vAlign w:val="center"/>
          </w:tcPr>
          <w:p w14:paraId="2ED5EE2B">
            <w:pPr>
              <w:spacing w:line="440" w:lineRule="exact"/>
              <w:ind w:firstLine="0" w:firstLineChars="0"/>
              <w:jc w:val="center"/>
              <w:rPr>
                <w:rFonts w:ascii="宋体" w:hAnsi="宋体"/>
                <w:color w:val="FF0000"/>
                <w:highlight w:val="none"/>
              </w:rPr>
            </w:pPr>
            <w:r>
              <w:rPr>
                <w:rFonts w:hint="eastAsia" w:ascii="宋体" w:hAnsi="宋体" w:eastAsia="宋体" w:cs="Times New Roman"/>
                <w:color w:val="auto"/>
                <w:sz w:val="21"/>
                <w:highlight w:val="none"/>
                <w:lang w:val="en-US"/>
              </w:rPr>
              <w:t>业绩合同</w:t>
            </w:r>
          </w:p>
        </w:tc>
        <w:tc>
          <w:tcPr>
            <w:tcW w:w="701" w:type="dxa"/>
            <w:tcBorders>
              <w:top w:val="single" w:color="auto" w:sz="4" w:space="0"/>
              <w:left w:val="single" w:color="auto" w:sz="4" w:space="0"/>
              <w:bottom w:val="single" w:color="auto" w:sz="4" w:space="0"/>
              <w:right w:val="single" w:color="auto" w:sz="4" w:space="0"/>
            </w:tcBorders>
            <w:vAlign w:val="center"/>
          </w:tcPr>
          <w:p w14:paraId="78EB972B">
            <w:pPr>
              <w:spacing w:line="440" w:lineRule="exact"/>
              <w:ind w:firstLine="0" w:firstLineChars="0"/>
              <w:jc w:val="center"/>
              <w:rPr>
                <w:rFonts w:ascii="宋体" w:hAnsi="宋体"/>
                <w:color w:val="FF0000"/>
                <w:highlight w:val="none"/>
              </w:rPr>
            </w:pPr>
            <w:r>
              <w:rPr>
                <w:rFonts w:hint="eastAsia" w:ascii="宋体" w:hAnsi="宋体" w:eastAsia="宋体" w:cs="Times New Roman"/>
                <w:color w:val="auto"/>
                <w:sz w:val="21"/>
                <w:highlight w:val="none"/>
                <w:lang w:val="en-US" w:eastAsia="zh-CN"/>
              </w:rPr>
              <w:t>2</w:t>
            </w:r>
          </w:p>
        </w:tc>
        <w:tc>
          <w:tcPr>
            <w:tcW w:w="4736" w:type="dxa"/>
            <w:tcBorders>
              <w:top w:val="single" w:color="auto" w:sz="4" w:space="0"/>
              <w:left w:val="single" w:color="auto" w:sz="4" w:space="0"/>
              <w:bottom w:val="single" w:color="auto" w:sz="4" w:space="0"/>
              <w:right w:val="single" w:color="auto" w:sz="4" w:space="0"/>
            </w:tcBorders>
            <w:vAlign w:val="center"/>
          </w:tcPr>
          <w:p w14:paraId="792E4AA1">
            <w:pPr>
              <w:spacing w:line="440" w:lineRule="exact"/>
              <w:ind w:firstLine="0" w:firstLineChars="0"/>
              <w:jc w:val="left"/>
              <w:rPr>
                <w:rFonts w:ascii="宋体" w:hAnsi="宋体" w:eastAsia="宋体" w:cs="Times New Roman"/>
                <w:color w:val="auto"/>
                <w:sz w:val="21"/>
                <w:szCs w:val="21"/>
                <w:highlight w:val="none"/>
                <w:lang w:val="en-US"/>
              </w:rPr>
            </w:pPr>
            <w:r>
              <w:rPr>
                <w:rFonts w:hint="eastAsia" w:ascii="宋体" w:hAnsi="宋体" w:eastAsia="宋体" w:cs="Times New Roman"/>
                <w:color w:val="auto"/>
                <w:sz w:val="21"/>
                <w:szCs w:val="21"/>
                <w:highlight w:val="none"/>
                <w:lang w:val="en-US"/>
              </w:rPr>
              <w:t xml:space="preserve">    </w:t>
            </w:r>
            <w:r>
              <w:rPr>
                <w:rFonts w:hint="eastAsia" w:ascii="宋体" w:hAnsi="宋体" w:eastAsia="宋体" w:cs="Times New Roman"/>
                <w:color w:val="auto"/>
                <w:sz w:val="21"/>
                <w:szCs w:val="21"/>
                <w:highlight w:val="none"/>
                <w:u w:val="single"/>
                <w:lang w:val="en-US" w:eastAsia="zh-CN"/>
              </w:rPr>
              <w:t>2024</w:t>
            </w:r>
            <w:r>
              <w:rPr>
                <w:rFonts w:hint="eastAsia" w:ascii="宋体" w:hAnsi="宋体" w:eastAsia="宋体" w:cs="Times New Roman"/>
                <w:color w:val="auto"/>
                <w:sz w:val="21"/>
                <w:szCs w:val="21"/>
                <w:highlight w:val="none"/>
                <w:lang w:val="en-US"/>
              </w:rPr>
              <w:t>年1月1日以来（签订日期）同类项目业绩合同。</w:t>
            </w:r>
            <w:r>
              <w:rPr>
                <w:rFonts w:hint="eastAsia" w:ascii="宋体" w:hAnsi="宋体"/>
                <w:color w:val="auto"/>
                <w:szCs w:val="21"/>
              </w:rPr>
              <w:t>（须同时提供合同和对应的中标通知书</w:t>
            </w:r>
            <w:r>
              <w:rPr>
                <w:rFonts w:hint="eastAsia" w:ascii="宋体" w:hAnsi="宋体"/>
                <w:color w:val="auto"/>
                <w:szCs w:val="21"/>
                <w:lang w:val="en-US" w:eastAsia="zh-CN"/>
              </w:rPr>
              <w:t>的</w:t>
            </w:r>
            <w:r>
              <w:rPr>
                <w:rFonts w:hint="eastAsia" w:ascii="宋体" w:hAnsi="宋体"/>
                <w:color w:val="auto"/>
                <w:szCs w:val="21"/>
              </w:rPr>
              <w:t>原件扫描件）</w:t>
            </w:r>
          </w:p>
          <w:p w14:paraId="136C8968">
            <w:pPr>
              <w:spacing w:line="440" w:lineRule="exact"/>
              <w:ind w:firstLine="420" w:firstLineChars="200"/>
              <w:rPr>
                <w:rFonts w:ascii="宋体" w:hAnsi="宋体"/>
                <w:highlight w:val="none"/>
              </w:rPr>
            </w:pPr>
            <w:r>
              <w:rPr>
                <w:rFonts w:hint="eastAsia" w:ascii="宋体" w:hAnsi="宋体" w:eastAsia="宋体" w:cs="Times New Roman"/>
                <w:color w:val="auto"/>
                <w:sz w:val="21"/>
                <w:szCs w:val="21"/>
                <w:highlight w:val="none"/>
                <w:lang w:val="en-US"/>
              </w:rPr>
              <w:t>评审标准：一份合同得</w:t>
            </w:r>
            <w:r>
              <w:rPr>
                <w:rFonts w:hint="eastAsia" w:ascii="宋体" w:hAnsi="宋体" w:eastAsia="宋体" w:cs="Times New Roman"/>
                <w:color w:val="auto"/>
                <w:sz w:val="21"/>
                <w:szCs w:val="21"/>
                <w:highlight w:val="none"/>
                <w:u w:val="single"/>
                <w:lang w:val="en-US" w:eastAsia="zh-CN"/>
              </w:rPr>
              <w:t>1</w:t>
            </w:r>
            <w:r>
              <w:rPr>
                <w:rFonts w:hint="eastAsia" w:ascii="宋体" w:hAnsi="宋体" w:eastAsia="宋体" w:cs="Times New Roman"/>
                <w:color w:val="auto"/>
                <w:sz w:val="21"/>
                <w:szCs w:val="21"/>
                <w:highlight w:val="none"/>
                <w:lang w:val="en-US"/>
              </w:rPr>
              <w:t>分。</w:t>
            </w:r>
          </w:p>
        </w:tc>
      </w:tr>
      <w:tr w14:paraId="28A11B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9" w:hRule="atLeast"/>
        </w:trPr>
        <w:tc>
          <w:tcPr>
            <w:tcW w:w="618" w:type="dxa"/>
            <w:vMerge w:val="continue"/>
            <w:tcBorders>
              <w:bottom w:val="single" w:color="auto" w:sz="4" w:space="0"/>
              <w:right w:val="single" w:color="auto" w:sz="4" w:space="0"/>
            </w:tcBorders>
            <w:vAlign w:val="center"/>
          </w:tcPr>
          <w:p w14:paraId="35D14145">
            <w:pPr>
              <w:spacing w:line="440" w:lineRule="exact"/>
              <w:jc w:val="center"/>
              <w:rPr>
                <w:rFonts w:ascii="宋体" w:hAnsi="宋体"/>
                <w:highlight w:val="none"/>
              </w:rPr>
            </w:pPr>
          </w:p>
        </w:tc>
        <w:tc>
          <w:tcPr>
            <w:tcW w:w="642" w:type="dxa"/>
            <w:vMerge w:val="continue"/>
            <w:tcBorders>
              <w:left w:val="single" w:color="auto" w:sz="4" w:space="0"/>
              <w:bottom w:val="single" w:color="auto" w:sz="4" w:space="0"/>
              <w:right w:val="single" w:color="auto" w:sz="4" w:space="0"/>
            </w:tcBorders>
            <w:vAlign w:val="center"/>
          </w:tcPr>
          <w:p w14:paraId="21E197CF">
            <w:pPr>
              <w:spacing w:line="440" w:lineRule="exact"/>
              <w:jc w:val="center"/>
              <w:rPr>
                <w:rFonts w:ascii="宋体" w:hAnsi="宋体"/>
                <w:highlight w:val="none"/>
              </w:rPr>
            </w:pPr>
          </w:p>
        </w:tc>
        <w:tc>
          <w:tcPr>
            <w:tcW w:w="1583" w:type="dxa"/>
            <w:tcBorders>
              <w:top w:val="single" w:color="auto" w:sz="4" w:space="0"/>
              <w:left w:val="single" w:color="auto" w:sz="4" w:space="0"/>
              <w:bottom w:val="single" w:color="auto" w:sz="4" w:space="0"/>
              <w:right w:val="single" w:color="auto" w:sz="4" w:space="0"/>
            </w:tcBorders>
            <w:vAlign w:val="center"/>
          </w:tcPr>
          <w:p w14:paraId="3E211B06">
            <w:pPr>
              <w:spacing w:line="440" w:lineRule="exact"/>
              <w:jc w:val="center"/>
              <w:rPr>
                <w:rFonts w:hint="eastAsia" w:ascii="宋体" w:hAnsi="宋体" w:eastAsia="宋体"/>
                <w:color w:val="auto"/>
                <w:highlight w:val="none"/>
                <w:lang w:val="en-US" w:eastAsia="zh-CN"/>
              </w:rPr>
            </w:pPr>
            <w:r>
              <w:rPr>
                <w:rFonts w:hint="eastAsia" w:ascii="宋体" w:hAnsi="宋体"/>
                <w:color w:val="auto"/>
                <w:highlight w:val="none"/>
              </w:rPr>
              <w:t>企业</w:t>
            </w:r>
            <w:r>
              <w:rPr>
                <w:rFonts w:hint="eastAsia" w:ascii="宋体" w:hAnsi="宋体"/>
                <w:color w:val="auto"/>
                <w:highlight w:val="none"/>
                <w:lang w:val="en-US" w:eastAsia="zh-CN"/>
              </w:rPr>
              <w:t>实力</w:t>
            </w:r>
          </w:p>
        </w:tc>
        <w:tc>
          <w:tcPr>
            <w:tcW w:w="701" w:type="dxa"/>
            <w:tcBorders>
              <w:top w:val="single" w:color="auto" w:sz="4" w:space="0"/>
              <w:left w:val="single" w:color="auto" w:sz="4" w:space="0"/>
              <w:bottom w:val="single" w:color="auto" w:sz="4" w:space="0"/>
              <w:right w:val="single" w:color="auto" w:sz="4" w:space="0"/>
            </w:tcBorders>
            <w:vAlign w:val="center"/>
          </w:tcPr>
          <w:p w14:paraId="65467249">
            <w:pPr>
              <w:spacing w:line="440" w:lineRule="exact"/>
              <w:ind w:firstLine="210" w:firstLineChars="100"/>
              <w:jc w:val="both"/>
              <w:rPr>
                <w:rFonts w:hint="eastAsia" w:ascii="宋体" w:hAnsi="宋体" w:eastAsia="宋体"/>
                <w:color w:val="auto"/>
                <w:highlight w:val="none"/>
                <w:lang w:val="en-US" w:eastAsia="zh-CN"/>
              </w:rPr>
            </w:pPr>
            <w:r>
              <w:rPr>
                <w:rFonts w:hint="eastAsia" w:ascii="宋体" w:hAnsi="宋体"/>
                <w:color w:val="auto"/>
                <w:highlight w:val="none"/>
                <w:lang w:val="en-US" w:eastAsia="zh-CN"/>
              </w:rPr>
              <w:t>4</w:t>
            </w:r>
          </w:p>
        </w:tc>
        <w:tc>
          <w:tcPr>
            <w:tcW w:w="4736" w:type="dxa"/>
            <w:tcBorders>
              <w:top w:val="single" w:color="auto" w:sz="4" w:space="0"/>
              <w:left w:val="single" w:color="auto" w:sz="4" w:space="0"/>
              <w:bottom w:val="single" w:color="auto" w:sz="4" w:space="0"/>
              <w:right w:val="single" w:color="auto" w:sz="4" w:space="0"/>
            </w:tcBorders>
            <w:vAlign w:val="center"/>
          </w:tcPr>
          <w:p w14:paraId="48F4B37F">
            <w:pPr>
              <w:numPr>
                <w:ilvl w:val="0"/>
                <w:numId w:val="0"/>
              </w:numPr>
              <w:spacing w:line="440" w:lineRule="exact"/>
              <w:ind w:leftChars="0" w:firstLine="420" w:firstLineChars="200"/>
              <w:rPr>
                <w:rFonts w:hint="eastAsia" w:ascii="宋体" w:hAnsi="宋体" w:cs="Times New Roman"/>
                <w:color w:val="auto"/>
                <w:sz w:val="21"/>
                <w:highlight w:val="none"/>
                <w:lang w:val="en-US" w:eastAsia="zh-CN"/>
              </w:rPr>
            </w:pPr>
            <w:r>
              <w:rPr>
                <w:rFonts w:hint="eastAsia" w:ascii="宋体" w:hAnsi="宋体" w:cs="Times New Roman"/>
                <w:color w:val="auto"/>
                <w:sz w:val="21"/>
                <w:highlight w:val="none"/>
                <w:lang w:val="en-US" w:eastAsia="zh-CN"/>
              </w:rPr>
              <w:t>供应商具有政务服务类、城市门户类、预约系统类、APP类软件类等软件著作权证书。</w:t>
            </w:r>
          </w:p>
          <w:p w14:paraId="06B11E45">
            <w:pPr>
              <w:spacing w:line="440" w:lineRule="exact"/>
              <w:ind w:firstLine="420" w:firstLineChars="200"/>
              <w:jc w:val="left"/>
              <w:rPr>
                <w:rFonts w:ascii="宋体" w:hAnsi="宋体"/>
                <w:color w:val="auto"/>
                <w:szCs w:val="21"/>
                <w:highlight w:val="none"/>
              </w:rPr>
            </w:pPr>
            <w:r>
              <w:rPr>
                <w:rFonts w:hint="eastAsia" w:ascii="宋体" w:hAnsi="宋体" w:cs="Times New Roman"/>
                <w:color w:val="auto"/>
                <w:sz w:val="21"/>
                <w:highlight w:val="none"/>
                <w:lang w:val="en-US" w:eastAsia="zh-CN"/>
              </w:rPr>
              <w:t>评审标准：提供有效的类似软件著作权证书原件扫描件，每提供一类得1分，最高4分。</w:t>
            </w:r>
          </w:p>
        </w:tc>
      </w:tr>
      <w:tr w14:paraId="216F2F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8" w:hRule="atLeast"/>
        </w:trPr>
        <w:tc>
          <w:tcPr>
            <w:tcW w:w="618" w:type="dxa"/>
            <w:vMerge w:val="continue"/>
            <w:tcBorders>
              <w:bottom w:val="single" w:color="auto" w:sz="4" w:space="0"/>
              <w:right w:val="single" w:color="auto" w:sz="4" w:space="0"/>
            </w:tcBorders>
            <w:vAlign w:val="center"/>
          </w:tcPr>
          <w:p w14:paraId="24B679C4">
            <w:pPr>
              <w:spacing w:line="440" w:lineRule="exact"/>
              <w:jc w:val="center"/>
              <w:rPr>
                <w:rFonts w:ascii="宋体" w:hAnsi="宋体"/>
                <w:highlight w:val="none"/>
              </w:rPr>
            </w:pPr>
          </w:p>
        </w:tc>
        <w:tc>
          <w:tcPr>
            <w:tcW w:w="642" w:type="dxa"/>
            <w:vMerge w:val="continue"/>
            <w:tcBorders>
              <w:left w:val="single" w:color="auto" w:sz="4" w:space="0"/>
              <w:bottom w:val="single" w:color="auto" w:sz="4" w:space="0"/>
              <w:right w:val="single" w:color="auto" w:sz="4" w:space="0"/>
            </w:tcBorders>
            <w:vAlign w:val="center"/>
          </w:tcPr>
          <w:p w14:paraId="18174B1A">
            <w:pPr>
              <w:spacing w:line="440" w:lineRule="exact"/>
              <w:jc w:val="center"/>
              <w:rPr>
                <w:rFonts w:ascii="宋体" w:hAnsi="宋体"/>
                <w:highlight w:val="none"/>
              </w:rPr>
            </w:pPr>
          </w:p>
        </w:tc>
        <w:tc>
          <w:tcPr>
            <w:tcW w:w="1583" w:type="dxa"/>
            <w:tcBorders>
              <w:top w:val="single" w:color="auto" w:sz="4" w:space="0"/>
              <w:left w:val="single" w:color="auto" w:sz="4" w:space="0"/>
              <w:bottom w:val="single" w:color="auto" w:sz="4" w:space="0"/>
              <w:right w:val="single" w:color="auto" w:sz="4" w:space="0"/>
            </w:tcBorders>
            <w:vAlign w:val="center"/>
          </w:tcPr>
          <w:p w14:paraId="37222D37">
            <w:pPr>
              <w:spacing w:line="440" w:lineRule="exact"/>
              <w:jc w:val="center"/>
              <w:rPr>
                <w:rFonts w:ascii="宋体" w:hAnsi="宋体"/>
                <w:color w:val="auto"/>
                <w:szCs w:val="21"/>
                <w:highlight w:val="none"/>
              </w:rPr>
            </w:pPr>
            <w:r>
              <w:rPr>
                <w:rFonts w:hint="eastAsia" w:ascii="宋体" w:hAnsi="宋体"/>
                <w:color w:val="auto"/>
                <w:szCs w:val="21"/>
                <w:highlight w:val="none"/>
                <w:lang w:val="en-US" w:eastAsia="zh-CN"/>
              </w:rPr>
              <w:t>团队实力</w:t>
            </w:r>
          </w:p>
        </w:tc>
        <w:tc>
          <w:tcPr>
            <w:tcW w:w="701" w:type="dxa"/>
            <w:tcBorders>
              <w:top w:val="single" w:color="auto" w:sz="4" w:space="0"/>
              <w:left w:val="single" w:color="auto" w:sz="4" w:space="0"/>
              <w:bottom w:val="single" w:color="auto" w:sz="4" w:space="0"/>
              <w:right w:val="single" w:color="auto" w:sz="4" w:space="0"/>
            </w:tcBorders>
            <w:vAlign w:val="center"/>
          </w:tcPr>
          <w:p w14:paraId="37DAD610">
            <w:pPr>
              <w:spacing w:line="440" w:lineRule="exact"/>
              <w:jc w:val="center"/>
              <w:rPr>
                <w:rFonts w:ascii="宋体" w:hAnsi="宋体"/>
                <w:color w:val="auto"/>
                <w:highlight w:val="none"/>
              </w:rPr>
            </w:pPr>
            <w:r>
              <w:rPr>
                <w:rFonts w:hint="eastAsia" w:ascii="宋体" w:hAnsi="宋体"/>
                <w:color w:val="auto"/>
                <w:highlight w:val="none"/>
                <w:lang w:val="en-US" w:eastAsia="zh-CN"/>
              </w:rPr>
              <w:t>2</w:t>
            </w:r>
          </w:p>
        </w:tc>
        <w:tc>
          <w:tcPr>
            <w:tcW w:w="4736" w:type="dxa"/>
            <w:tcBorders>
              <w:top w:val="single" w:color="auto" w:sz="4" w:space="0"/>
              <w:left w:val="single" w:color="auto" w:sz="4" w:space="0"/>
              <w:bottom w:val="single" w:color="auto" w:sz="4" w:space="0"/>
              <w:right w:val="single" w:color="auto" w:sz="4" w:space="0"/>
            </w:tcBorders>
            <w:vAlign w:val="center"/>
          </w:tcPr>
          <w:p w14:paraId="39D47F34">
            <w:pPr>
              <w:spacing w:line="440" w:lineRule="exact"/>
              <w:ind w:firstLine="420" w:firstLineChars="200"/>
              <w:jc w:val="left"/>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项目</w:t>
            </w:r>
            <w:r>
              <w:rPr>
                <w:rFonts w:hint="eastAsia" w:ascii="宋体" w:hAnsi="宋体" w:cs="Times New Roman"/>
                <w:color w:val="auto"/>
                <w:sz w:val="21"/>
                <w:szCs w:val="21"/>
                <w:highlight w:val="none"/>
                <w:lang w:val="en-US" w:eastAsia="zh-CN"/>
              </w:rPr>
              <w:t>负责人</w:t>
            </w:r>
            <w:r>
              <w:rPr>
                <w:rFonts w:hint="eastAsia" w:ascii="宋体" w:hAnsi="宋体" w:eastAsia="宋体" w:cs="Times New Roman"/>
                <w:color w:val="auto"/>
                <w:sz w:val="21"/>
                <w:szCs w:val="21"/>
                <w:highlight w:val="none"/>
                <w:lang w:val="en-US" w:eastAsia="zh-CN"/>
              </w:rPr>
              <w:t>具项目管理相关专业认证证书的得1分；</w:t>
            </w:r>
          </w:p>
          <w:p w14:paraId="337097E5">
            <w:pPr>
              <w:spacing w:line="440" w:lineRule="exact"/>
              <w:ind w:firstLine="420" w:firstLineChars="200"/>
              <w:jc w:val="left"/>
              <w:rPr>
                <w:rFonts w:hint="default" w:ascii="宋体" w:hAnsi="宋体"/>
                <w:color w:val="auto"/>
                <w:szCs w:val="21"/>
                <w:highlight w:val="none"/>
                <w:lang w:val="en-US"/>
              </w:rPr>
            </w:pPr>
            <w:r>
              <w:rPr>
                <w:rFonts w:hint="eastAsia" w:ascii="宋体" w:hAnsi="宋体" w:cs="Times New Roman"/>
                <w:color w:val="auto"/>
                <w:sz w:val="21"/>
                <w:highlight w:val="none"/>
                <w:lang w:val="en-US" w:eastAsia="zh-CN"/>
              </w:rPr>
              <w:t>项目技术人员具备数据库领域相关技能认证证书的得1分。</w:t>
            </w:r>
          </w:p>
          <w:p w14:paraId="5A306D20">
            <w:pPr>
              <w:spacing w:line="440" w:lineRule="exact"/>
              <w:ind w:firstLine="420" w:firstLineChars="200"/>
              <w:jc w:val="left"/>
              <w:rPr>
                <w:rFonts w:ascii="宋体" w:hAnsi="宋体"/>
                <w:color w:val="auto"/>
                <w:szCs w:val="21"/>
                <w:highlight w:val="none"/>
                <w:u w:val="single"/>
              </w:rPr>
            </w:pPr>
            <w:r>
              <w:rPr>
                <w:rFonts w:hint="eastAsia" w:ascii="宋体" w:hAnsi="宋体"/>
                <w:color w:val="auto"/>
                <w:szCs w:val="21"/>
                <w:highlight w:val="none"/>
              </w:rPr>
              <w:t>评审标准：</w:t>
            </w:r>
            <w:r>
              <w:rPr>
                <w:rFonts w:hint="eastAsia" w:ascii="宋体" w:hAnsi="宋体" w:eastAsia="宋体" w:cs="Times New Roman"/>
                <w:color w:val="auto"/>
                <w:sz w:val="21"/>
                <w:szCs w:val="21"/>
                <w:highlight w:val="none"/>
                <w:lang w:val="en-US"/>
              </w:rPr>
              <w:t>提供相关证书扫描件</w:t>
            </w:r>
            <w:r>
              <w:rPr>
                <w:rFonts w:hint="eastAsia" w:ascii="宋体" w:hAnsi="宋体" w:eastAsia="宋体" w:cs="Times New Roman"/>
                <w:color w:val="auto"/>
                <w:sz w:val="21"/>
                <w:szCs w:val="21"/>
                <w:highlight w:val="none"/>
                <w:lang w:val="en-US" w:eastAsia="zh-CN"/>
              </w:rPr>
              <w:t>，并同时</w:t>
            </w:r>
            <w:r>
              <w:rPr>
                <w:rFonts w:hint="eastAsia" w:ascii="宋体" w:hAnsi="宋体" w:eastAsia="宋体" w:cs="Times New Roman"/>
                <w:color w:val="auto"/>
                <w:sz w:val="21"/>
                <w:szCs w:val="21"/>
                <w:highlight w:val="none"/>
                <w:lang w:val="en-US"/>
              </w:rPr>
              <w:t>提供</w:t>
            </w:r>
            <w:r>
              <w:rPr>
                <w:rFonts w:hint="eastAsia" w:ascii="宋体" w:hAnsi="宋体" w:eastAsia="宋体" w:cs="Times New Roman"/>
                <w:color w:val="auto"/>
                <w:sz w:val="21"/>
                <w:szCs w:val="21"/>
                <w:highlight w:val="none"/>
                <w:lang w:val="en-US" w:eastAsia="zh-CN"/>
              </w:rPr>
              <w:t>距</w:t>
            </w:r>
            <w:r>
              <w:rPr>
                <w:rFonts w:hint="eastAsia" w:ascii="宋体" w:hAnsi="宋体" w:eastAsia="宋体" w:cs="Times New Roman"/>
                <w:color w:val="auto"/>
                <w:sz w:val="21"/>
                <w:szCs w:val="21"/>
                <w:highlight w:val="none"/>
                <w:lang w:val="en-US"/>
              </w:rPr>
              <w:t>开标</w:t>
            </w:r>
            <w:r>
              <w:rPr>
                <w:rFonts w:hint="eastAsia" w:ascii="宋体" w:hAnsi="宋体" w:eastAsia="宋体" w:cs="Times New Roman"/>
                <w:color w:val="auto"/>
                <w:sz w:val="21"/>
                <w:szCs w:val="21"/>
                <w:highlight w:val="none"/>
                <w:lang w:val="en-US" w:eastAsia="zh-CN"/>
              </w:rPr>
              <w:t>时间不超过半年</w:t>
            </w:r>
            <w:r>
              <w:rPr>
                <w:rFonts w:hint="eastAsia" w:ascii="宋体" w:hAnsi="宋体" w:cs="Times New Roman"/>
                <w:color w:val="auto"/>
                <w:sz w:val="21"/>
                <w:szCs w:val="21"/>
                <w:highlight w:val="none"/>
                <w:lang w:val="en-US" w:eastAsia="zh-CN"/>
              </w:rPr>
              <w:t>任意一次</w:t>
            </w:r>
            <w:r>
              <w:rPr>
                <w:rFonts w:hint="eastAsia" w:ascii="宋体" w:hAnsi="宋体" w:eastAsia="宋体" w:cs="Times New Roman"/>
                <w:color w:val="auto"/>
                <w:sz w:val="21"/>
                <w:szCs w:val="21"/>
                <w:highlight w:val="none"/>
                <w:lang w:val="en-US" w:eastAsia="zh-CN"/>
              </w:rPr>
              <w:t>供应商为其</w:t>
            </w:r>
            <w:r>
              <w:rPr>
                <w:rFonts w:hint="eastAsia" w:ascii="宋体" w:hAnsi="宋体" w:eastAsia="宋体" w:cs="Times New Roman"/>
                <w:color w:val="auto"/>
                <w:sz w:val="21"/>
                <w:szCs w:val="21"/>
                <w:highlight w:val="none"/>
                <w:lang w:val="en-US"/>
              </w:rPr>
              <w:t>缴纳社保证明材料</w:t>
            </w:r>
            <w:r>
              <w:rPr>
                <w:rFonts w:hint="eastAsia" w:ascii="宋体" w:hAnsi="宋体" w:eastAsia="宋体" w:cs="Times New Roman"/>
                <w:color w:val="auto"/>
                <w:sz w:val="21"/>
                <w:szCs w:val="21"/>
                <w:highlight w:val="none"/>
                <w:lang w:val="en-US" w:eastAsia="zh-CN"/>
              </w:rPr>
              <w:t>（注：同一人员拥有多项证书的，仅按一项计分，不重复计算）。</w:t>
            </w:r>
          </w:p>
        </w:tc>
      </w:tr>
      <w:tr w14:paraId="2058CA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0" w:hRule="atLeast"/>
        </w:trPr>
        <w:tc>
          <w:tcPr>
            <w:tcW w:w="618" w:type="dxa"/>
            <w:vMerge w:val="restart"/>
            <w:tcBorders>
              <w:right w:val="single" w:color="auto" w:sz="4" w:space="0"/>
            </w:tcBorders>
            <w:vAlign w:val="center"/>
          </w:tcPr>
          <w:p w14:paraId="2DE07F7B">
            <w:pPr>
              <w:spacing w:line="440" w:lineRule="exact"/>
              <w:jc w:val="center"/>
              <w:rPr>
                <w:rFonts w:ascii="宋体" w:hAnsi="宋体"/>
                <w:highlight w:val="none"/>
              </w:rPr>
            </w:pPr>
            <w:r>
              <w:rPr>
                <w:rFonts w:hint="eastAsia" w:ascii="宋体" w:hAnsi="宋体"/>
                <w:highlight w:val="none"/>
              </w:rPr>
              <w:t>2.2.5</w:t>
            </w:r>
          </w:p>
        </w:tc>
        <w:tc>
          <w:tcPr>
            <w:tcW w:w="642" w:type="dxa"/>
            <w:vMerge w:val="restart"/>
            <w:tcBorders>
              <w:left w:val="single" w:color="auto" w:sz="4" w:space="0"/>
              <w:right w:val="single" w:color="auto" w:sz="4" w:space="0"/>
            </w:tcBorders>
            <w:vAlign w:val="center"/>
          </w:tcPr>
          <w:p w14:paraId="459D0A65">
            <w:pPr>
              <w:spacing w:line="440" w:lineRule="exact"/>
              <w:jc w:val="center"/>
              <w:rPr>
                <w:rFonts w:hint="default" w:ascii="宋体" w:hAnsi="宋体" w:eastAsia="宋体"/>
                <w:color w:val="auto"/>
                <w:highlight w:val="none"/>
                <w:lang w:val="en-US" w:eastAsia="zh-CN"/>
              </w:rPr>
            </w:pPr>
            <w:r>
              <w:rPr>
                <w:rFonts w:hint="eastAsia" w:ascii="宋体" w:hAnsi="宋体"/>
                <w:color w:val="auto"/>
                <w:szCs w:val="21"/>
                <w:highlight w:val="none"/>
                <w:lang w:val="en-US" w:eastAsia="zh-CN"/>
              </w:rPr>
              <w:t>技术评审内容</w:t>
            </w:r>
          </w:p>
        </w:tc>
        <w:tc>
          <w:tcPr>
            <w:tcW w:w="1583" w:type="dxa"/>
            <w:tcBorders>
              <w:top w:val="single" w:color="auto" w:sz="4" w:space="0"/>
              <w:left w:val="single" w:color="auto" w:sz="4" w:space="0"/>
              <w:right w:val="single" w:color="auto" w:sz="4" w:space="0"/>
            </w:tcBorders>
            <w:shd w:val="clear" w:color="auto" w:fill="auto"/>
            <w:vAlign w:val="center"/>
          </w:tcPr>
          <w:p w14:paraId="060D4262">
            <w:pPr>
              <w:spacing w:line="440" w:lineRule="exact"/>
              <w:ind w:firstLine="0" w:firstLineChars="0"/>
              <w:jc w:val="center"/>
              <w:rPr>
                <w:rFonts w:hint="default" w:ascii="宋体" w:hAnsi="宋体"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pacing w:val="7"/>
                <w:sz w:val="21"/>
                <w:lang w:val="en-US" w:eastAsia="zh-CN"/>
              </w:rPr>
              <w:t>项目</w:t>
            </w:r>
            <w:r>
              <w:rPr>
                <w:rFonts w:hint="eastAsia" w:cs="Times New Roman"/>
                <w:color w:val="auto"/>
                <w:spacing w:val="7"/>
                <w:sz w:val="21"/>
                <w:lang w:val="en-US" w:eastAsia="zh-CN"/>
              </w:rPr>
              <w:t>实施</w:t>
            </w:r>
            <w:r>
              <w:rPr>
                <w:rFonts w:hint="default" w:ascii="Times New Roman" w:hAnsi="Times New Roman" w:eastAsia="宋体" w:cs="Times New Roman"/>
                <w:color w:val="auto"/>
                <w:spacing w:val="7"/>
                <w:sz w:val="21"/>
                <w:lang w:val="en-US" w:eastAsia="zh-CN"/>
              </w:rPr>
              <w:t>方案</w:t>
            </w:r>
          </w:p>
        </w:tc>
        <w:tc>
          <w:tcPr>
            <w:tcW w:w="701" w:type="dxa"/>
            <w:tcBorders>
              <w:top w:val="single" w:color="auto" w:sz="4" w:space="0"/>
              <w:left w:val="single" w:color="auto" w:sz="4" w:space="0"/>
              <w:right w:val="single" w:color="auto" w:sz="4" w:space="0"/>
            </w:tcBorders>
            <w:shd w:val="clear" w:color="auto" w:fill="auto"/>
            <w:vAlign w:val="center"/>
          </w:tcPr>
          <w:p w14:paraId="29FF70A6">
            <w:pPr>
              <w:spacing w:line="440" w:lineRule="exact"/>
              <w:ind w:firstLine="0" w:firstLineChars="0"/>
              <w:jc w:val="center"/>
              <w:rPr>
                <w:rFonts w:hint="default"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 w:val="21"/>
                <w:lang w:val="en-US" w:eastAsia="zh-CN"/>
              </w:rPr>
              <w:t>6</w:t>
            </w:r>
            <w:r>
              <w:rPr>
                <w:rFonts w:hint="eastAsia" w:ascii="宋体" w:hAnsi="宋体" w:cs="Times New Roman"/>
                <w:color w:val="auto"/>
                <w:sz w:val="21"/>
                <w:lang w:val="en-US" w:eastAsia="zh-CN"/>
              </w:rPr>
              <w:t>7</w:t>
            </w:r>
          </w:p>
        </w:tc>
        <w:tc>
          <w:tcPr>
            <w:tcW w:w="4736" w:type="dxa"/>
            <w:tcBorders>
              <w:top w:val="single" w:color="auto" w:sz="4" w:space="0"/>
              <w:left w:val="single" w:color="auto" w:sz="4" w:space="0"/>
              <w:right w:val="single" w:color="auto" w:sz="4" w:space="0"/>
            </w:tcBorders>
            <w:shd w:val="clear" w:color="auto" w:fill="auto"/>
            <w:vAlign w:val="center"/>
          </w:tcPr>
          <w:p w14:paraId="5507FBD7">
            <w:pPr>
              <w:spacing w:line="440" w:lineRule="exact"/>
              <w:ind w:firstLine="436" w:firstLineChars="200"/>
              <w:jc w:val="both"/>
              <w:rPr>
                <w:rFonts w:hint="eastAsia" w:ascii="宋体" w:hAnsi="宋体" w:eastAsia="宋体" w:cs="Times New Roman"/>
                <w:color w:val="auto"/>
                <w:sz w:val="21"/>
                <w:lang w:val="en-US"/>
              </w:rPr>
            </w:pPr>
            <w:r>
              <w:rPr>
                <w:rFonts w:ascii="Times New Roman" w:hAnsi="Times New Roman" w:eastAsia="宋体" w:cs="Times New Roman"/>
                <w:color w:val="auto"/>
                <w:spacing w:val="4"/>
                <w:sz w:val="21"/>
                <w:lang w:val="en-US"/>
              </w:rPr>
              <w:t>根据第五章</w:t>
            </w:r>
            <w:r>
              <w:rPr>
                <w:rFonts w:hint="eastAsia" w:ascii="Times New Roman" w:hAnsi="Times New Roman" w:eastAsia="宋体" w:cs="Times New Roman"/>
                <w:color w:val="auto"/>
                <w:spacing w:val="4"/>
                <w:sz w:val="21"/>
                <w:lang w:val="en-US" w:eastAsia="zh-CN"/>
              </w:rPr>
              <w:t>“</w:t>
            </w:r>
            <w:r>
              <w:rPr>
                <w:rFonts w:hint="eastAsia" w:ascii="宋体" w:hAnsi="宋体" w:eastAsia="宋体" w:cs="Times New Roman"/>
                <w:color w:val="auto"/>
                <w:sz w:val="21"/>
                <w:lang w:val="en-US"/>
              </w:rPr>
              <w:t>三、招标内容及技术要求</w:t>
            </w:r>
            <w:r>
              <w:rPr>
                <w:rFonts w:hint="eastAsia" w:ascii="宋体" w:hAnsi="宋体" w:eastAsia="宋体" w:cs="Times New Roman"/>
                <w:color w:val="auto"/>
                <w:sz w:val="21"/>
                <w:lang w:val="en-US" w:eastAsia="zh-CN"/>
              </w:rPr>
              <w:t xml:space="preserve"> （三）功能性要求</w:t>
            </w:r>
            <w:r>
              <w:rPr>
                <w:rFonts w:hint="eastAsia" w:ascii="宋体" w:hAnsi="宋体" w:eastAsia="宋体" w:cs="Times New Roman"/>
                <w:color w:val="auto"/>
                <w:sz w:val="21"/>
                <w:lang w:val="en-US"/>
              </w:rPr>
              <w:t>”，针对项目</w:t>
            </w:r>
            <w:r>
              <w:rPr>
                <w:rFonts w:hint="eastAsia" w:ascii="宋体" w:hAnsi="宋体" w:eastAsia="宋体" w:cs="Times New Roman"/>
                <w:color w:val="auto"/>
                <w:sz w:val="21"/>
                <w:lang w:val="en-US" w:eastAsia="zh-CN"/>
              </w:rPr>
              <w:t>要求的</w:t>
            </w:r>
            <w:r>
              <w:rPr>
                <w:rFonts w:hint="eastAsia" w:ascii="宋体" w:hAnsi="宋体" w:eastAsia="宋体" w:cs="Times New Roman"/>
                <w:color w:val="auto"/>
                <w:sz w:val="21"/>
                <w:lang w:val="en-US"/>
              </w:rPr>
              <w:t>内容</w:t>
            </w:r>
            <w:r>
              <w:rPr>
                <w:rFonts w:hint="eastAsia" w:ascii="宋体" w:hAnsi="宋体" w:eastAsia="宋体" w:cs="Times New Roman"/>
                <w:color w:val="auto"/>
                <w:sz w:val="21"/>
                <w:lang w:val="en-US" w:eastAsia="zh-CN"/>
              </w:rPr>
              <w:t>、性能、</w:t>
            </w:r>
            <w:r>
              <w:rPr>
                <w:rFonts w:hint="eastAsia" w:ascii="宋体" w:hAnsi="宋体" w:eastAsia="宋体" w:cs="Times New Roman"/>
                <w:color w:val="auto"/>
                <w:sz w:val="21"/>
                <w:lang w:val="en-US"/>
              </w:rPr>
              <w:t>功能</w:t>
            </w:r>
            <w:r>
              <w:rPr>
                <w:rFonts w:hint="eastAsia" w:ascii="宋体" w:hAnsi="宋体" w:eastAsia="宋体" w:cs="Times New Roman"/>
                <w:color w:val="auto"/>
                <w:sz w:val="21"/>
                <w:lang w:val="en-US" w:eastAsia="zh-CN"/>
              </w:rPr>
              <w:t>等，制订科学可行的</w:t>
            </w:r>
            <w:r>
              <w:rPr>
                <w:rFonts w:hint="eastAsia" w:ascii="宋体" w:hAnsi="宋体" w:eastAsia="宋体" w:cs="Times New Roman"/>
                <w:color w:val="auto"/>
                <w:sz w:val="21"/>
                <w:lang w:val="en-US"/>
              </w:rPr>
              <w:t>详细</w:t>
            </w:r>
            <w:r>
              <w:rPr>
                <w:rFonts w:hint="eastAsia" w:ascii="宋体" w:hAnsi="宋体" w:cs="Times New Roman"/>
                <w:color w:val="auto"/>
                <w:sz w:val="21"/>
                <w:lang w:val="en-US" w:eastAsia="zh-CN"/>
              </w:rPr>
              <w:t>实施</w:t>
            </w:r>
            <w:r>
              <w:rPr>
                <w:rFonts w:hint="eastAsia" w:ascii="宋体" w:hAnsi="宋体" w:eastAsia="宋体" w:cs="Times New Roman"/>
                <w:color w:val="auto"/>
                <w:sz w:val="21"/>
                <w:lang w:val="en-US"/>
              </w:rPr>
              <w:t>方案。</w:t>
            </w:r>
          </w:p>
          <w:p w14:paraId="3544D9A6">
            <w:pPr>
              <w:spacing w:line="440" w:lineRule="exact"/>
              <w:ind w:firstLine="420" w:firstLineChars="200"/>
              <w:jc w:val="both"/>
              <w:rPr>
                <w:rFonts w:hint="eastAsia" w:ascii="宋体" w:hAnsi="宋体" w:eastAsia="宋体" w:cs="Times New Roman"/>
                <w:color w:val="auto"/>
                <w:sz w:val="21"/>
                <w:lang w:val="en-US" w:eastAsia="zh-CN"/>
              </w:rPr>
            </w:pPr>
            <w:r>
              <w:rPr>
                <w:rFonts w:hint="eastAsia" w:ascii="宋体" w:hAnsi="宋体" w:eastAsia="宋体" w:cs="Times New Roman"/>
                <w:color w:val="auto"/>
                <w:sz w:val="21"/>
                <w:lang w:val="en-US"/>
              </w:rPr>
              <w:t>评审标准</w:t>
            </w:r>
            <w:r>
              <w:rPr>
                <w:rFonts w:hint="eastAsia" w:ascii="宋体" w:hAnsi="宋体" w:cs="Times New Roman"/>
                <w:color w:val="auto"/>
                <w:sz w:val="21"/>
                <w:lang w:val="en-US" w:eastAsia="zh-CN"/>
              </w:rPr>
              <w:t>：</w:t>
            </w:r>
          </w:p>
          <w:p w14:paraId="43D19A42">
            <w:pPr>
              <w:spacing w:line="440" w:lineRule="exact"/>
              <w:ind w:firstLine="420" w:firstLineChars="200"/>
              <w:jc w:val="both"/>
              <w:rPr>
                <w:rFonts w:hint="eastAsia" w:ascii="宋体" w:hAnsi="宋体" w:eastAsia="宋体" w:cs="Times New Roman"/>
                <w:color w:val="auto"/>
                <w:sz w:val="21"/>
                <w:lang w:val="en-US"/>
              </w:rPr>
            </w:pPr>
            <w:r>
              <w:rPr>
                <w:rFonts w:hint="eastAsia" w:ascii="宋体" w:hAnsi="宋体" w:eastAsia="宋体" w:cs="Times New Roman"/>
                <w:color w:val="auto"/>
                <w:sz w:val="21"/>
                <w:lang w:val="en-US"/>
              </w:rPr>
              <w:t>1、</w:t>
            </w:r>
            <w:r>
              <w:rPr>
                <w:rFonts w:hint="eastAsia" w:ascii="宋体" w:hAnsi="宋体" w:eastAsia="宋体" w:cs="Times New Roman"/>
                <w:color w:val="auto"/>
                <w:sz w:val="21"/>
                <w:lang w:val="en-US" w:eastAsia="zh-CN"/>
              </w:rPr>
              <w:t>各项</w:t>
            </w:r>
            <w:r>
              <w:rPr>
                <w:rFonts w:hint="eastAsia" w:ascii="宋体" w:hAnsi="宋体" w:eastAsia="宋体" w:cs="Times New Roman"/>
                <w:color w:val="auto"/>
                <w:sz w:val="21"/>
                <w:lang w:val="en-US"/>
              </w:rPr>
              <w:t>内容</w:t>
            </w:r>
            <w:r>
              <w:rPr>
                <w:rFonts w:hint="eastAsia" w:ascii="宋体" w:hAnsi="宋体" w:eastAsia="宋体" w:cs="Times New Roman"/>
                <w:color w:val="auto"/>
                <w:sz w:val="21"/>
                <w:lang w:val="en-US" w:eastAsia="zh-CN"/>
              </w:rPr>
              <w:t>全部</w:t>
            </w:r>
            <w:r>
              <w:rPr>
                <w:rFonts w:hint="eastAsia" w:ascii="宋体" w:hAnsi="宋体" w:eastAsia="宋体" w:cs="Times New Roman"/>
                <w:color w:val="auto"/>
                <w:sz w:val="21"/>
                <w:lang w:val="en-US"/>
              </w:rPr>
              <w:t>满足项目</w:t>
            </w:r>
            <w:r>
              <w:rPr>
                <w:rFonts w:hint="eastAsia" w:ascii="宋体" w:hAnsi="宋体" w:eastAsia="宋体" w:cs="Times New Roman"/>
                <w:color w:val="auto"/>
                <w:sz w:val="21"/>
                <w:lang w:val="en-US" w:eastAsia="zh-CN"/>
              </w:rPr>
              <w:t>要</w:t>
            </w:r>
            <w:r>
              <w:rPr>
                <w:rFonts w:hint="eastAsia" w:ascii="宋体" w:hAnsi="宋体" w:eastAsia="宋体" w:cs="Times New Roman"/>
                <w:color w:val="auto"/>
                <w:sz w:val="21"/>
                <w:lang w:val="en-US"/>
              </w:rPr>
              <w:t>求，得满分。</w:t>
            </w:r>
          </w:p>
          <w:p w14:paraId="20EB2A7D">
            <w:pPr>
              <w:spacing w:line="440" w:lineRule="exact"/>
              <w:ind w:firstLine="420" w:firstLineChars="200"/>
              <w:jc w:val="both"/>
              <w:rPr>
                <w:rFonts w:hint="eastAsia" w:ascii="宋体" w:hAnsi="宋体" w:eastAsia="宋体" w:cs="Times New Roman"/>
                <w:color w:val="auto"/>
                <w:sz w:val="21"/>
                <w:lang w:val="en-US" w:eastAsia="zh-CN"/>
              </w:rPr>
            </w:pPr>
            <w:r>
              <w:rPr>
                <w:rFonts w:hint="eastAsia" w:ascii="宋体" w:hAnsi="宋体" w:eastAsia="宋体" w:cs="Times New Roman"/>
                <w:color w:val="auto"/>
                <w:sz w:val="21"/>
                <w:lang w:val="en-US" w:eastAsia="zh-CN"/>
              </w:rPr>
              <w:t>2、方案中有</w:t>
            </w:r>
            <w:r>
              <w:rPr>
                <w:rFonts w:hint="eastAsia" w:ascii="宋体" w:hAnsi="宋体" w:eastAsia="宋体" w:cs="Times New Roman"/>
                <w:color w:val="auto"/>
                <w:sz w:val="21"/>
                <w:lang w:val="en-US"/>
              </w:rPr>
              <w:t>不满足</w:t>
            </w:r>
            <w:r>
              <w:rPr>
                <w:rFonts w:hint="eastAsia" w:ascii="宋体" w:hAnsi="宋体" w:eastAsia="宋体" w:cs="Times New Roman"/>
                <w:color w:val="auto"/>
                <w:sz w:val="21"/>
                <w:lang w:val="en-US" w:eastAsia="zh-CN"/>
              </w:rPr>
              <w:t>项目</w:t>
            </w:r>
            <w:r>
              <w:rPr>
                <w:rFonts w:hint="eastAsia" w:ascii="宋体" w:hAnsi="宋体" w:eastAsia="宋体" w:cs="Times New Roman"/>
                <w:color w:val="auto"/>
                <w:sz w:val="21"/>
                <w:lang w:val="en-US"/>
              </w:rPr>
              <w:t>要求或无法实现</w:t>
            </w:r>
            <w:r>
              <w:rPr>
                <w:rFonts w:hint="eastAsia" w:ascii="宋体" w:hAnsi="宋体" w:eastAsia="宋体" w:cs="Times New Roman"/>
                <w:color w:val="auto"/>
                <w:sz w:val="21"/>
                <w:lang w:val="en-US" w:eastAsia="zh-CN"/>
              </w:rPr>
              <w:t>项目功能</w:t>
            </w:r>
            <w:r>
              <w:rPr>
                <w:rFonts w:hint="eastAsia" w:ascii="宋体" w:hAnsi="宋体" w:eastAsia="宋体" w:cs="Times New Roman"/>
                <w:color w:val="auto"/>
                <w:sz w:val="21"/>
                <w:lang w:val="en-US"/>
              </w:rPr>
              <w:t xml:space="preserve">的，每出现一项扣 </w:t>
            </w:r>
            <w:r>
              <w:rPr>
                <w:rFonts w:hint="eastAsia" w:ascii="宋体" w:hAnsi="宋体" w:eastAsia="宋体" w:cs="Times New Roman"/>
                <w:color w:val="auto"/>
                <w:sz w:val="21"/>
                <w:lang w:val="en-US" w:eastAsia="zh-CN"/>
              </w:rPr>
              <w:t>0.5</w:t>
            </w:r>
            <w:r>
              <w:rPr>
                <w:rFonts w:hint="eastAsia" w:ascii="宋体" w:hAnsi="宋体" w:eastAsia="宋体" w:cs="Times New Roman"/>
                <w:color w:val="auto"/>
                <w:sz w:val="21"/>
                <w:lang w:val="en-US"/>
              </w:rPr>
              <w:t>分；</w:t>
            </w:r>
            <w:r>
              <w:rPr>
                <w:rFonts w:hint="eastAsia" w:ascii="宋体" w:hAnsi="宋体" w:eastAsia="宋体" w:cs="Times New Roman"/>
                <w:color w:val="auto"/>
                <w:sz w:val="21"/>
                <w:lang w:val="en-US" w:eastAsia="zh-CN"/>
              </w:rPr>
              <w:t xml:space="preserve"> </w:t>
            </w:r>
          </w:p>
          <w:p w14:paraId="03035AC7">
            <w:pPr>
              <w:spacing w:line="440" w:lineRule="exact"/>
              <w:ind w:firstLine="420" w:firstLineChars="200"/>
              <w:jc w:val="both"/>
              <w:rPr>
                <w:rFonts w:hint="eastAsia" w:ascii="宋体" w:hAnsi="宋体" w:eastAsia="宋体" w:cs="Times New Roman"/>
                <w:color w:val="auto"/>
                <w:sz w:val="21"/>
                <w:lang w:val="en-US" w:eastAsia="zh-CN"/>
              </w:rPr>
            </w:pPr>
            <w:r>
              <w:rPr>
                <w:rFonts w:hint="eastAsia" w:ascii="宋体" w:hAnsi="宋体" w:eastAsia="宋体" w:cs="Times New Roman"/>
                <w:color w:val="auto"/>
                <w:sz w:val="21"/>
                <w:lang w:val="en-US" w:eastAsia="zh-CN"/>
              </w:rPr>
              <w:t>3、</w:t>
            </w:r>
            <w:r>
              <w:rPr>
                <w:rFonts w:hint="eastAsia" w:ascii="宋体" w:hAnsi="宋体" w:eastAsia="宋体" w:cs="Times New Roman"/>
                <w:color w:val="auto"/>
                <w:sz w:val="21"/>
                <w:lang w:val="en-US"/>
              </w:rPr>
              <w:t>加“</w:t>
            </w:r>
            <w:r>
              <w:rPr>
                <w:rFonts w:hint="eastAsia" w:ascii="宋体" w:hAnsi="宋体" w:eastAsia="宋体" w:cs="Times New Roman"/>
                <w:szCs w:val="21"/>
                <w:highlight w:val="none"/>
                <w:lang w:val="en-US"/>
              </w:rPr>
              <w:t>▲</w:t>
            </w:r>
            <w:r>
              <w:rPr>
                <w:rFonts w:hint="eastAsia" w:ascii="宋体" w:hAnsi="宋体" w:eastAsia="宋体" w:cs="Times New Roman"/>
                <w:color w:val="auto"/>
                <w:sz w:val="21"/>
                <w:lang w:val="en-US"/>
              </w:rPr>
              <w:t>”的指标不满足</w:t>
            </w:r>
            <w:r>
              <w:rPr>
                <w:rFonts w:hint="eastAsia" w:ascii="宋体" w:hAnsi="宋体" w:eastAsia="宋体" w:cs="Times New Roman"/>
                <w:color w:val="auto"/>
                <w:sz w:val="21"/>
                <w:lang w:val="en-US" w:eastAsia="zh-CN"/>
              </w:rPr>
              <w:t>要</w:t>
            </w:r>
            <w:r>
              <w:rPr>
                <w:rFonts w:hint="eastAsia" w:ascii="宋体" w:hAnsi="宋体" w:eastAsia="宋体" w:cs="Times New Roman"/>
                <w:color w:val="auto"/>
                <w:sz w:val="21"/>
                <w:lang w:val="en-US"/>
              </w:rPr>
              <w:t>求，每出现一项扣</w:t>
            </w:r>
            <w:r>
              <w:rPr>
                <w:rFonts w:hint="eastAsia" w:ascii="宋体" w:hAnsi="宋体" w:eastAsia="宋体" w:cs="Times New Roman"/>
                <w:color w:val="auto"/>
                <w:sz w:val="21"/>
                <w:lang w:val="en-US" w:eastAsia="zh-CN"/>
              </w:rPr>
              <w:t>1.5</w:t>
            </w:r>
            <w:r>
              <w:rPr>
                <w:rFonts w:hint="eastAsia" w:ascii="宋体" w:hAnsi="宋体" w:eastAsia="宋体" w:cs="Times New Roman"/>
                <w:color w:val="auto"/>
                <w:sz w:val="21"/>
                <w:lang w:val="en-US"/>
              </w:rPr>
              <w:t>分</w:t>
            </w:r>
            <w:r>
              <w:rPr>
                <w:rFonts w:hint="eastAsia" w:ascii="宋体" w:hAnsi="宋体" w:cs="Times New Roman"/>
                <w:color w:val="auto"/>
                <w:sz w:val="21"/>
                <w:lang w:val="en-US" w:eastAsia="zh-CN"/>
              </w:rPr>
              <w:t>；</w:t>
            </w:r>
          </w:p>
          <w:p w14:paraId="01EC09C7">
            <w:pPr>
              <w:spacing w:line="440" w:lineRule="exact"/>
              <w:ind w:firstLine="420" w:firstLineChars="200"/>
              <w:jc w:val="both"/>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strike w:val="0"/>
                <w:dstrike w:val="0"/>
                <w:color w:val="auto"/>
                <w:sz w:val="21"/>
                <w:highlight w:val="none"/>
                <w:lang w:val="en-US" w:eastAsia="zh-CN"/>
              </w:rPr>
              <w:t>4、有多项重要内容指标不满足要求，评标委员会经评审认为无法实现或严重影响项目功能的，该方案不得分。</w:t>
            </w:r>
          </w:p>
        </w:tc>
      </w:tr>
      <w:tr w14:paraId="338F1F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42" w:hRule="atLeast"/>
        </w:trPr>
        <w:tc>
          <w:tcPr>
            <w:tcW w:w="618" w:type="dxa"/>
            <w:vMerge w:val="continue"/>
            <w:tcBorders>
              <w:right w:val="single" w:color="auto" w:sz="4" w:space="0"/>
            </w:tcBorders>
            <w:vAlign w:val="center"/>
          </w:tcPr>
          <w:p w14:paraId="7707015D">
            <w:pPr>
              <w:spacing w:line="440" w:lineRule="exact"/>
              <w:jc w:val="center"/>
              <w:rPr>
                <w:rFonts w:ascii="宋体" w:hAnsi="宋体"/>
                <w:highlight w:val="none"/>
              </w:rPr>
            </w:pPr>
          </w:p>
        </w:tc>
        <w:tc>
          <w:tcPr>
            <w:tcW w:w="642" w:type="dxa"/>
            <w:vMerge w:val="continue"/>
            <w:tcBorders>
              <w:left w:val="single" w:color="auto" w:sz="4" w:space="0"/>
              <w:right w:val="single" w:color="auto" w:sz="4" w:space="0"/>
            </w:tcBorders>
            <w:vAlign w:val="center"/>
          </w:tcPr>
          <w:p w14:paraId="280AA17C">
            <w:pPr>
              <w:spacing w:line="440" w:lineRule="exact"/>
              <w:jc w:val="center"/>
              <w:rPr>
                <w:rFonts w:ascii="宋体" w:hAnsi="宋体"/>
                <w:highlight w:val="none"/>
              </w:rPr>
            </w:pPr>
          </w:p>
        </w:tc>
        <w:tc>
          <w:tcPr>
            <w:tcW w:w="1583" w:type="dxa"/>
            <w:tcBorders>
              <w:top w:val="single" w:color="auto" w:sz="4" w:space="0"/>
              <w:left w:val="single" w:color="auto" w:sz="4" w:space="0"/>
              <w:right w:val="single" w:color="auto" w:sz="4" w:space="0"/>
            </w:tcBorders>
            <w:shd w:val="clear" w:color="auto" w:fill="auto"/>
            <w:vAlign w:val="center"/>
          </w:tcPr>
          <w:p w14:paraId="26D69A30">
            <w:pPr>
              <w:spacing w:line="440" w:lineRule="exact"/>
              <w:ind w:firstLine="0" w:firstLineChars="0"/>
              <w:jc w:val="center"/>
              <w:rPr>
                <w:rFonts w:hint="default" w:ascii="宋体" w:hAnsi="宋体" w:eastAsia="宋体" w:cs="Times New Roman"/>
                <w:color w:val="auto"/>
                <w:kern w:val="2"/>
                <w:sz w:val="21"/>
                <w:szCs w:val="21"/>
                <w:highlight w:val="none"/>
                <w:lang w:val="en-US" w:eastAsia="zh-CN" w:bidi="ar-SA"/>
              </w:rPr>
            </w:pPr>
            <w:r>
              <w:rPr>
                <w:rFonts w:hint="eastAsia" w:ascii="宋体" w:hAnsi="宋体" w:eastAsia="宋体" w:cs="Times New Roman"/>
                <w:sz w:val="21"/>
                <w:lang w:val="en-US" w:eastAsia="zh-CN"/>
              </w:rPr>
              <w:t>运维</w:t>
            </w:r>
            <w:r>
              <w:rPr>
                <w:rFonts w:hint="eastAsia" w:ascii="宋体" w:hAnsi="宋体" w:cs="Times New Roman"/>
                <w:sz w:val="21"/>
                <w:lang w:val="en-US" w:eastAsia="zh-CN"/>
              </w:rPr>
              <w:t>服务</w:t>
            </w:r>
            <w:r>
              <w:rPr>
                <w:rFonts w:hint="eastAsia" w:ascii="宋体" w:hAnsi="宋体" w:eastAsia="宋体" w:cs="Times New Roman"/>
                <w:sz w:val="21"/>
                <w:lang w:val="en-US" w:eastAsia="zh-CN"/>
              </w:rPr>
              <w:t>方案</w:t>
            </w:r>
          </w:p>
        </w:tc>
        <w:tc>
          <w:tcPr>
            <w:tcW w:w="701" w:type="dxa"/>
            <w:tcBorders>
              <w:top w:val="single" w:color="auto" w:sz="4" w:space="0"/>
              <w:left w:val="single" w:color="auto" w:sz="4" w:space="0"/>
              <w:right w:val="single" w:color="auto" w:sz="4" w:space="0"/>
            </w:tcBorders>
            <w:shd w:val="clear" w:color="auto" w:fill="auto"/>
            <w:vAlign w:val="center"/>
          </w:tcPr>
          <w:p w14:paraId="7925523B">
            <w:pPr>
              <w:spacing w:line="440" w:lineRule="exact"/>
              <w:ind w:firstLine="0" w:firstLineChars="0"/>
              <w:jc w:val="center"/>
              <w:rPr>
                <w:rFonts w:hint="default" w:ascii="宋体" w:hAnsi="宋体" w:eastAsia="宋体" w:cs="Times New Roman"/>
                <w:color w:val="auto"/>
                <w:kern w:val="2"/>
                <w:sz w:val="21"/>
                <w:szCs w:val="24"/>
                <w:highlight w:val="none"/>
                <w:lang w:val="en-US" w:eastAsia="zh-CN" w:bidi="ar-SA"/>
              </w:rPr>
            </w:pPr>
            <w:r>
              <w:rPr>
                <w:rFonts w:hint="eastAsia" w:ascii="宋体" w:hAnsi="宋体" w:eastAsia="宋体" w:cs="Times New Roman"/>
                <w:sz w:val="21"/>
                <w:lang w:val="en-US" w:eastAsia="zh-CN"/>
              </w:rPr>
              <w:t>4</w:t>
            </w:r>
          </w:p>
        </w:tc>
        <w:tc>
          <w:tcPr>
            <w:tcW w:w="4736" w:type="dxa"/>
            <w:tcBorders>
              <w:top w:val="single" w:color="auto" w:sz="4" w:space="0"/>
              <w:left w:val="single" w:color="auto" w:sz="4" w:space="0"/>
              <w:right w:val="single" w:color="auto" w:sz="4" w:space="0"/>
            </w:tcBorders>
            <w:shd w:val="clear" w:color="auto" w:fill="auto"/>
            <w:vAlign w:val="center"/>
          </w:tcPr>
          <w:p w14:paraId="3E1F1059">
            <w:pPr>
              <w:spacing w:line="440" w:lineRule="exact"/>
              <w:ind w:firstLine="420" w:firstLineChars="200"/>
              <w:jc w:val="both"/>
              <w:rPr>
                <w:rFonts w:hint="eastAsia" w:ascii="宋体" w:hAnsi="宋体" w:eastAsia="宋体" w:cs="Times New Roman"/>
                <w:color w:val="auto"/>
                <w:sz w:val="21"/>
                <w:lang w:val="en-US"/>
              </w:rPr>
            </w:pPr>
            <w:r>
              <w:rPr>
                <w:rFonts w:hint="eastAsia" w:ascii="宋体" w:hAnsi="宋体" w:eastAsia="宋体" w:cs="Times New Roman"/>
                <w:color w:val="auto"/>
                <w:sz w:val="21"/>
                <w:lang w:val="en-US"/>
              </w:rPr>
              <w:t>根据第五章</w:t>
            </w:r>
            <w:r>
              <w:rPr>
                <w:rFonts w:hint="eastAsia" w:ascii="宋体" w:hAnsi="宋体" w:eastAsia="宋体" w:cs="Times New Roman"/>
                <w:color w:val="auto"/>
                <w:sz w:val="21"/>
                <w:lang w:val="en-US" w:eastAsia="zh-CN"/>
              </w:rPr>
              <w:t>“</w:t>
            </w:r>
            <w:r>
              <w:rPr>
                <w:rFonts w:hint="eastAsia" w:ascii="宋体" w:hAnsi="宋体" w:eastAsia="宋体" w:cs="Times New Roman"/>
                <w:color w:val="auto"/>
                <w:sz w:val="21"/>
                <w:lang w:val="en-US"/>
              </w:rPr>
              <w:t>三、招标内容及技术要求</w:t>
            </w:r>
            <w:r>
              <w:rPr>
                <w:rFonts w:hint="eastAsia" w:ascii="宋体" w:hAnsi="宋体" w:eastAsia="宋体" w:cs="Times New Roman"/>
                <w:color w:val="auto"/>
                <w:sz w:val="21"/>
                <w:lang w:val="en-US" w:eastAsia="zh-CN"/>
              </w:rPr>
              <w:t xml:space="preserve"> （四）项目运维服务要求</w:t>
            </w:r>
            <w:r>
              <w:rPr>
                <w:rFonts w:hint="eastAsia" w:ascii="宋体" w:hAnsi="宋体" w:eastAsia="宋体" w:cs="Times New Roman"/>
                <w:color w:val="auto"/>
                <w:sz w:val="21"/>
                <w:lang w:val="en-US"/>
              </w:rPr>
              <w:t>”，针对项目</w:t>
            </w:r>
            <w:r>
              <w:rPr>
                <w:rFonts w:hint="eastAsia" w:ascii="宋体" w:hAnsi="宋体" w:eastAsia="宋体" w:cs="Times New Roman"/>
                <w:color w:val="auto"/>
                <w:sz w:val="21"/>
                <w:lang w:val="en-US" w:eastAsia="zh-CN"/>
              </w:rPr>
              <w:t>要求的</w:t>
            </w:r>
            <w:r>
              <w:rPr>
                <w:rFonts w:hint="eastAsia" w:ascii="宋体" w:hAnsi="宋体" w:eastAsia="宋体" w:cs="Times New Roman"/>
                <w:color w:val="auto"/>
                <w:sz w:val="21"/>
                <w:lang w:val="en-US"/>
              </w:rPr>
              <w:t>内容</w:t>
            </w:r>
            <w:r>
              <w:rPr>
                <w:rFonts w:hint="eastAsia" w:ascii="宋体" w:hAnsi="宋体" w:eastAsia="宋体" w:cs="Times New Roman"/>
                <w:color w:val="auto"/>
                <w:sz w:val="21"/>
                <w:lang w:val="en-US" w:eastAsia="zh-CN"/>
              </w:rPr>
              <w:t>提供一体化、全流程的综合运维</w:t>
            </w:r>
            <w:r>
              <w:rPr>
                <w:rFonts w:hint="eastAsia" w:ascii="宋体" w:hAnsi="宋体" w:cs="Times New Roman"/>
                <w:color w:val="auto"/>
                <w:sz w:val="21"/>
                <w:lang w:val="en-US" w:eastAsia="zh-CN"/>
              </w:rPr>
              <w:t>服务</w:t>
            </w:r>
            <w:r>
              <w:rPr>
                <w:rFonts w:hint="eastAsia" w:ascii="宋体" w:hAnsi="宋体" w:eastAsia="宋体" w:cs="Times New Roman"/>
                <w:color w:val="auto"/>
                <w:sz w:val="21"/>
                <w:lang w:val="en-US" w:eastAsia="zh-CN"/>
              </w:rPr>
              <w:t>方案，方案应包含但不限于以下内容：制度建设、团队构成、巡检监控、风险预警、应急处置、资源保障及持续改进等，构建覆盖系统全生命周期的运维服务体系。</w:t>
            </w:r>
          </w:p>
          <w:p w14:paraId="1BF593C0">
            <w:pPr>
              <w:spacing w:line="440" w:lineRule="exact"/>
              <w:ind w:firstLine="420" w:firstLineChars="200"/>
              <w:jc w:val="both"/>
              <w:rPr>
                <w:rFonts w:hint="eastAsia" w:ascii="宋体" w:hAnsi="宋体" w:eastAsia="宋体" w:cs="Times New Roman"/>
                <w:color w:val="auto"/>
                <w:sz w:val="21"/>
                <w:lang w:val="en-US" w:eastAsia="zh-CN"/>
              </w:rPr>
            </w:pPr>
            <w:r>
              <w:rPr>
                <w:rFonts w:hint="eastAsia" w:ascii="宋体" w:hAnsi="宋体" w:eastAsia="宋体" w:cs="Times New Roman"/>
                <w:color w:val="auto"/>
                <w:sz w:val="21"/>
                <w:lang w:val="en-US" w:eastAsia="zh-CN"/>
              </w:rPr>
              <w:t>评审标准：</w:t>
            </w:r>
          </w:p>
          <w:p w14:paraId="418E980E">
            <w:pPr>
              <w:spacing w:line="440" w:lineRule="exact"/>
              <w:ind w:firstLine="420" w:firstLineChars="200"/>
              <w:jc w:val="both"/>
              <w:rPr>
                <w:rFonts w:hint="eastAsia" w:ascii="宋体" w:hAnsi="宋体" w:eastAsia="宋体" w:cs="Times New Roman"/>
                <w:color w:val="auto"/>
                <w:sz w:val="21"/>
                <w:lang w:val="en-US" w:eastAsia="zh-CN"/>
              </w:rPr>
            </w:pPr>
            <w:r>
              <w:rPr>
                <w:rFonts w:hint="eastAsia" w:ascii="宋体" w:hAnsi="宋体" w:eastAsia="宋体" w:cs="Times New Roman"/>
                <w:color w:val="auto"/>
                <w:sz w:val="21"/>
                <w:lang w:val="en-US" w:eastAsia="zh-CN"/>
              </w:rPr>
              <w:t>1、方案满足服务要求内容，无缺项漏项，内容完善、科学合理、可行性强得4分；</w:t>
            </w:r>
          </w:p>
          <w:p w14:paraId="532A8B31">
            <w:pPr>
              <w:spacing w:line="440" w:lineRule="exact"/>
              <w:ind w:firstLine="420" w:firstLineChars="200"/>
              <w:jc w:val="both"/>
              <w:rPr>
                <w:rFonts w:hint="eastAsia" w:ascii="宋体" w:hAnsi="宋体" w:eastAsia="宋体" w:cs="Times New Roman"/>
                <w:color w:val="auto"/>
                <w:sz w:val="21"/>
                <w:lang w:val="en-US" w:eastAsia="zh-CN"/>
              </w:rPr>
            </w:pPr>
            <w:r>
              <w:rPr>
                <w:rFonts w:hint="eastAsia" w:ascii="宋体" w:hAnsi="宋体" w:eastAsia="宋体" w:cs="Times New Roman"/>
                <w:color w:val="auto"/>
                <w:sz w:val="21"/>
                <w:lang w:val="en-US" w:eastAsia="zh-CN"/>
              </w:rPr>
              <w:t xml:space="preserve">2、方案满足服务要求内容，无缺项漏项，内容较完善、有可行性得3分； </w:t>
            </w:r>
          </w:p>
          <w:p w14:paraId="2C15C256">
            <w:pPr>
              <w:spacing w:line="440" w:lineRule="exact"/>
              <w:ind w:firstLine="420" w:firstLineChars="200"/>
              <w:jc w:val="both"/>
              <w:rPr>
                <w:rFonts w:hint="default" w:ascii="宋体" w:hAnsi="宋体" w:eastAsia="宋体" w:cs="Times New Roman"/>
                <w:color w:val="auto"/>
                <w:sz w:val="21"/>
                <w:lang w:val="en-US" w:eastAsia="zh-CN"/>
              </w:rPr>
            </w:pPr>
            <w:r>
              <w:rPr>
                <w:rFonts w:hint="eastAsia" w:ascii="宋体" w:hAnsi="宋体" w:eastAsia="宋体" w:cs="Times New Roman"/>
                <w:color w:val="auto"/>
                <w:sz w:val="21"/>
                <w:lang w:val="en-US" w:eastAsia="zh-CN"/>
              </w:rPr>
              <w:t>3、方案内容基本满足服务内容，无缺项漏项，内容简单，有一定的可行性的得2分。</w:t>
            </w:r>
          </w:p>
          <w:p w14:paraId="5CA16ABE">
            <w:pPr>
              <w:spacing w:line="440" w:lineRule="exact"/>
              <w:ind w:firstLine="420" w:firstLineChars="200"/>
              <w:jc w:val="both"/>
              <w:rPr>
                <w:rFonts w:hint="eastAsia" w:ascii="宋体" w:hAnsi="宋体" w:eastAsia="宋体" w:cs="Times New Roman"/>
                <w:color w:val="auto"/>
                <w:sz w:val="21"/>
                <w:lang w:val="en-US" w:eastAsia="zh-CN"/>
              </w:rPr>
            </w:pPr>
            <w:r>
              <w:rPr>
                <w:rFonts w:hint="eastAsia" w:ascii="宋体" w:hAnsi="宋体" w:cs="Times New Roman"/>
                <w:color w:val="auto"/>
                <w:sz w:val="21"/>
                <w:lang w:val="en-US" w:eastAsia="zh-CN"/>
              </w:rPr>
              <w:t>4</w:t>
            </w:r>
            <w:r>
              <w:rPr>
                <w:rFonts w:hint="eastAsia" w:ascii="宋体" w:hAnsi="宋体" w:eastAsia="宋体" w:cs="Times New Roman"/>
                <w:color w:val="auto"/>
                <w:sz w:val="21"/>
                <w:lang w:val="en-US" w:eastAsia="zh-CN"/>
              </w:rPr>
              <w:t>、方案内容有缺项或漏项，内容简单或有缺失、可行性不强得1分。</w:t>
            </w:r>
          </w:p>
        </w:tc>
      </w:tr>
      <w:tr w14:paraId="00DE55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42" w:hRule="atLeast"/>
        </w:trPr>
        <w:tc>
          <w:tcPr>
            <w:tcW w:w="618" w:type="dxa"/>
            <w:vMerge w:val="continue"/>
            <w:tcBorders>
              <w:right w:val="single" w:color="auto" w:sz="4" w:space="0"/>
            </w:tcBorders>
            <w:vAlign w:val="center"/>
          </w:tcPr>
          <w:p w14:paraId="6F0A2C80">
            <w:pPr>
              <w:spacing w:line="440" w:lineRule="exact"/>
              <w:jc w:val="center"/>
              <w:rPr>
                <w:rFonts w:ascii="宋体" w:hAnsi="宋体"/>
                <w:highlight w:val="none"/>
              </w:rPr>
            </w:pPr>
          </w:p>
        </w:tc>
        <w:tc>
          <w:tcPr>
            <w:tcW w:w="642" w:type="dxa"/>
            <w:vMerge w:val="continue"/>
            <w:tcBorders>
              <w:left w:val="single" w:color="auto" w:sz="4" w:space="0"/>
              <w:right w:val="single" w:color="auto" w:sz="4" w:space="0"/>
            </w:tcBorders>
            <w:vAlign w:val="center"/>
          </w:tcPr>
          <w:p w14:paraId="63D23601">
            <w:pPr>
              <w:spacing w:line="440" w:lineRule="exact"/>
              <w:jc w:val="center"/>
              <w:rPr>
                <w:rFonts w:ascii="宋体" w:hAnsi="宋体"/>
                <w:highlight w:val="none"/>
              </w:rPr>
            </w:pPr>
          </w:p>
        </w:tc>
        <w:tc>
          <w:tcPr>
            <w:tcW w:w="1583" w:type="dxa"/>
            <w:tcBorders>
              <w:top w:val="single" w:color="auto" w:sz="4" w:space="0"/>
              <w:left w:val="single" w:color="auto" w:sz="4" w:space="0"/>
              <w:right w:val="single" w:color="auto" w:sz="4" w:space="0"/>
            </w:tcBorders>
            <w:shd w:val="clear" w:color="auto" w:fill="auto"/>
            <w:vAlign w:val="center"/>
          </w:tcPr>
          <w:p w14:paraId="3E4B12DC">
            <w:pPr>
              <w:spacing w:line="440" w:lineRule="exact"/>
              <w:ind w:firstLine="0" w:firstLineChars="0"/>
              <w:jc w:val="center"/>
              <w:rPr>
                <w:rFonts w:hint="default" w:ascii="宋体" w:hAnsi="宋体" w:eastAsia="宋体" w:cs="Times New Roman"/>
                <w:sz w:val="21"/>
                <w:lang w:val="en-US" w:eastAsia="zh-CN"/>
              </w:rPr>
            </w:pPr>
            <w:r>
              <w:rPr>
                <w:rFonts w:hint="eastAsia" w:ascii="宋体" w:hAnsi="宋体" w:eastAsia="宋体" w:cs="Times New Roman"/>
                <w:sz w:val="21"/>
                <w:lang w:val="en-US" w:eastAsia="zh-CN"/>
              </w:rPr>
              <w:t>接口类服务和数据共享方案</w:t>
            </w:r>
          </w:p>
        </w:tc>
        <w:tc>
          <w:tcPr>
            <w:tcW w:w="701" w:type="dxa"/>
            <w:tcBorders>
              <w:top w:val="single" w:color="auto" w:sz="4" w:space="0"/>
              <w:left w:val="single" w:color="auto" w:sz="4" w:space="0"/>
              <w:right w:val="single" w:color="auto" w:sz="4" w:space="0"/>
            </w:tcBorders>
            <w:shd w:val="clear" w:color="auto" w:fill="auto"/>
            <w:vAlign w:val="center"/>
          </w:tcPr>
          <w:p w14:paraId="12E59D84">
            <w:pPr>
              <w:spacing w:line="440" w:lineRule="exact"/>
              <w:ind w:firstLine="0" w:firstLineChars="0"/>
              <w:jc w:val="center"/>
              <w:rPr>
                <w:rFonts w:hint="default" w:ascii="宋体" w:hAnsi="宋体" w:eastAsia="宋体" w:cs="Times New Roman"/>
                <w:sz w:val="21"/>
                <w:lang w:val="en-US" w:eastAsia="zh-CN"/>
              </w:rPr>
            </w:pPr>
            <w:r>
              <w:rPr>
                <w:rFonts w:hint="eastAsia" w:ascii="宋体" w:hAnsi="宋体" w:cs="Times New Roman"/>
                <w:sz w:val="21"/>
                <w:lang w:val="en-US" w:eastAsia="zh-CN"/>
              </w:rPr>
              <w:t>4</w:t>
            </w:r>
          </w:p>
        </w:tc>
        <w:tc>
          <w:tcPr>
            <w:tcW w:w="4736" w:type="dxa"/>
            <w:tcBorders>
              <w:top w:val="single" w:color="auto" w:sz="4" w:space="0"/>
              <w:left w:val="single" w:color="auto" w:sz="4" w:space="0"/>
              <w:right w:val="single" w:color="auto" w:sz="4" w:space="0"/>
            </w:tcBorders>
            <w:shd w:val="clear" w:color="auto" w:fill="auto"/>
            <w:vAlign w:val="center"/>
          </w:tcPr>
          <w:p w14:paraId="5382AD00">
            <w:pPr>
              <w:spacing w:line="440" w:lineRule="exact"/>
              <w:ind w:firstLine="420" w:firstLineChars="200"/>
              <w:jc w:val="both"/>
              <w:rPr>
                <w:rFonts w:hint="eastAsia" w:ascii="宋体" w:hAnsi="宋体" w:eastAsia="宋体" w:cs="Times New Roman"/>
                <w:color w:val="auto"/>
                <w:sz w:val="21"/>
                <w:lang w:val="en-US"/>
              </w:rPr>
            </w:pPr>
            <w:r>
              <w:rPr>
                <w:rFonts w:hint="eastAsia" w:ascii="宋体" w:hAnsi="宋体" w:eastAsia="宋体" w:cs="Times New Roman"/>
                <w:color w:val="auto"/>
                <w:sz w:val="21"/>
                <w:lang w:val="en-US"/>
              </w:rPr>
              <w:t>根据第五章</w:t>
            </w:r>
            <w:r>
              <w:rPr>
                <w:rFonts w:hint="eastAsia" w:ascii="宋体" w:hAnsi="宋体" w:eastAsia="宋体" w:cs="Times New Roman"/>
                <w:color w:val="auto"/>
                <w:sz w:val="21"/>
                <w:lang w:val="en-US" w:eastAsia="zh-CN"/>
              </w:rPr>
              <w:t>“</w:t>
            </w:r>
            <w:r>
              <w:rPr>
                <w:rFonts w:hint="eastAsia" w:ascii="宋体" w:hAnsi="宋体" w:eastAsia="宋体" w:cs="Times New Roman"/>
                <w:color w:val="auto"/>
                <w:sz w:val="21"/>
                <w:lang w:val="en-US"/>
              </w:rPr>
              <w:t>三、招标内容及技术要求</w:t>
            </w:r>
            <w:r>
              <w:rPr>
                <w:rFonts w:hint="eastAsia" w:ascii="宋体" w:hAnsi="宋体" w:eastAsia="宋体" w:cs="Times New Roman"/>
                <w:color w:val="auto"/>
                <w:sz w:val="21"/>
                <w:lang w:val="en-US" w:eastAsia="zh-CN"/>
              </w:rPr>
              <w:t xml:space="preserve"> （五）其他要求及需求 1.接口类服务和数据共享的需求</w:t>
            </w:r>
            <w:r>
              <w:rPr>
                <w:rFonts w:hint="eastAsia" w:ascii="宋体" w:hAnsi="宋体" w:eastAsia="宋体" w:cs="Times New Roman"/>
                <w:color w:val="auto"/>
                <w:sz w:val="21"/>
                <w:lang w:val="en-US"/>
              </w:rPr>
              <w:t>”</w:t>
            </w:r>
            <w:r>
              <w:rPr>
                <w:rFonts w:hint="eastAsia" w:ascii="宋体" w:hAnsi="宋体" w:eastAsia="宋体" w:cs="Times New Roman"/>
                <w:color w:val="auto"/>
                <w:sz w:val="21"/>
                <w:lang w:val="en-US" w:eastAsia="zh-CN"/>
              </w:rPr>
              <w:t>内容</w:t>
            </w:r>
            <w:r>
              <w:rPr>
                <w:rFonts w:hint="eastAsia" w:ascii="宋体" w:hAnsi="宋体" w:eastAsia="宋体" w:cs="Times New Roman"/>
                <w:color w:val="auto"/>
                <w:sz w:val="21"/>
                <w:lang w:val="en-US"/>
              </w:rPr>
              <w:t>，针对项目</w:t>
            </w:r>
            <w:r>
              <w:rPr>
                <w:rFonts w:hint="eastAsia" w:ascii="宋体" w:hAnsi="宋体" w:eastAsia="宋体" w:cs="Times New Roman"/>
                <w:color w:val="auto"/>
                <w:sz w:val="21"/>
                <w:lang w:val="en-US" w:eastAsia="zh-CN"/>
              </w:rPr>
              <w:t>要求的</w:t>
            </w:r>
            <w:r>
              <w:rPr>
                <w:rFonts w:hint="eastAsia" w:ascii="宋体" w:hAnsi="宋体" w:eastAsia="宋体" w:cs="Times New Roman"/>
                <w:color w:val="auto"/>
                <w:sz w:val="21"/>
                <w:lang w:val="en-US"/>
              </w:rPr>
              <w:t>内容</w:t>
            </w:r>
            <w:r>
              <w:rPr>
                <w:rFonts w:hint="eastAsia" w:ascii="宋体" w:hAnsi="宋体" w:eastAsia="宋体" w:cs="Times New Roman"/>
                <w:color w:val="auto"/>
                <w:sz w:val="21"/>
                <w:lang w:val="en-US" w:eastAsia="zh-CN"/>
              </w:rPr>
              <w:t>、性能、</w:t>
            </w:r>
            <w:r>
              <w:rPr>
                <w:rFonts w:hint="eastAsia" w:ascii="宋体" w:hAnsi="宋体" w:eastAsia="宋体" w:cs="Times New Roman"/>
                <w:color w:val="auto"/>
                <w:sz w:val="21"/>
                <w:lang w:val="en-US"/>
              </w:rPr>
              <w:t>功能</w:t>
            </w:r>
            <w:r>
              <w:rPr>
                <w:rFonts w:hint="eastAsia" w:ascii="宋体" w:hAnsi="宋体" w:eastAsia="宋体" w:cs="Times New Roman"/>
                <w:color w:val="auto"/>
                <w:sz w:val="21"/>
                <w:lang w:val="en-US" w:eastAsia="zh-CN"/>
              </w:rPr>
              <w:t>等，</w:t>
            </w:r>
            <w:r>
              <w:rPr>
                <w:rFonts w:hint="eastAsia" w:ascii="宋体" w:hAnsi="宋体" w:eastAsia="宋体" w:cs="Times New Roman"/>
                <w:color w:val="auto"/>
                <w:sz w:val="21"/>
                <w:highlight w:val="none"/>
                <w:lang w:val="en-US"/>
              </w:rPr>
              <w:t>编制详细的</w:t>
            </w:r>
            <w:r>
              <w:rPr>
                <w:rFonts w:hint="eastAsia" w:ascii="宋体" w:hAnsi="宋体" w:eastAsia="宋体" w:cs="Times New Roman"/>
                <w:sz w:val="21"/>
                <w:lang w:val="en-US" w:eastAsia="zh-CN"/>
              </w:rPr>
              <w:t>接口类服务和数据共享方案</w:t>
            </w:r>
            <w:r>
              <w:rPr>
                <w:rFonts w:hint="eastAsia" w:ascii="宋体" w:hAnsi="宋体" w:eastAsia="宋体" w:cs="Times New Roman"/>
                <w:color w:val="auto"/>
                <w:sz w:val="21"/>
                <w:lang w:val="en-US"/>
              </w:rPr>
              <w:t>。</w:t>
            </w:r>
          </w:p>
          <w:p w14:paraId="78A5EA18">
            <w:pPr>
              <w:spacing w:line="440" w:lineRule="exact"/>
              <w:ind w:firstLine="420" w:firstLineChars="200"/>
              <w:jc w:val="left"/>
              <w:rPr>
                <w:rFonts w:ascii="宋体" w:hAnsi="宋体"/>
                <w:color w:val="auto"/>
                <w:szCs w:val="21"/>
                <w:highlight w:val="none"/>
              </w:rPr>
            </w:pPr>
            <w:r>
              <w:rPr>
                <w:rFonts w:hint="eastAsia" w:ascii="宋体" w:hAnsi="宋体"/>
                <w:color w:val="auto"/>
                <w:szCs w:val="21"/>
                <w:highlight w:val="none"/>
              </w:rPr>
              <w:t>评审标准：</w:t>
            </w:r>
          </w:p>
          <w:p w14:paraId="50208434">
            <w:pPr>
              <w:spacing w:line="440" w:lineRule="exact"/>
              <w:ind w:firstLine="420" w:firstLineChars="200"/>
              <w:jc w:val="both"/>
              <w:rPr>
                <w:rFonts w:hint="eastAsia" w:ascii="宋体" w:hAnsi="宋体" w:eastAsia="宋体" w:cs="Times New Roman"/>
                <w:color w:val="auto"/>
                <w:sz w:val="21"/>
                <w:lang w:val="en-US" w:eastAsia="zh-CN"/>
              </w:rPr>
            </w:pPr>
            <w:r>
              <w:rPr>
                <w:rFonts w:hint="eastAsia" w:ascii="宋体" w:hAnsi="宋体" w:eastAsia="宋体" w:cs="Times New Roman"/>
                <w:color w:val="auto"/>
                <w:sz w:val="21"/>
                <w:lang w:val="en-US" w:eastAsia="zh-CN"/>
              </w:rPr>
              <w:t>1、方案满足服务要求内容，无缺项漏项，内容完善、科学合理、可行性强得4分；</w:t>
            </w:r>
          </w:p>
          <w:p w14:paraId="0C42F830">
            <w:pPr>
              <w:spacing w:line="440" w:lineRule="exact"/>
              <w:ind w:firstLine="420" w:firstLineChars="200"/>
              <w:jc w:val="both"/>
              <w:rPr>
                <w:rFonts w:hint="eastAsia" w:ascii="宋体" w:hAnsi="宋体" w:eastAsia="宋体" w:cs="Times New Roman"/>
                <w:color w:val="auto"/>
                <w:sz w:val="21"/>
                <w:lang w:val="en-US" w:eastAsia="zh-CN"/>
              </w:rPr>
            </w:pPr>
            <w:r>
              <w:rPr>
                <w:rFonts w:hint="eastAsia" w:ascii="宋体" w:hAnsi="宋体" w:eastAsia="宋体" w:cs="Times New Roman"/>
                <w:color w:val="auto"/>
                <w:sz w:val="21"/>
                <w:lang w:val="en-US" w:eastAsia="zh-CN"/>
              </w:rPr>
              <w:t xml:space="preserve">2、方案满足服务要求内容，无缺项漏项，内容较完善、有可行性得3分； </w:t>
            </w:r>
          </w:p>
          <w:p w14:paraId="5E291D07">
            <w:pPr>
              <w:spacing w:line="440" w:lineRule="exact"/>
              <w:ind w:firstLine="420" w:firstLineChars="200"/>
              <w:jc w:val="both"/>
              <w:rPr>
                <w:rFonts w:hint="default" w:ascii="宋体" w:hAnsi="宋体" w:eastAsia="宋体" w:cs="Times New Roman"/>
                <w:color w:val="auto"/>
                <w:sz w:val="21"/>
                <w:lang w:val="en-US" w:eastAsia="zh-CN"/>
              </w:rPr>
            </w:pPr>
            <w:r>
              <w:rPr>
                <w:rFonts w:hint="eastAsia" w:ascii="宋体" w:hAnsi="宋体" w:eastAsia="宋体" w:cs="Times New Roman"/>
                <w:color w:val="auto"/>
                <w:sz w:val="21"/>
                <w:lang w:val="en-US" w:eastAsia="zh-CN"/>
              </w:rPr>
              <w:t>3、方案内容基本满足服务内容，无缺项漏项，内容简单，有一定的可行性的得2分。</w:t>
            </w:r>
          </w:p>
          <w:p w14:paraId="50E2546E">
            <w:pPr>
              <w:spacing w:line="440" w:lineRule="exact"/>
              <w:ind w:firstLine="420" w:firstLineChars="200"/>
              <w:jc w:val="both"/>
              <w:rPr>
                <w:rFonts w:hint="eastAsia" w:ascii="宋体" w:hAnsi="宋体" w:eastAsia="宋体" w:cs="Times New Roman"/>
                <w:color w:val="auto"/>
                <w:sz w:val="21"/>
                <w:lang w:val="en-US" w:eastAsia="zh-CN"/>
              </w:rPr>
            </w:pPr>
            <w:r>
              <w:rPr>
                <w:rFonts w:hint="eastAsia" w:ascii="宋体" w:hAnsi="宋体" w:cs="Times New Roman"/>
                <w:color w:val="auto"/>
                <w:sz w:val="21"/>
                <w:lang w:val="en-US" w:eastAsia="zh-CN"/>
              </w:rPr>
              <w:t>4</w:t>
            </w:r>
            <w:r>
              <w:rPr>
                <w:rFonts w:hint="eastAsia" w:ascii="宋体" w:hAnsi="宋体" w:eastAsia="宋体" w:cs="Times New Roman"/>
                <w:color w:val="auto"/>
                <w:sz w:val="21"/>
                <w:lang w:val="en-US" w:eastAsia="zh-CN"/>
              </w:rPr>
              <w:t>、方案内容有缺项或漏项，内容简单或有缺失、可行性不强得1分。</w:t>
            </w:r>
          </w:p>
        </w:tc>
      </w:tr>
      <w:tr w14:paraId="099B50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42" w:hRule="atLeast"/>
        </w:trPr>
        <w:tc>
          <w:tcPr>
            <w:tcW w:w="618" w:type="dxa"/>
            <w:vMerge w:val="continue"/>
            <w:tcBorders>
              <w:right w:val="single" w:color="auto" w:sz="4" w:space="0"/>
            </w:tcBorders>
            <w:vAlign w:val="center"/>
          </w:tcPr>
          <w:p w14:paraId="7A943371">
            <w:pPr>
              <w:spacing w:line="440" w:lineRule="exact"/>
              <w:jc w:val="center"/>
              <w:rPr>
                <w:rFonts w:ascii="宋体" w:hAnsi="宋体"/>
                <w:highlight w:val="none"/>
              </w:rPr>
            </w:pPr>
          </w:p>
        </w:tc>
        <w:tc>
          <w:tcPr>
            <w:tcW w:w="642" w:type="dxa"/>
            <w:vMerge w:val="continue"/>
            <w:tcBorders>
              <w:left w:val="single" w:color="auto" w:sz="4" w:space="0"/>
              <w:right w:val="single" w:color="auto" w:sz="4" w:space="0"/>
            </w:tcBorders>
            <w:vAlign w:val="center"/>
          </w:tcPr>
          <w:p w14:paraId="123DC554">
            <w:pPr>
              <w:spacing w:line="440" w:lineRule="exact"/>
              <w:jc w:val="center"/>
              <w:rPr>
                <w:rFonts w:ascii="宋体" w:hAnsi="宋体"/>
                <w:highlight w:val="none"/>
              </w:rPr>
            </w:pPr>
          </w:p>
        </w:tc>
        <w:tc>
          <w:tcPr>
            <w:tcW w:w="1583" w:type="dxa"/>
            <w:tcBorders>
              <w:top w:val="single" w:color="auto" w:sz="4" w:space="0"/>
              <w:left w:val="single" w:color="auto" w:sz="4" w:space="0"/>
              <w:right w:val="single" w:color="auto" w:sz="4" w:space="0"/>
            </w:tcBorders>
            <w:vAlign w:val="center"/>
          </w:tcPr>
          <w:p w14:paraId="0EC71F3E">
            <w:pPr>
              <w:spacing w:line="440" w:lineRule="exact"/>
              <w:ind w:firstLine="0" w:firstLineChars="0"/>
              <w:jc w:val="center"/>
              <w:rPr>
                <w:rFonts w:hint="eastAsia" w:ascii="Times New Roman" w:hAnsi="Times New Roman" w:eastAsia="宋体" w:cs="Times New Roman"/>
                <w:color w:val="auto"/>
                <w:spacing w:val="7"/>
                <w:sz w:val="21"/>
                <w:highlight w:val="none"/>
                <w:lang w:val="en-US" w:eastAsia="zh-CN"/>
              </w:rPr>
            </w:pPr>
          </w:p>
          <w:p w14:paraId="087EE0F2">
            <w:pPr>
              <w:spacing w:line="440" w:lineRule="exact"/>
              <w:ind w:firstLine="0" w:firstLineChars="0"/>
              <w:jc w:val="center"/>
              <w:rPr>
                <w:rFonts w:hint="eastAsia" w:ascii="Times New Roman" w:hAnsi="Times New Roman" w:eastAsia="宋体" w:cs="Times New Roman"/>
                <w:color w:val="auto"/>
                <w:spacing w:val="7"/>
                <w:sz w:val="21"/>
                <w:highlight w:val="none"/>
                <w:lang w:val="en-US" w:eastAsia="zh-CN"/>
              </w:rPr>
            </w:pPr>
            <w:r>
              <w:rPr>
                <w:rFonts w:hint="eastAsia" w:ascii="Times New Roman" w:hAnsi="Times New Roman" w:eastAsia="宋体" w:cs="Times New Roman"/>
                <w:color w:val="auto"/>
                <w:spacing w:val="7"/>
                <w:sz w:val="21"/>
                <w:highlight w:val="none"/>
                <w:lang w:val="en-US" w:eastAsia="zh-CN"/>
              </w:rPr>
              <w:t>项目性能与安全保障方案</w:t>
            </w:r>
          </w:p>
          <w:p w14:paraId="2E72EB32">
            <w:pPr>
              <w:spacing w:line="440" w:lineRule="exact"/>
              <w:ind w:firstLine="0" w:firstLineChars="0"/>
              <w:jc w:val="center"/>
              <w:rPr>
                <w:rFonts w:hint="default" w:ascii="宋体" w:hAnsi="宋体" w:eastAsia="宋体"/>
                <w:color w:val="FF0000"/>
                <w:szCs w:val="21"/>
                <w:highlight w:val="none"/>
                <w:lang w:val="en-US" w:eastAsia="zh-CN"/>
              </w:rPr>
            </w:pPr>
          </w:p>
        </w:tc>
        <w:tc>
          <w:tcPr>
            <w:tcW w:w="701" w:type="dxa"/>
            <w:tcBorders>
              <w:top w:val="single" w:color="auto" w:sz="4" w:space="0"/>
              <w:left w:val="single" w:color="auto" w:sz="4" w:space="0"/>
              <w:right w:val="single" w:color="auto" w:sz="4" w:space="0"/>
            </w:tcBorders>
            <w:vAlign w:val="center"/>
          </w:tcPr>
          <w:p w14:paraId="69E58FA2">
            <w:pPr>
              <w:spacing w:line="440" w:lineRule="exact"/>
              <w:ind w:firstLine="0" w:firstLineChars="0"/>
              <w:jc w:val="center"/>
              <w:rPr>
                <w:rFonts w:hint="default" w:ascii="宋体" w:hAnsi="宋体" w:eastAsia="宋体"/>
                <w:color w:val="FF0000"/>
                <w:szCs w:val="21"/>
                <w:highlight w:val="none"/>
                <w:lang w:val="en-US" w:eastAsia="zh-CN"/>
              </w:rPr>
            </w:pPr>
            <w:r>
              <w:rPr>
                <w:rFonts w:hint="eastAsia" w:cs="Times New Roman"/>
                <w:color w:val="auto"/>
                <w:spacing w:val="7"/>
                <w:sz w:val="21"/>
                <w:highlight w:val="none"/>
                <w:lang w:val="en-US" w:eastAsia="zh-CN"/>
              </w:rPr>
              <w:t>4</w:t>
            </w:r>
          </w:p>
        </w:tc>
        <w:tc>
          <w:tcPr>
            <w:tcW w:w="4736" w:type="dxa"/>
            <w:tcBorders>
              <w:top w:val="single" w:color="auto" w:sz="4" w:space="0"/>
              <w:left w:val="single" w:color="auto" w:sz="4" w:space="0"/>
              <w:right w:val="single" w:color="auto" w:sz="4" w:space="0"/>
            </w:tcBorders>
            <w:vAlign w:val="center"/>
          </w:tcPr>
          <w:p w14:paraId="2D0D105D">
            <w:pPr>
              <w:spacing w:line="440" w:lineRule="exact"/>
              <w:ind w:firstLine="420" w:firstLineChars="200"/>
              <w:jc w:val="both"/>
              <w:rPr>
                <w:rFonts w:hint="default" w:ascii="宋体" w:hAnsi="宋体" w:eastAsia="宋体" w:cs="Times New Roman"/>
                <w:color w:val="auto"/>
                <w:sz w:val="21"/>
                <w:highlight w:val="none"/>
                <w:lang w:val="en-US" w:eastAsia="zh-CN"/>
              </w:rPr>
            </w:pPr>
            <w:r>
              <w:rPr>
                <w:rFonts w:hint="eastAsia" w:ascii="宋体" w:hAnsi="宋体" w:eastAsia="宋体" w:cs="Times New Roman"/>
                <w:color w:val="auto"/>
                <w:sz w:val="21"/>
                <w:highlight w:val="none"/>
                <w:lang w:val="en-US"/>
              </w:rPr>
              <w:t>根据“第五章 招标内容及商务技术要求</w:t>
            </w:r>
            <w:r>
              <w:rPr>
                <w:rFonts w:hint="eastAsia" w:ascii="宋体" w:hAnsi="宋体" w:eastAsia="宋体" w:cs="Times New Roman"/>
                <w:color w:val="auto"/>
                <w:sz w:val="21"/>
                <w:highlight w:val="none"/>
                <w:lang w:val="en-US" w:eastAsia="zh-CN"/>
              </w:rPr>
              <w:t xml:space="preserve"> 三、招标内容及技术要求 </w:t>
            </w:r>
            <w:r>
              <w:rPr>
                <w:rFonts w:hint="eastAsia" w:ascii="宋体" w:hAnsi="宋体" w:eastAsia="宋体" w:cs="Times New Roman"/>
                <w:color w:val="auto"/>
                <w:sz w:val="21"/>
                <w:lang w:val="en-US" w:eastAsia="zh-CN"/>
              </w:rPr>
              <w:t>（五）其他要求及需求</w:t>
            </w:r>
            <w:r>
              <w:rPr>
                <w:rFonts w:hint="eastAsia" w:ascii="宋体" w:hAnsi="宋体" w:eastAsia="宋体" w:cs="Times New Roman"/>
                <w:color w:val="auto"/>
                <w:sz w:val="21"/>
                <w:highlight w:val="none"/>
                <w:lang w:val="en-US" w:eastAsia="zh-CN"/>
              </w:rPr>
              <w:t xml:space="preserve"> 2.项目性能与安全要求</w:t>
            </w:r>
            <w:r>
              <w:rPr>
                <w:rFonts w:hint="eastAsia" w:ascii="宋体" w:hAnsi="宋体" w:eastAsia="宋体" w:cs="Times New Roman"/>
                <w:color w:val="auto"/>
                <w:sz w:val="21"/>
                <w:highlight w:val="none"/>
                <w:lang w:val="en-US"/>
              </w:rPr>
              <w:t>”内容，</w:t>
            </w:r>
            <w:r>
              <w:rPr>
                <w:rFonts w:hint="eastAsia" w:ascii="宋体" w:hAnsi="宋体" w:eastAsia="宋体" w:cs="Times New Roman"/>
                <w:color w:val="auto"/>
                <w:sz w:val="21"/>
                <w:lang w:val="en-US"/>
              </w:rPr>
              <w:t>针对项目</w:t>
            </w:r>
            <w:r>
              <w:rPr>
                <w:rFonts w:hint="eastAsia" w:ascii="宋体" w:hAnsi="宋体" w:eastAsia="宋体" w:cs="Times New Roman"/>
                <w:color w:val="auto"/>
                <w:sz w:val="21"/>
                <w:lang w:val="en-US" w:eastAsia="zh-CN"/>
              </w:rPr>
              <w:t>要求的</w:t>
            </w:r>
            <w:r>
              <w:rPr>
                <w:rFonts w:hint="eastAsia" w:ascii="宋体" w:hAnsi="宋体" w:eastAsia="宋体" w:cs="Times New Roman"/>
                <w:color w:val="auto"/>
                <w:sz w:val="21"/>
                <w:lang w:val="en-US"/>
              </w:rPr>
              <w:t>内容</w:t>
            </w:r>
            <w:r>
              <w:rPr>
                <w:rFonts w:hint="eastAsia" w:ascii="宋体" w:hAnsi="宋体" w:eastAsia="宋体" w:cs="Times New Roman"/>
                <w:color w:val="auto"/>
                <w:sz w:val="21"/>
                <w:lang w:val="en-US" w:eastAsia="zh-CN"/>
              </w:rPr>
              <w:t>、性能、</w:t>
            </w:r>
            <w:r>
              <w:rPr>
                <w:rFonts w:hint="eastAsia" w:ascii="宋体" w:hAnsi="宋体" w:eastAsia="宋体" w:cs="Times New Roman"/>
                <w:color w:val="auto"/>
                <w:sz w:val="21"/>
                <w:lang w:val="en-US"/>
              </w:rPr>
              <w:t>功能</w:t>
            </w:r>
            <w:r>
              <w:rPr>
                <w:rFonts w:hint="eastAsia" w:ascii="宋体" w:hAnsi="宋体" w:eastAsia="宋体" w:cs="Times New Roman"/>
                <w:color w:val="auto"/>
                <w:sz w:val="21"/>
                <w:lang w:val="en-US" w:eastAsia="zh-CN"/>
              </w:rPr>
              <w:t>等，</w:t>
            </w:r>
            <w:r>
              <w:rPr>
                <w:rFonts w:hint="eastAsia" w:ascii="宋体" w:hAnsi="宋体" w:eastAsia="宋体" w:cs="Times New Roman"/>
                <w:color w:val="auto"/>
                <w:sz w:val="21"/>
                <w:highlight w:val="none"/>
                <w:lang w:val="en-US"/>
              </w:rPr>
              <w:t>编制详细的</w:t>
            </w:r>
            <w:r>
              <w:rPr>
                <w:rFonts w:hint="eastAsia" w:ascii="宋体" w:hAnsi="宋体" w:eastAsia="宋体" w:cs="Times New Roman"/>
                <w:color w:val="auto"/>
                <w:sz w:val="21"/>
                <w:highlight w:val="none"/>
                <w:lang w:val="en-US" w:eastAsia="zh-CN"/>
              </w:rPr>
              <w:t>安全保障</w:t>
            </w:r>
            <w:r>
              <w:rPr>
                <w:rFonts w:hint="eastAsia" w:ascii="宋体" w:hAnsi="宋体" w:eastAsia="宋体" w:cs="Times New Roman"/>
                <w:color w:val="auto"/>
                <w:sz w:val="21"/>
                <w:highlight w:val="none"/>
                <w:lang w:val="en-US"/>
              </w:rPr>
              <w:t>方案</w:t>
            </w:r>
            <w:r>
              <w:rPr>
                <w:rFonts w:hint="eastAsia" w:ascii="宋体" w:hAnsi="宋体" w:eastAsia="宋体" w:cs="Times New Roman"/>
                <w:color w:val="auto"/>
                <w:sz w:val="21"/>
                <w:highlight w:val="none"/>
                <w:lang w:val="en-US" w:eastAsia="zh-CN"/>
              </w:rPr>
              <w:t>。</w:t>
            </w:r>
          </w:p>
          <w:p w14:paraId="665044E0">
            <w:pPr>
              <w:spacing w:line="440" w:lineRule="exact"/>
              <w:ind w:firstLine="420" w:firstLineChars="200"/>
              <w:jc w:val="both"/>
              <w:rPr>
                <w:rFonts w:hint="eastAsia" w:ascii="宋体" w:hAnsi="宋体" w:eastAsia="宋体" w:cs="Times New Roman"/>
                <w:color w:val="auto"/>
                <w:sz w:val="21"/>
                <w:highlight w:val="none"/>
                <w:lang w:val="en-US"/>
              </w:rPr>
            </w:pPr>
            <w:r>
              <w:rPr>
                <w:rFonts w:hint="eastAsia" w:ascii="宋体" w:hAnsi="宋体" w:eastAsia="宋体" w:cs="Times New Roman"/>
                <w:color w:val="auto"/>
                <w:sz w:val="21"/>
                <w:highlight w:val="none"/>
                <w:lang w:val="en-US"/>
              </w:rPr>
              <w:t>评审标准。</w:t>
            </w:r>
          </w:p>
          <w:p w14:paraId="3A127298">
            <w:pPr>
              <w:spacing w:line="440" w:lineRule="exact"/>
              <w:ind w:firstLine="420" w:firstLineChars="200"/>
              <w:jc w:val="both"/>
              <w:rPr>
                <w:rFonts w:hint="eastAsia" w:ascii="宋体" w:hAnsi="宋体" w:eastAsia="宋体" w:cs="Times New Roman"/>
                <w:color w:val="auto"/>
                <w:sz w:val="21"/>
                <w:lang w:val="en-US" w:eastAsia="zh-CN"/>
              </w:rPr>
            </w:pPr>
            <w:r>
              <w:rPr>
                <w:rFonts w:hint="eastAsia" w:ascii="宋体" w:hAnsi="宋体" w:eastAsia="宋体" w:cs="Times New Roman"/>
                <w:color w:val="auto"/>
                <w:sz w:val="21"/>
                <w:lang w:val="en-US" w:eastAsia="zh-CN"/>
              </w:rPr>
              <w:t>1、方案满足服务要求内容，无缺项漏项，内容完善、科学合理、可行性强得4分；</w:t>
            </w:r>
          </w:p>
          <w:p w14:paraId="2F2804D2">
            <w:pPr>
              <w:spacing w:line="440" w:lineRule="exact"/>
              <w:ind w:firstLine="420" w:firstLineChars="200"/>
              <w:jc w:val="both"/>
              <w:rPr>
                <w:rFonts w:hint="eastAsia" w:ascii="宋体" w:hAnsi="宋体" w:eastAsia="宋体" w:cs="Times New Roman"/>
                <w:color w:val="auto"/>
                <w:sz w:val="21"/>
                <w:lang w:val="en-US" w:eastAsia="zh-CN"/>
              </w:rPr>
            </w:pPr>
            <w:r>
              <w:rPr>
                <w:rFonts w:hint="eastAsia" w:ascii="宋体" w:hAnsi="宋体" w:eastAsia="宋体" w:cs="Times New Roman"/>
                <w:color w:val="auto"/>
                <w:sz w:val="21"/>
                <w:lang w:val="en-US" w:eastAsia="zh-CN"/>
              </w:rPr>
              <w:t xml:space="preserve">2、方案满足服务要求内容，无缺项漏项，内容较完善、有可行性得3分； </w:t>
            </w:r>
          </w:p>
          <w:p w14:paraId="2D4AEAF8">
            <w:pPr>
              <w:spacing w:line="440" w:lineRule="exact"/>
              <w:ind w:firstLine="420" w:firstLineChars="200"/>
              <w:jc w:val="both"/>
              <w:rPr>
                <w:rFonts w:hint="default" w:ascii="宋体" w:hAnsi="宋体" w:eastAsia="宋体" w:cs="Times New Roman"/>
                <w:color w:val="auto"/>
                <w:sz w:val="21"/>
                <w:lang w:val="en-US" w:eastAsia="zh-CN"/>
              </w:rPr>
            </w:pPr>
            <w:r>
              <w:rPr>
                <w:rFonts w:hint="eastAsia" w:ascii="宋体" w:hAnsi="宋体" w:eastAsia="宋体" w:cs="Times New Roman"/>
                <w:color w:val="auto"/>
                <w:sz w:val="21"/>
                <w:lang w:val="en-US" w:eastAsia="zh-CN"/>
              </w:rPr>
              <w:t>3、方案内容基本满足服务内容，无缺项漏项，内容简单，有一定的可行性的得2分。</w:t>
            </w:r>
          </w:p>
          <w:p w14:paraId="345E22CD">
            <w:pPr>
              <w:spacing w:line="440" w:lineRule="exact"/>
              <w:ind w:firstLine="420" w:firstLineChars="200"/>
              <w:jc w:val="both"/>
              <w:rPr>
                <w:rFonts w:ascii="宋体" w:hAnsi="宋体"/>
                <w:color w:val="FF0000"/>
                <w:szCs w:val="21"/>
                <w:highlight w:val="none"/>
              </w:rPr>
            </w:pPr>
            <w:r>
              <w:rPr>
                <w:rFonts w:hint="eastAsia" w:ascii="宋体" w:hAnsi="宋体" w:cs="Times New Roman"/>
                <w:color w:val="auto"/>
                <w:sz w:val="21"/>
                <w:lang w:val="en-US" w:eastAsia="zh-CN"/>
              </w:rPr>
              <w:t>4</w:t>
            </w:r>
            <w:r>
              <w:rPr>
                <w:rFonts w:hint="eastAsia" w:ascii="宋体" w:hAnsi="宋体" w:eastAsia="宋体" w:cs="Times New Roman"/>
                <w:color w:val="auto"/>
                <w:sz w:val="21"/>
                <w:lang w:val="en-US" w:eastAsia="zh-CN"/>
              </w:rPr>
              <w:t>、方案内容有缺项或漏项，内容简单或有缺失、可行性不强得1分。</w:t>
            </w:r>
          </w:p>
        </w:tc>
      </w:tr>
      <w:tr w14:paraId="675241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42" w:hRule="atLeast"/>
        </w:trPr>
        <w:tc>
          <w:tcPr>
            <w:tcW w:w="618" w:type="dxa"/>
            <w:vMerge w:val="continue"/>
            <w:tcBorders>
              <w:bottom w:val="single" w:color="auto" w:sz="4" w:space="0"/>
              <w:right w:val="single" w:color="auto" w:sz="4" w:space="0"/>
            </w:tcBorders>
            <w:vAlign w:val="center"/>
          </w:tcPr>
          <w:p w14:paraId="0325F4B4">
            <w:pPr>
              <w:spacing w:line="440" w:lineRule="exact"/>
              <w:jc w:val="center"/>
              <w:rPr>
                <w:rFonts w:ascii="宋体" w:hAnsi="宋体"/>
                <w:highlight w:val="none"/>
              </w:rPr>
            </w:pPr>
          </w:p>
        </w:tc>
        <w:tc>
          <w:tcPr>
            <w:tcW w:w="642" w:type="dxa"/>
            <w:vMerge w:val="continue"/>
            <w:tcBorders>
              <w:left w:val="single" w:color="auto" w:sz="4" w:space="0"/>
              <w:bottom w:val="single" w:color="auto" w:sz="4" w:space="0"/>
              <w:right w:val="single" w:color="auto" w:sz="4" w:space="0"/>
            </w:tcBorders>
            <w:vAlign w:val="center"/>
          </w:tcPr>
          <w:p w14:paraId="1C5720F5">
            <w:pPr>
              <w:spacing w:line="440" w:lineRule="exact"/>
              <w:jc w:val="center"/>
              <w:rPr>
                <w:rFonts w:ascii="宋体" w:hAnsi="宋体"/>
                <w:highlight w:val="none"/>
              </w:rPr>
            </w:pPr>
          </w:p>
        </w:tc>
        <w:tc>
          <w:tcPr>
            <w:tcW w:w="1583" w:type="dxa"/>
            <w:tcBorders>
              <w:top w:val="single" w:color="auto" w:sz="4" w:space="0"/>
              <w:left w:val="single" w:color="auto" w:sz="4" w:space="0"/>
              <w:right w:val="single" w:color="auto" w:sz="4" w:space="0"/>
            </w:tcBorders>
            <w:shd w:val="clear" w:color="auto" w:fill="auto"/>
            <w:vAlign w:val="center"/>
          </w:tcPr>
          <w:p w14:paraId="633D83CF">
            <w:pPr>
              <w:spacing w:line="440" w:lineRule="exact"/>
              <w:jc w:val="center"/>
              <w:rPr>
                <w:rFonts w:hint="default" w:ascii="宋体" w:hAnsi="宋体" w:eastAsia="宋体" w:cs="Times New Roman"/>
                <w:color w:val="FF0000"/>
                <w:kern w:val="2"/>
                <w:sz w:val="21"/>
                <w:szCs w:val="21"/>
                <w:highlight w:val="none"/>
                <w:lang w:val="en-US" w:eastAsia="zh-CN" w:bidi="ar-SA"/>
              </w:rPr>
            </w:pPr>
            <w:r>
              <w:rPr>
                <w:rFonts w:hint="eastAsia" w:ascii="宋体" w:hAnsi="宋体" w:cs="Times New Roman"/>
                <w:sz w:val="21"/>
                <w:szCs w:val="21"/>
                <w:lang w:val="en-US" w:eastAsia="zh-CN"/>
              </w:rPr>
              <w:t>培训</w:t>
            </w:r>
            <w:r>
              <w:rPr>
                <w:rFonts w:hint="eastAsia" w:ascii="宋体" w:hAnsi="宋体" w:eastAsia="宋体" w:cs="Times New Roman"/>
                <w:sz w:val="21"/>
                <w:szCs w:val="21"/>
                <w:lang w:val="en-US" w:eastAsia="zh-CN"/>
              </w:rPr>
              <w:t>方案</w:t>
            </w:r>
          </w:p>
        </w:tc>
        <w:tc>
          <w:tcPr>
            <w:tcW w:w="701" w:type="dxa"/>
            <w:tcBorders>
              <w:top w:val="single" w:color="auto" w:sz="4" w:space="0"/>
              <w:left w:val="single" w:color="auto" w:sz="4" w:space="0"/>
              <w:right w:val="single" w:color="auto" w:sz="4" w:space="0"/>
            </w:tcBorders>
            <w:shd w:val="clear" w:color="auto" w:fill="auto"/>
            <w:vAlign w:val="center"/>
          </w:tcPr>
          <w:p w14:paraId="02F2BEF9">
            <w:pPr>
              <w:spacing w:line="440" w:lineRule="exact"/>
              <w:jc w:val="center"/>
              <w:rPr>
                <w:rFonts w:hint="default" w:ascii="宋体" w:hAnsi="宋体" w:eastAsia="宋体" w:cs="Times New Roman"/>
                <w:color w:val="FF0000"/>
                <w:kern w:val="2"/>
                <w:sz w:val="21"/>
                <w:szCs w:val="21"/>
                <w:highlight w:val="none"/>
                <w:lang w:val="en-US" w:eastAsia="zh-CN" w:bidi="ar-SA"/>
              </w:rPr>
            </w:pPr>
            <w:r>
              <w:rPr>
                <w:rFonts w:hint="eastAsia" w:ascii="宋体" w:hAnsi="宋体"/>
                <w:color w:val="auto"/>
                <w:highlight w:val="none"/>
                <w:lang w:val="en-US" w:eastAsia="zh-CN"/>
              </w:rPr>
              <w:t>3</w:t>
            </w:r>
          </w:p>
        </w:tc>
        <w:tc>
          <w:tcPr>
            <w:tcW w:w="4736" w:type="dxa"/>
            <w:tcBorders>
              <w:top w:val="single" w:color="auto" w:sz="4" w:space="0"/>
              <w:left w:val="single" w:color="auto" w:sz="4" w:space="0"/>
              <w:right w:val="single" w:color="auto" w:sz="4" w:space="0"/>
            </w:tcBorders>
            <w:shd w:val="clear" w:color="auto" w:fill="auto"/>
            <w:vAlign w:val="center"/>
          </w:tcPr>
          <w:p w14:paraId="783C4733">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ascii="宋体" w:hAnsi="宋体"/>
                <w:color w:val="auto"/>
                <w:szCs w:val="21"/>
                <w:highlight w:val="none"/>
              </w:rPr>
            </w:pPr>
            <w:r>
              <w:rPr>
                <w:rFonts w:hint="eastAsia" w:ascii="宋体" w:hAnsi="宋体" w:eastAsia="宋体" w:cs="Times New Roman"/>
                <w:color w:val="auto"/>
                <w:sz w:val="21"/>
                <w:lang w:val="en-US"/>
              </w:rPr>
              <w:t>根据第五章</w:t>
            </w:r>
            <w:r>
              <w:rPr>
                <w:rFonts w:hint="eastAsia" w:ascii="宋体" w:hAnsi="宋体" w:eastAsia="宋体" w:cs="Times New Roman"/>
                <w:color w:val="auto"/>
                <w:sz w:val="21"/>
                <w:lang w:val="en-US" w:eastAsia="zh-CN"/>
              </w:rPr>
              <w:t>“</w:t>
            </w:r>
            <w:r>
              <w:rPr>
                <w:rFonts w:hint="eastAsia" w:ascii="宋体" w:hAnsi="宋体" w:eastAsia="宋体" w:cs="Times New Roman"/>
                <w:color w:val="auto"/>
                <w:sz w:val="21"/>
                <w:lang w:val="en-US"/>
              </w:rPr>
              <w:t>三、招标内容及技术要求</w:t>
            </w:r>
            <w:r>
              <w:rPr>
                <w:rFonts w:hint="eastAsia" w:ascii="宋体" w:hAnsi="宋体" w:eastAsia="宋体" w:cs="Times New Roman"/>
                <w:color w:val="auto"/>
                <w:sz w:val="21"/>
                <w:lang w:val="en-US" w:eastAsia="zh-CN"/>
              </w:rPr>
              <w:t xml:space="preserve"> （五）其他要求及需求 3.培训需求</w:t>
            </w:r>
            <w:r>
              <w:rPr>
                <w:rFonts w:hint="eastAsia" w:ascii="宋体" w:hAnsi="宋体" w:eastAsia="宋体" w:cs="Times New Roman"/>
                <w:color w:val="auto"/>
                <w:sz w:val="21"/>
                <w:lang w:val="en-US"/>
              </w:rPr>
              <w:t>”</w:t>
            </w:r>
            <w:r>
              <w:rPr>
                <w:rFonts w:hint="eastAsia" w:ascii="宋体" w:hAnsi="宋体" w:eastAsia="宋体" w:cs="Times New Roman"/>
                <w:color w:val="auto"/>
                <w:sz w:val="21"/>
                <w:lang w:val="en-US" w:eastAsia="zh-CN"/>
              </w:rPr>
              <w:t>内容</w:t>
            </w:r>
            <w:r>
              <w:rPr>
                <w:rFonts w:hint="eastAsia" w:ascii="宋体" w:hAnsi="宋体" w:eastAsia="宋体" w:cs="Times New Roman"/>
                <w:color w:val="auto"/>
                <w:sz w:val="21"/>
                <w:lang w:val="en-US"/>
              </w:rPr>
              <w:t>，针对项目</w:t>
            </w:r>
            <w:r>
              <w:rPr>
                <w:rFonts w:hint="eastAsia" w:ascii="宋体" w:hAnsi="宋体" w:eastAsia="宋体" w:cs="Times New Roman"/>
                <w:color w:val="auto"/>
                <w:sz w:val="21"/>
                <w:lang w:val="en-US" w:eastAsia="zh-CN"/>
              </w:rPr>
              <w:t>要求的</w:t>
            </w:r>
            <w:r>
              <w:rPr>
                <w:rFonts w:hint="eastAsia" w:ascii="宋体" w:hAnsi="宋体" w:eastAsia="宋体" w:cs="Times New Roman"/>
                <w:color w:val="auto"/>
                <w:sz w:val="21"/>
                <w:lang w:val="en-US"/>
              </w:rPr>
              <w:t>内容</w:t>
            </w:r>
            <w:r>
              <w:rPr>
                <w:rFonts w:hint="eastAsia" w:ascii="宋体" w:hAnsi="宋体" w:eastAsia="宋体" w:cs="Times New Roman"/>
                <w:color w:val="auto"/>
                <w:sz w:val="21"/>
                <w:lang w:val="en-US" w:eastAsia="zh-CN"/>
              </w:rPr>
              <w:t>、性能、</w:t>
            </w:r>
            <w:r>
              <w:rPr>
                <w:rFonts w:hint="eastAsia" w:ascii="宋体" w:hAnsi="宋体" w:eastAsia="宋体" w:cs="Times New Roman"/>
                <w:color w:val="auto"/>
                <w:sz w:val="21"/>
                <w:lang w:val="en-US"/>
              </w:rPr>
              <w:t>功能</w:t>
            </w:r>
            <w:r>
              <w:rPr>
                <w:rFonts w:hint="eastAsia" w:ascii="宋体" w:hAnsi="宋体" w:eastAsia="宋体" w:cs="Times New Roman"/>
                <w:color w:val="auto"/>
                <w:sz w:val="21"/>
                <w:lang w:val="en-US" w:eastAsia="zh-CN"/>
              </w:rPr>
              <w:t>等，制订科学可行的</w:t>
            </w:r>
            <w:r>
              <w:rPr>
                <w:rFonts w:hint="eastAsia" w:ascii="宋体" w:hAnsi="宋体" w:eastAsia="宋体" w:cs="Times New Roman"/>
                <w:color w:val="auto"/>
                <w:sz w:val="21"/>
                <w:lang w:val="en-US"/>
              </w:rPr>
              <w:t>详细</w:t>
            </w:r>
            <w:r>
              <w:rPr>
                <w:rFonts w:hint="eastAsia" w:ascii="宋体" w:hAnsi="宋体" w:eastAsia="宋体" w:cs="Times New Roman"/>
                <w:color w:val="auto"/>
                <w:sz w:val="21"/>
                <w:lang w:val="en-US" w:eastAsia="zh-CN"/>
              </w:rPr>
              <w:t>的培训方案</w:t>
            </w:r>
            <w:r>
              <w:rPr>
                <w:rFonts w:hint="eastAsia" w:ascii="宋体" w:hAnsi="宋体" w:eastAsia="宋体" w:cs="Times New Roman"/>
                <w:color w:val="auto"/>
                <w:sz w:val="21"/>
                <w:lang w:val="en-US"/>
              </w:rPr>
              <w:t>。</w:t>
            </w:r>
          </w:p>
          <w:p w14:paraId="73BB029D">
            <w:pPr>
              <w:spacing w:line="440" w:lineRule="exact"/>
              <w:ind w:firstLine="420" w:firstLineChars="200"/>
              <w:jc w:val="left"/>
              <w:rPr>
                <w:rFonts w:ascii="宋体" w:hAnsi="宋体"/>
                <w:color w:val="auto"/>
                <w:szCs w:val="21"/>
                <w:highlight w:val="none"/>
              </w:rPr>
            </w:pPr>
            <w:r>
              <w:rPr>
                <w:rFonts w:hint="eastAsia" w:ascii="宋体" w:hAnsi="宋体"/>
                <w:color w:val="auto"/>
                <w:szCs w:val="21"/>
                <w:highlight w:val="none"/>
              </w:rPr>
              <w:t>评审标准：</w:t>
            </w:r>
          </w:p>
          <w:p w14:paraId="13853B31">
            <w:pPr>
              <w:spacing w:line="440" w:lineRule="exact"/>
              <w:ind w:firstLine="420" w:firstLineChars="200"/>
              <w:rPr>
                <w:rFonts w:hint="eastAsia"/>
                <w:color w:val="auto"/>
                <w:highlight w:val="none"/>
                <w:u w:val="none"/>
                <w:lang w:val="en-US" w:eastAsia="zh-CN"/>
              </w:rPr>
            </w:pPr>
            <w:r>
              <w:rPr>
                <w:rFonts w:hint="eastAsia"/>
                <w:color w:val="auto"/>
                <w:highlight w:val="none"/>
                <w:lang w:val="en-US" w:eastAsia="zh-CN"/>
              </w:rPr>
              <w:t>1、方案满足服务要求内容，无缺项漏项，内容完善、科学合理、可行性强</w:t>
            </w:r>
            <w:r>
              <w:rPr>
                <w:rFonts w:hint="eastAsia"/>
                <w:color w:val="auto"/>
                <w:highlight w:val="none"/>
                <w:u w:val="none"/>
                <w:lang w:val="en-US" w:eastAsia="zh-CN"/>
              </w:rPr>
              <w:t>得3分；</w:t>
            </w:r>
          </w:p>
          <w:p w14:paraId="027E4A55">
            <w:pPr>
              <w:spacing w:line="440" w:lineRule="exact"/>
              <w:ind w:firstLine="420" w:firstLineChars="200"/>
              <w:rPr>
                <w:rFonts w:hint="eastAsia"/>
                <w:color w:val="auto"/>
                <w:highlight w:val="none"/>
                <w:u w:val="none"/>
                <w:lang w:val="en-US" w:eastAsia="zh-CN"/>
              </w:rPr>
            </w:pPr>
            <w:r>
              <w:rPr>
                <w:rFonts w:hint="eastAsia"/>
                <w:color w:val="auto"/>
                <w:highlight w:val="none"/>
                <w:u w:val="none"/>
                <w:lang w:val="en-US" w:eastAsia="zh-CN"/>
              </w:rPr>
              <w:t xml:space="preserve">2、方案满足服务要求内容，无缺项漏项，内容较完善、有可行性得2分； </w:t>
            </w:r>
          </w:p>
          <w:p w14:paraId="6FA6D586">
            <w:pPr>
              <w:spacing w:line="440" w:lineRule="exact"/>
              <w:ind w:firstLine="420" w:firstLineChars="200"/>
              <w:jc w:val="left"/>
              <w:rPr>
                <w:rFonts w:hint="eastAsia" w:ascii="宋体" w:hAnsi="宋体" w:eastAsia="宋体" w:cs="Times New Roman"/>
                <w:color w:val="FF0000"/>
                <w:kern w:val="2"/>
                <w:sz w:val="21"/>
                <w:szCs w:val="21"/>
                <w:highlight w:val="none"/>
                <w:lang w:val="en-US" w:eastAsia="zh-CN" w:bidi="ar-SA"/>
              </w:rPr>
            </w:pPr>
            <w:r>
              <w:rPr>
                <w:rFonts w:hint="eastAsia"/>
                <w:color w:val="auto"/>
                <w:highlight w:val="none"/>
                <w:u w:val="none"/>
                <w:lang w:val="en-US" w:eastAsia="zh-CN"/>
              </w:rPr>
              <w:t>3、方案内容有缺项或漏项，内容简单、可行性不强得1分。</w:t>
            </w:r>
          </w:p>
        </w:tc>
      </w:tr>
      <w:tr w14:paraId="38ACA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1260" w:type="dxa"/>
            <w:gridSpan w:val="2"/>
            <w:tcBorders>
              <w:top w:val="single" w:color="auto" w:sz="4" w:space="0"/>
              <w:left w:val="single" w:color="auto" w:sz="4" w:space="0"/>
              <w:bottom w:val="single" w:color="auto" w:sz="4" w:space="0"/>
              <w:right w:val="single" w:color="auto" w:sz="4" w:space="0"/>
            </w:tcBorders>
          </w:tcPr>
          <w:p w14:paraId="1062E1E2">
            <w:pPr>
              <w:spacing w:line="440" w:lineRule="exact"/>
              <w:ind w:right="-134" w:rightChars="-64"/>
              <w:jc w:val="center"/>
              <w:rPr>
                <w:rFonts w:ascii="宋体" w:hAnsi="宋体"/>
                <w:b/>
                <w:szCs w:val="21"/>
                <w:highlight w:val="none"/>
              </w:rPr>
            </w:pPr>
            <w:r>
              <w:rPr>
                <w:rFonts w:hint="eastAsia" w:ascii="宋体" w:hAnsi="宋体"/>
                <w:b/>
                <w:sz w:val="20"/>
                <w:szCs w:val="20"/>
                <w:highlight w:val="none"/>
              </w:rPr>
              <w:t>条款号</w:t>
            </w:r>
          </w:p>
        </w:tc>
        <w:tc>
          <w:tcPr>
            <w:tcW w:w="1583" w:type="dxa"/>
            <w:tcBorders>
              <w:top w:val="single" w:color="auto" w:sz="4" w:space="0"/>
              <w:left w:val="single" w:color="auto" w:sz="4" w:space="0"/>
              <w:bottom w:val="single" w:color="auto" w:sz="4" w:space="0"/>
              <w:right w:val="single" w:color="auto" w:sz="4" w:space="0"/>
            </w:tcBorders>
            <w:vAlign w:val="center"/>
          </w:tcPr>
          <w:p w14:paraId="153AD2A9">
            <w:pPr>
              <w:spacing w:line="440" w:lineRule="exact"/>
              <w:jc w:val="center"/>
              <w:rPr>
                <w:rFonts w:ascii="宋体" w:hAnsi="宋体"/>
                <w:b/>
                <w:szCs w:val="21"/>
                <w:highlight w:val="none"/>
              </w:rPr>
            </w:pPr>
            <w:r>
              <w:rPr>
                <w:rFonts w:hint="eastAsia" w:ascii="宋体" w:hAnsi="宋体"/>
                <w:b/>
                <w:szCs w:val="21"/>
                <w:highlight w:val="none"/>
              </w:rPr>
              <w:t>条款内容</w:t>
            </w:r>
          </w:p>
        </w:tc>
        <w:tc>
          <w:tcPr>
            <w:tcW w:w="5437" w:type="dxa"/>
            <w:gridSpan w:val="2"/>
            <w:tcBorders>
              <w:top w:val="single" w:color="auto" w:sz="4" w:space="0"/>
              <w:left w:val="single" w:color="auto" w:sz="4" w:space="0"/>
              <w:bottom w:val="single" w:color="auto" w:sz="4" w:space="0"/>
              <w:right w:val="single" w:color="auto" w:sz="4" w:space="0"/>
            </w:tcBorders>
            <w:vAlign w:val="center"/>
          </w:tcPr>
          <w:p w14:paraId="7547BB1C">
            <w:pPr>
              <w:spacing w:line="440" w:lineRule="exact"/>
              <w:jc w:val="center"/>
              <w:rPr>
                <w:rFonts w:ascii="宋体" w:hAnsi="宋体"/>
                <w:b/>
                <w:szCs w:val="21"/>
                <w:highlight w:val="none"/>
              </w:rPr>
            </w:pPr>
            <w:r>
              <w:rPr>
                <w:rFonts w:hint="eastAsia" w:ascii="宋体" w:hAnsi="宋体"/>
                <w:b/>
                <w:szCs w:val="21"/>
                <w:highlight w:val="none"/>
              </w:rPr>
              <w:t>编列内容</w:t>
            </w:r>
          </w:p>
        </w:tc>
      </w:tr>
      <w:tr w14:paraId="4EE02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9" w:hRule="atLeast"/>
        </w:trPr>
        <w:tc>
          <w:tcPr>
            <w:tcW w:w="1260" w:type="dxa"/>
            <w:gridSpan w:val="2"/>
            <w:tcBorders>
              <w:top w:val="single" w:color="auto" w:sz="4" w:space="0"/>
              <w:left w:val="single" w:color="auto" w:sz="4" w:space="0"/>
              <w:bottom w:val="single" w:color="auto" w:sz="4" w:space="0"/>
              <w:right w:val="single" w:color="auto" w:sz="4" w:space="0"/>
            </w:tcBorders>
            <w:vAlign w:val="center"/>
          </w:tcPr>
          <w:p w14:paraId="378D28E0">
            <w:pPr>
              <w:spacing w:line="440" w:lineRule="exact"/>
              <w:jc w:val="center"/>
              <w:rPr>
                <w:rFonts w:ascii="宋体" w:hAnsi="宋体"/>
                <w:szCs w:val="21"/>
                <w:highlight w:val="none"/>
              </w:rPr>
            </w:pPr>
            <w:r>
              <w:rPr>
                <w:rFonts w:hint="eastAsia" w:ascii="宋体" w:hAnsi="宋体"/>
                <w:szCs w:val="21"/>
                <w:highlight w:val="none"/>
              </w:rPr>
              <w:t>3.4.2</w:t>
            </w:r>
          </w:p>
        </w:tc>
        <w:tc>
          <w:tcPr>
            <w:tcW w:w="1583" w:type="dxa"/>
            <w:tcBorders>
              <w:top w:val="single" w:color="auto" w:sz="4" w:space="0"/>
              <w:left w:val="single" w:color="auto" w:sz="4" w:space="0"/>
              <w:bottom w:val="single" w:color="auto" w:sz="4" w:space="0"/>
              <w:right w:val="single" w:color="auto" w:sz="4" w:space="0"/>
            </w:tcBorders>
            <w:vAlign w:val="center"/>
          </w:tcPr>
          <w:p w14:paraId="4252E2B9">
            <w:pPr>
              <w:spacing w:line="440" w:lineRule="exact"/>
              <w:jc w:val="center"/>
              <w:rPr>
                <w:rFonts w:ascii="宋体" w:hAnsi="宋体"/>
                <w:szCs w:val="21"/>
                <w:highlight w:val="none"/>
              </w:rPr>
            </w:pPr>
            <w:r>
              <w:rPr>
                <w:rFonts w:hint="eastAsia" w:ascii="宋体" w:hAnsi="宋体"/>
                <w:szCs w:val="21"/>
                <w:highlight w:val="none"/>
              </w:rPr>
              <w:t>评标报告</w:t>
            </w:r>
          </w:p>
          <w:p w14:paraId="348181E4">
            <w:pPr>
              <w:spacing w:line="440" w:lineRule="exact"/>
              <w:jc w:val="center"/>
              <w:rPr>
                <w:rFonts w:ascii="宋体" w:hAnsi="宋体"/>
                <w:szCs w:val="21"/>
                <w:highlight w:val="none"/>
              </w:rPr>
            </w:pPr>
            <w:r>
              <w:rPr>
                <w:rFonts w:hint="eastAsia" w:ascii="宋体" w:hAnsi="宋体"/>
                <w:szCs w:val="21"/>
                <w:highlight w:val="none"/>
              </w:rPr>
              <w:t>（样本）</w:t>
            </w:r>
          </w:p>
        </w:tc>
        <w:tc>
          <w:tcPr>
            <w:tcW w:w="5437" w:type="dxa"/>
            <w:gridSpan w:val="2"/>
            <w:tcBorders>
              <w:top w:val="single" w:color="auto" w:sz="4" w:space="0"/>
              <w:left w:val="single" w:color="auto" w:sz="4" w:space="0"/>
              <w:bottom w:val="single" w:color="auto" w:sz="4" w:space="0"/>
              <w:right w:val="single" w:color="auto" w:sz="4" w:space="0"/>
            </w:tcBorders>
            <w:vAlign w:val="center"/>
          </w:tcPr>
          <w:p w14:paraId="0CD74E15">
            <w:pPr>
              <w:spacing w:line="440" w:lineRule="exact"/>
              <w:jc w:val="center"/>
              <w:rPr>
                <w:rFonts w:ascii="宋体" w:hAnsi="宋体"/>
                <w:szCs w:val="21"/>
                <w:highlight w:val="none"/>
              </w:rPr>
            </w:pPr>
            <w:r>
              <w:rPr>
                <w:rFonts w:hint="eastAsia" w:ascii="宋体" w:hAnsi="宋体"/>
                <w:szCs w:val="21"/>
                <w:highlight w:val="none"/>
              </w:rPr>
              <w:t>评标委员会应参照评标报告样本编制评标报告。</w:t>
            </w:r>
          </w:p>
          <w:p w14:paraId="5D48522D">
            <w:pPr>
              <w:spacing w:line="440" w:lineRule="exact"/>
              <w:jc w:val="center"/>
              <w:rPr>
                <w:rFonts w:ascii="宋体" w:hAnsi="宋体"/>
                <w:szCs w:val="21"/>
                <w:highlight w:val="none"/>
              </w:rPr>
            </w:pPr>
            <w:r>
              <w:rPr>
                <w:rFonts w:hint="eastAsia" w:ascii="宋体" w:hAnsi="宋体"/>
                <w:szCs w:val="21"/>
                <w:highlight w:val="none"/>
              </w:rPr>
              <w:t>内容详见本章附件B：评标报告（样本）</w:t>
            </w:r>
          </w:p>
        </w:tc>
      </w:tr>
    </w:tbl>
    <w:p w14:paraId="71735206">
      <w:pPr>
        <w:spacing w:line="400" w:lineRule="exact"/>
        <w:rPr>
          <w:rFonts w:ascii="宋体" w:hAnsi="宋体"/>
          <w:highlight w:val="none"/>
        </w:rPr>
      </w:pPr>
    </w:p>
    <w:p w14:paraId="6A97DE57">
      <w:pPr>
        <w:spacing w:line="400" w:lineRule="exact"/>
        <w:rPr>
          <w:rFonts w:ascii="宋体" w:hAnsi="宋体"/>
          <w:highlight w:val="none"/>
        </w:rPr>
      </w:pPr>
    </w:p>
    <w:p w14:paraId="2B985717">
      <w:pPr>
        <w:pStyle w:val="3"/>
        <w:outlineLvl w:val="1"/>
        <w:rPr>
          <w:rFonts w:ascii="宋体" w:hAnsi="宋体" w:eastAsia="宋体"/>
          <w:highlight w:val="none"/>
        </w:rPr>
      </w:pPr>
      <w:bookmarkStart w:id="562" w:name="_Toc246996986"/>
      <w:bookmarkStart w:id="563" w:name="_Toc338840493"/>
      <w:bookmarkStart w:id="564" w:name="_Toc144974567"/>
      <w:bookmarkStart w:id="565" w:name="_Toc247085758"/>
      <w:bookmarkStart w:id="566" w:name="_Toc179632618"/>
      <w:bookmarkStart w:id="567" w:name="_Toc346523477"/>
      <w:bookmarkStart w:id="568" w:name="_Toc338840454"/>
      <w:bookmarkStart w:id="569" w:name="_Toc246996243"/>
      <w:bookmarkStart w:id="570" w:name="_Toc346523414"/>
      <w:bookmarkStart w:id="571" w:name="_Toc338840239"/>
      <w:bookmarkStart w:id="572" w:name="_Toc152042377"/>
      <w:bookmarkStart w:id="573" w:name="_Toc494526412"/>
      <w:bookmarkStart w:id="574" w:name="_Toc152045600"/>
      <w:bookmarkStart w:id="575" w:name="_Toc494093440"/>
      <w:r>
        <w:rPr>
          <w:rFonts w:hint="eastAsia" w:ascii="宋体" w:hAnsi="宋体" w:eastAsia="宋体"/>
          <w:highlight w:val="none"/>
        </w:rPr>
        <w:br w:type="page"/>
      </w:r>
      <w:bookmarkStart w:id="576" w:name="_Toc25996"/>
      <w:bookmarkStart w:id="577" w:name="_Toc5999"/>
      <w:bookmarkStart w:id="578" w:name="_Toc8134"/>
      <w:bookmarkStart w:id="579" w:name="_Toc30330"/>
      <w:bookmarkStart w:id="580" w:name="_Toc5190"/>
      <w:bookmarkStart w:id="581" w:name="_Toc9899"/>
      <w:r>
        <w:rPr>
          <w:rFonts w:hint="eastAsia" w:ascii="宋体" w:hAnsi="宋体" w:eastAsia="宋体"/>
          <w:highlight w:val="none"/>
        </w:rPr>
        <w:t>1. 评标方法</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14:paraId="7D8DFBAD">
      <w:pPr>
        <w:spacing w:line="400" w:lineRule="exact"/>
        <w:ind w:firstLine="420" w:firstLineChars="200"/>
        <w:rPr>
          <w:rFonts w:ascii="宋体" w:hAnsi="宋体"/>
          <w:highlight w:val="none"/>
        </w:rPr>
      </w:pPr>
      <w:r>
        <w:rPr>
          <w:rFonts w:hint="eastAsia" w:ascii="宋体" w:hAnsi="宋体"/>
          <w:highlight w:val="none"/>
        </w:rPr>
        <w:t>本次评标采用的评标方法见评标办法前附表。投标文件是评委评审的直接依据，评标委员会按照公平、公正、科学、择优的评标原则，对满足招标文件实质性要求的投标文件，按照本章有关规定进行评审，并推荐中标候选人，或根据采购人授权直接确定中标人，但投标报价低于其成本的除外。</w:t>
      </w:r>
    </w:p>
    <w:p w14:paraId="7F574DD1">
      <w:pPr>
        <w:pStyle w:val="3"/>
        <w:outlineLvl w:val="1"/>
        <w:rPr>
          <w:rFonts w:ascii="宋体" w:hAnsi="宋体" w:eastAsia="宋体"/>
          <w:highlight w:val="none"/>
        </w:rPr>
      </w:pPr>
      <w:bookmarkStart w:id="582" w:name="_Toc508"/>
      <w:bookmarkStart w:id="583" w:name="_Toc338840494"/>
      <w:bookmarkStart w:id="584" w:name="_Toc152042378"/>
      <w:bookmarkStart w:id="585" w:name="_Toc346523478"/>
      <w:bookmarkStart w:id="586" w:name="_Toc179632619"/>
      <w:bookmarkStart w:id="587" w:name="_Toc152045601"/>
      <w:bookmarkStart w:id="588" w:name="_Toc26043"/>
      <w:bookmarkStart w:id="589" w:name="_Toc494093441"/>
      <w:bookmarkStart w:id="590" w:name="_Toc346523415"/>
      <w:bookmarkStart w:id="591" w:name="_Toc5539"/>
      <w:bookmarkStart w:id="592" w:name="_Toc338840455"/>
      <w:bookmarkStart w:id="593" w:name="_Toc144974568"/>
      <w:bookmarkStart w:id="594" w:name="_Toc246996244"/>
      <w:bookmarkStart w:id="595" w:name="_Toc338840240"/>
      <w:bookmarkStart w:id="596" w:name="_Toc27676"/>
      <w:bookmarkStart w:id="597" w:name="_Toc247085759"/>
      <w:bookmarkStart w:id="598" w:name="_Toc246996987"/>
      <w:bookmarkStart w:id="599" w:name="_Toc494526413"/>
      <w:bookmarkStart w:id="600" w:name="_Toc25915"/>
      <w:bookmarkStart w:id="601" w:name="_Toc10387"/>
      <w:r>
        <w:rPr>
          <w:rFonts w:hint="eastAsia" w:ascii="宋体" w:hAnsi="宋体" w:eastAsia="宋体"/>
          <w:highlight w:val="none"/>
        </w:rPr>
        <w:t>2. 评审标准</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14:paraId="338BDFE7">
      <w:pPr>
        <w:pStyle w:val="4"/>
        <w:outlineLvl w:val="2"/>
        <w:rPr>
          <w:rFonts w:ascii="宋体" w:hAnsi="宋体"/>
          <w:highlight w:val="none"/>
        </w:rPr>
      </w:pPr>
      <w:bookmarkStart w:id="602" w:name="_Toc338840241"/>
      <w:bookmarkStart w:id="603" w:name="_Toc247085760"/>
      <w:bookmarkStart w:id="604" w:name="_Toc246996245"/>
      <w:bookmarkStart w:id="605" w:name="_Toc152042379"/>
      <w:bookmarkStart w:id="606" w:name="_Toc144974569"/>
      <w:bookmarkStart w:id="607" w:name="_Toc152045602"/>
      <w:bookmarkStart w:id="608" w:name="_Toc179632620"/>
      <w:bookmarkStart w:id="609" w:name="_Toc246996988"/>
      <w:r>
        <w:rPr>
          <w:rFonts w:hint="eastAsia" w:ascii="宋体" w:hAnsi="宋体"/>
          <w:highlight w:val="none"/>
        </w:rPr>
        <w:t>2.1 初步评审标准</w:t>
      </w:r>
      <w:bookmarkEnd w:id="602"/>
      <w:bookmarkEnd w:id="603"/>
      <w:bookmarkEnd w:id="604"/>
      <w:bookmarkEnd w:id="605"/>
      <w:bookmarkEnd w:id="606"/>
      <w:bookmarkEnd w:id="607"/>
      <w:bookmarkEnd w:id="608"/>
      <w:bookmarkEnd w:id="609"/>
    </w:p>
    <w:p w14:paraId="001D961E">
      <w:pPr>
        <w:spacing w:line="400" w:lineRule="exact"/>
        <w:ind w:firstLine="420" w:firstLineChars="200"/>
        <w:rPr>
          <w:rFonts w:ascii="宋体" w:hAnsi="宋体"/>
          <w:highlight w:val="none"/>
        </w:rPr>
      </w:pPr>
      <w:r>
        <w:rPr>
          <w:rFonts w:hint="eastAsia" w:ascii="宋体" w:hAnsi="宋体"/>
          <w:highlight w:val="none"/>
        </w:rPr>
        <w:t>2.1.1资格审查：见评标办法前附表。</w:t>
      </w:r>
    </w:p>
    <w:p w14:paraId="67F5E455">
      <w:pPr>
        <w:spacing w:line="400" w:lineRule="exact"/>
        <w:ind w:firstLine="420" w:firstLineChars="200"/>
        <w:rPr>
          <w:rFonts w:ascii="宋体" w:hAnsi="宋体"/>
          <w:highlight w:val="none"/>
        </w:rPr>
      </w:pPr>
      <w:r>
        <w:rPr>
          <w:rFonts w:hint="eastAsia" w:ascii="宋体" w:hAnsi="宋体"/>
          <w:highlight w:val="none"/>
        </w:rPr>
        <w:t>2.1.2符合性审查：见评标办法前附表。</w:t>
      </w:r>
    </w:p>
    <w:p w14:paraId="2BF92689">
      <w:pPr>
        <w:pStyle w:val="4"/>
        <w:outlineLvl w:val="2"/>
        <w:rPr>
          <w:rFonts w:ascii="宋体" w:hAnsi="宋体"/>
          <w:highlight w:val="none"/>
        </w:rPr>
      </w:pPr>
      <w:r>
        <w:rPr>
          <w:rFonts w:hint="eastAsia" w:ascii="宋体" w:hAnsi="宋体"/>
          <w:highlight w:val="none"/>
        </w:rPr>
        <w:t>2.2 详细评审标准（分值构成和评分标准）</w:t>
      </w:r>
    </w:p>
    <w:p w14:paraId="0C18425B">
      <w:pPr>
        <w:spacing w:line="400" w:lineRule="exact"/>
        <w:ind w:firstLine="420" w:firstLineChars="200"/>
        <w:outlineLvl w:val="3"/>
        <w:rPr>
          <w:rFonts w:ascii="宋体" w:hAnsi="宋体"/>
          <w:highlight w:val="none"/>
        </w:rPr>
      </w:pPr>
      <w:r>
        <w:rPr>
          <w:rFonts w:hint="eastAsia" w:ascii="宋体" w:hAnsi="宋体"/>
          <w:highlight w:val="none"/>
        </w:rPr>
        <w:t>2.2.1分值构成：见评标办法前附表。</w:t>
      </w:r>
    </w:p>
    <w:p w14:paraId="0754B16A">
      <w:pPr>
        <w:spacing w:line="400" w:lineRule="exact"/>
        <w:ind w:firstLine="420" w:firstLineChars="200"/>
        <w:rPr>
          <w:rFonts w:ascii="宋体" w:hAnsi="宋体"/>
          <w:highlight w:val="none"/>
        </w:rPr>
      </w:pPr>
      <w:r>
        <w:rPr>
          <w:rFonts w:hint="eastAsia" w:ascii="宋体" w:hAnsi="宋体"/>
          <w:highlight w:val="none"/>
        </w:rPr>
        <w:t>2.2.2</w:t>
      </w:r>
      <w:r>
        <w:rPr>
          <w:rFonts w:hint="eastAsia" w:ascii="宋体" w:hAnsi="宋体" w:cs="宋体"/>
          <w:szCs w:val="21"/>
          <w:highlight w:val="none"/>
        </w:rPr>
        <w:t>小型微型企业、监狱企业、残疾人福利性单位</w:t>
      </w:r>
      <w:r>
        <w:rPr>
          <w:rFonts w:hint="eastAsia" w:ascii="宋体" w:hAnsi="宋体"/>
          <w:highlight w:val="none"/>
        </w:rPr>
        <w:t>：见评标办法前附表。</w:t>
      </w:r>
    </w:p>
    <w:p w14:paraId="6AE36D93">
      <w:pPr>
        <w:spacing w:line="400" w:lineRule="exact"/>
        <w:ind w:firstLine="420" w:firstLineChars="200"/>
        <w:rPr>
          <w:rFonts w:ascii="宋体" w:hAnsi="宋体"/>
          <w:highlight w:val="none"/>
        </w:rPr>
      </w:pPr>
      <w:r>
        <w:rPr>
          <w:rFonts w:hint="eastAsia" w:ascii="宋体" w:hAnsi="宋体"/>
          <w:highlight w:val="none"/>
        </w:rPr>
        <w:t>2.2.3投标报价：见评标办法前附表。</w:t>
      </w:r>
    </w:p>
    <w:p w14:paraId="707B5566">
      <w:pPr>
        <w:spacing w:line="400" w:lineRule="exact"/>
        <w:ind w:firstLine="420" w:firstLineChars="200"/>
        <w:rPr>
          <w:rFonts w:ascii="宋体" w:hAnsi="宋体"/>
          <w:highlight w:val="none"/>
        </w:rPr>
      </w:pPr>
      <w:r>
        <w:rPr>
          <w:rFonts w:hint="eastAsia" w:ascii="宋体" w:hAnsi="宋体"/>
          <w:highlight w:val="none"/>
        </w:rPr>
        <w:t>2.2.4商务评审内容：见评标办法前附表。</w:t>
      </w:r>
    </w:p>
    <w:p w14:paraId="781BDB15">
      <w:pPr>
        <w:spacing w:line="400" w:lineRule="exact"/>
        <w:ind w:firstLine="420" w:firstLineChars="200"/>
        <w:rPr>
          <w:rFonts w:ascii="宋体" w:hAnsi="宋体"/>
          <w:highlight w:val="none"/>
        </w:rPr>
      </w:pPr>
      <w:r>
        <w:rPr>
          <w:rFonts w:hint="eastAsia" w:ascii="宋体" w:hAnsi="宋体"/>
          <w:highlight w:val="none"/>
        </w:rPr>
        <w:t>2.2.5技术评审内容：见评标办法前附表。</w:t>
      </w:r>
    </w:p>
    <w:p w14:paraId="158E2A42">
      <w:pPr>
        <w:spacing w:line="400" w:lineRule="exact"/>
        <w:ind w:firstLine="420" w:firstLineChars="200"/>
        <w:rPr>
          <w:rFonts w:ascii="宋体" w:hAnsi="宋体"/>
          <w:highlight w:val="none"/>
        </w:rPr>
      </w:pPr>
      <w:r>
        <w:rPr>
          <w:rFonts w:hint="eastAsia" w:ascii="宋体" w:hAnsi="宋体"/>
          <w:highlight w:val="none"/>
        </w:rPr>
        <w:t>2.2.6其他评审内容：见评标办法前附表。</w:t>
      </w:r>
    </w:p>
    <w:p w14:paraId="0E65D9FA">
      <w:pPr>
        <w:pStyle w:val="3"/>
        <w:outlineLvl w:val="1"/>
        <w:rPr>
          <w:rFonts w:ascii="宋体" w:hAnsi="宋体" w:eastAsia="宋体"/>
          <w:highlight w:val="none"/>
        </w:rPr>
      </w:pPr>
      <w:bookmarkStart w:id="610" w:name="_Toc338840456"/>
      <w:bookmarkStart w:id="611" w:name="_Toc16714"/>
      <w:bookmarkStart w:id="612" w:name="_Toc246996247"/>
      <w:bookmarkStart w:id="613" w:name="_Toc247085762"/>
      <w:bookmarkStart w:id="614" w:name="_Toc144974571"/>
      <w:bookmarkStart w:id="615" w:name="_Toc494093442"/>
      <w:bookmarkStart w:id="616" w:name="_Toc494526414"/>
      <w:bookmarkStart w:id="617" w:name="_Toc152045604"/>
      <w:bookmarkStart w:id="618" w:name="_Toc338840495"/>
      <w:bookmarkStart w:id="619" w:name="_Toc4794"/>
      <w:bookmarkStart w:id="620" w:name="_Toc2541"/>
      <w:bookmarkStart w:id="621" w:name="_Toc22953"/>
      <w:bookmarkStart w:id="622" w:name="_Toc246996990"/>
      <w:bookmarkStart w:id="623" w:name="_Toc179632622"/>
      <w:bookmarkStart w:id="624" w:name="_Toc338840243"/>
      <w:bookmarkStart w:id="625" w:name="_Toc30064"/>
      <w:bookmarkStart w:id="626" w:name="_Toc346523479"/>
      <w:bookmarkStart w:id="627" w:name="_Toc24841"/>
      <w:bookmarkStart w:id="628" w:name="_Toc346523416"/>
      <w:bookmarkStart w:id="629" w:name="_Toc152042381"/>
      <w:r>
        <w:rPr>
          <w:rFonts w:hint="eastAsia" w:ascii="宋体" w:hAnsi="宋体" w:eastAsia="宋体"/>
          <w:highlight w:val="none"/>
        </w:rPr>
        <w:t>3. 评标程序</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14:paraId="395DB922">
      <w:pPr>
        <w:pStyle w:val="4"/>
        <w:outlineLvl w:val="2"/>
        <w:rPr>
          <w:rFonts w:ascii="宋体" w:hAnsi="宋体"/>
          <w:highlight w:val="none"/>
        </w:rPr>
      </w:pPr>
      <w:bookmarkStart w:id="630" w:name="_Toc246996991"/>
      <w:bookmarkStart w:id="631" w:name="_Toc338840244"/>
      <w:bookmarkStart w:id="632" w:name="_Toc152042382"/>
      <w:bookmarkStart w:id="633" w:name="_Toc247085763"/>
      <w:bookmarkStart w:id="634" w:name="_Toc144974572"/>
      <w:bookmarkStart w:id="635" w:name="_Toc246996248"/>
      <w:bookmarkStart w:id="636" w:name="_Toc152045605"/>
      <w:bookmarkStart w:id="637" w:name="_Toc179632623"/>
      <w:r>
        <w:rPr>
          <w:rFonts w:hint="eastAsia" w:ascii="宋体" w:hAnsi="宋体"/>
          <w:highlight w:val="none"/>
        </w:rPr>
        <w:t>3.1 初步评审</w:t>
      </w:r>
      <w:bookmarkEnd w:id="630"/>
      <w:bookmarkEnd w:id="631"/>
      <w:bookmarkEnd w:id="632"/>
      <w:bookmarkEnd w:id="633"/>
      <w:bookmarkEnd w:id="634"/>
      <w:bookmarkEnd w:id="635"/>
      <w:bookmarkEnd w:id="636"/>
      <w:bookmarkEnd w:id="637"/>
    </w:p>
    <w:p w14:paraId="5F4BCC7F">
      <w:pPr>
        <w:spacing w:line="400" w:lineRule="exact"/>
        <w:ind w:firstLine="420" w:firstLineChars="200"/>
        <w:rPr>
          <w:rFonts w:ascii="宋体" w:hAnsi="宋体"/>
          <w:highlight w:val="none"/>
        </w:rPr>
      </w:pPr>
      <w:r>
        <w:rPr>
          <w:rFonts w:hint="eastAsia" w:ascii="宋体" w:hAnsi="宋体"/>
          <w:highlight w:val="none"/>
        </w:rPr>
        <w:t>3.1.1依据本章第2.1款规定的标准对投标文件进行初步评审。有一项不符合资格审查和符合性审查要求的，为无效投标。</w:t>
      </w:r>
    </w:p>
    <w:p w14:paraId="5C22FB2A">
      <w:pPr>
        <w:spacing w:line="400" w:lineRule="exact"/>
        <w:ind w:firstLine="420" w:firstLineChars="200"/>
        <w:rPr>
          <w:rFonts w:ascii="宋体" w:hAnsi="宋体"/>
          <w:highlight w:val="none"/>
        </w:rPr>
      </w:pPr>
      <w:r>
        <w:rPr>
          <w:rFonts w:hint="eastAsia" w:ascii="宋体" w:hAnsi="宋体"/>
          <w:highlight w:val="none"/>
        </w:rPr>
        <w:t>3.1.2 供应商符合“无效投标条件”的，评标委员会应当否决其投标；</w:t>
      </w:r>
    </w:p>
    <w:p w14:paraId="3122C0B8">
      <w:pPr>
        <w:spacing w:line="400" w:lineRule="exact"/>
        <w:ind w:firstLine="420" w:firstLineChars="200"/>
        <w:outlineLvl w:val="3"/>
        <w:rPr>
          <w:rFonts w:ascii="宋体" w:hAnsi="宋体"/>
          <w:highlight w:val="none"/>
        </w:rPr>
      </w:pPr>
      <w:r>
        <w:rPr>
          <w:rFonts w:hint="eastAsia" w:ascii="宋体" w:hAnsi="宋体"/>
          <w:highlight w:val="none"/>
        </w:rPr>
        <w:t>3.1.3投标文件报价出现前后不一致的，按照下列规定修正：</w:t>
      </w:r>
    </w:p>
    <w:p w14:paraId="1A87F2F2">
      <w:pPr>
        <w:spacing w:line="400" w:lineRule="exact"/>
        <w:ind w:firstLine="420" w:firstLineChars="200"/>
        <w:rPr>
          <w:rFonts w:ascii="宋体" w:hAnsi="宋体"/>
          <w:highlight w:val="none"/>
        </w:rPr>
      </w:pPr>
      <w:r>
        <w:rPr>
          <w:rFonts w:hint="eastAsia" w:ascii="宋体" w:hAnsi="宋体"/>
          <w:highlight w:val="none"/>
        </w:rPr>
        <w:t>　　（1）投标文件中投标函内容与投标文件中相应内容不一致的，以投标函为准；</w:t>
      </w:r>
    </w:p>
    <w:p w14:paraId="74E50614">
      <w:pPr>
        <w:spacing w:line="400" w:lineRule="exact"/>
        <w:ind w:firstLine="420" w:firstLineChars="200"/>
        <w:outlineLvl w:val="4"/>
        <w:rPr>
          <w:rFonts w:ascii="宋体" w:hAnsi="宋体"/>
          <w:highlight w:val="none"/>
        </w:rPr>
      </w:pPr>
      <w:r>
        <w:rPr>
          <w:rFonts w:hint="eastAsia" w:ascii="宋体" w:hAnsi="宋体"/>
          <w:highlight w:val="none"/>
        </w:rPr>
        <w:t>　　（2）大写金额和小写金额不一致的，以大写金额为准；</w:t>
      </w:r>
    </w:p>
    <w:p w14:paraId="6469A01C">
      <w:pPr>
        <w:spacing w:line="400" w:lineRule="exact"/>
        <w:ind w:firstLine="420" w:firstLineChars="200"/>
        <w:rPr>
          <w:rFonts w:ascii="宋体" w:hAnsi="宋体"/>
          <w:highlight w:val="none"/>
        </w:rPr>
      </w:pPr>
      <w:r>
        <w:rPr>
          <w:rFonts w:hint="eastAsia" w:ascii="宋体" w:hAnsi="宋体"/>
          <w:highlight w:val="none"/>
        </w:rPr>
        <w:t>　　（3）单价金额小数点或者百分比有明显错位的，以投标函的总价为准，并修改单价；</w:t>
      </w:r>
    </w:p>
    <w:p w14:paraId="5C5C3E8F">
      <w:pPr>
        <w:spacing w:line="400" w:lineRule="exact"/>
        <w:ind w:firstLine="420" w:firstLineChars="200"/>
        <w:rPr>
          <w:rFonts w:ascii="宋体" w:hAnsi="宋体"/>
          <w:highlight w:val="none"/>
        </w:rPr>
      </w:pPr>
      <w:r>
        <w:rPr>
          <w:rFonts w:hint="eastAsia" w:ascii="宋体" w:hAnsi="宋体"/>
          <w:highlight w:val="none"/>
        </w:rPr>
        <w:t>　　（4）总价金额与按单价汇总金额不一致的，以单价金额计算结果为准。</w:t>
      </w:r>
    </w:p>
    <w:p w14:paraId="72D08E3E">
      <w:pPr>
        <w:spacing w:line="400" w:lineRule="exact"/>
        <w:ind w:firstLine="420" w:firstLineChars="200"/>
        <w:rPr>
          <w:rFonts w:ascii="宋体" w:hAnsi="宋体"/>
          <w:highlight w:val="none"/>
        </w:rPr>
      </w:pPr>
      <w:r>
        <w:rPr>
          <w:rFonts w:hint="eastAsia" w:ascii="宋体" w:hAnsi="宋体"/>
          <w:highlight w:val="none"/>
        </w:rPr>
        <w:t>同时出现两种以上不一致的，按照前款规定的顺序修正。修正后的报价经供应商确认后产生约束力，供应商不确认的，其投标无效。</w:t>
      </w:r>
    </w:p>
    <w:p w14:paraId="1CE1B40E">
      <w:pPr>
        <w:pStyle w:val="4"/>
        <w:outlineLvl w:val="2"/>
        <w:rPr>
          <w:rFonts w:ascii="宋体" w:hAnsi="宋体"/>
          <w:highlight w:val="none"/>
        </w:rPr>
      </w:pPr>
      <w:bookmarkStart w:id="638" w:name="_Toc152042384"/>
      <w:bookmarkStart w:id="639" w:name="_Toc246996992"/>
      <w:bookmarkStart w:id="640" w:name="_Toc247085764"/>
      <w:bookmarkStart w:id="641" w:name="_Toc246996249"/>
      <w:bookmarkStart w:id="642" w:name="_Toc144974573"/>
      <w:bookmarkStart w:id="643" w:name="_Toc152045606"/>
      <w:bookmarkStart w:id="644" w:name="_Toc338840245"/>
      <w:bookmarkStart w:id="645" w:name="_Toc179632624"/>
      <w:r>
        <w:rPr>
          <w:rFonts w:hint="eastAsia" w:ascii="宋体" w:hAnsi="宋体"/>
          <w:highlight w:val="none"/>
        </w:rPr>
        <w:t>3.2 详细评审</w:t>
      </w:r>
      <w:bookmarkEnd w:id="638"/>
      <w:bookmarkEnd w:id="639"/>
      <w:bookmarkEnd w:id="640"/>
      <w:bookmarkEnd w:id="641"/>
      <w:bookmarkEnd w:id="642"/>
      <w:bookmarkEnd w:id="643"/>
      <w:bookmarkEnd w:id="644"/>
      <w:bookmarkEnd w:id="645"/>
    </w:p>
    <w:p w14:paraId="21C4B051">
      <w:pPr>
        <w:spacing w:line="400" w:lineRule="exact"/>
        <w:ind w:firstLine="420" w:firstLineChars="200"/>
        <w:rPr>
          <w:rFonts w:ascii="宋体" w:hAnsi="宋体"/>
          <w:highlight w:val="none"/>
        </w:rPr>
      </w:pPr>
      <w:r>
        <w:rPr>
          <w:rFonts w:hint="eastAsia" w:ascii="宋体" w:hAnsi="宋体"/>
          <w:highlight w:val="none"/>
        </w:rPr>
        <w:t>3.2.1评标委员会按照规定的量化因素和分值进行评审打分，详见评标办法前附表。</w:t>
      </w:r>
    </w:p>
    <w:p w14:paraId="655B8AE1">
      <w:pPr>
        <w:spacing w:line="400" w:lineRule="exact"/>
        <w:ind w:firstLine="420" w:firstLineChars="200"/>
        <w:rPr>
          <w:rFonts w:ascii="宋体" w:hAnsi="宋体"/>
          <w:highlight w:val="none"/>
        </w:rPr>
      </w:pPr>
      <w:r>
        <w:rPr>
          <w:rFonts w:hint="eastAsia" w:ascii="宋体" w:hAnsi="宋体"/>
          <w:highlight w:val="none"/>
        </w:rPr>
        <w:t>3.2.2评标委员会发现供应商的报价明显低于其他投标报价，</w:t>
      </w:r>
      <w:r>
        <w:rPr>
          <w:rFonts w:hint="eastAsia" w:ascii="宋体" w:hAnsi="宋体"/>
          <w:szCs w:val="21"/>
          <w:highlight w:val="none"/>
        </w:rPr>
        <w:t>影响产品质量或者不能诚信履约的，</w:t>
      </w:r>
      <w:r>
        <w:rPr>
          <w:rFonts w:hint="eastAsia" w:ascii="宋体" w:hAnsi="宋体"/>
          <w:highlight w:val="none"/>
        </w:rPr>
        <w:t>应当要求该供应商在合理的时间内作出书面说明，必要时提供相应的证明材料。供应商不能合理说明或者不能提供相应证明材料的，为无效投标。</w:t>
      </w:r>
    </w:p>
    <w:p w14:paraId="4B1C71F9">
      <w:pPr>
        <w:pStyle w:val="4"/>
        <w:outlineLvl w:val="2"/>
        <w:rPr>
          <w:rFonts w:ascii="宋体" w:hAnsi="宋体"/>
          <w:highlight w:val="none"/>
        </w:rPr>
      </w:pPr>
      <w:bookmarkStart w:id="646" w:name="_Toc144974575"/>
      <w:bookmarkStart w:id="647" w:name="_Toc338840246"/>
      <w:bookmarkStart w:id="648" w:name="_Toc246996250"/>
      <w:bookmarkStart w:id="649" w:name="_Toc152042385"/>
      <w:bookmarkStart w:id="650" w:name="_Toc246996993"/>
      <w:bookmarkStart w:id="651" w:name="_Toc152045607"/>
      <w:bookmarkStart w:id="652" w:name="_Toc179632625"/>
      <w:bookmarkStart w:id="653" w:name="_Toc247085765"/>
      <w:r>
        <w:rPr>
          <w:rFonts w:hint="eastAsia" w:ascii="宋体" w:hAnsi="宋体"/>
          <w:highlight w:val="none"/>
        </w:rPr>
        <w:t>3.3 投标文件的澄清</w:t>
      </w:r>
      <w:bookmarkEnd w:id="646"/>
      <w:r>
        <w:rPr>
          <w:rFonts w:hint="eastAsia" w:ascii="宋体" w:hAnsi="宋体"/>
          <w:highlight w:val="none"/>
        </w:rPr>
        <w:t>和补正</w:t>
      </w:r>
      <w:bookmarkEnd w:id="647"/>
      <w:bookmarkEnd w:id="648"/>
      <w:bookmarkEnd w:id="649"/>
      <w:bookmarkEnd w:id="650"/>
      <w:bookmarkEnd w:id="651"/>
      <w:bookmarkEnd w:id="652"/>
      <w:bookmarkEnd w:id="653"/>
    </w:p>
    <w:p w14:paraId="5FAF6263">
      <w:pPr>
        <w:spacing w:line="400" w:lineRule="exact"/>
        <w:ind w:firstLine="420" w:firstLineChars="200"/>
        <w:rPr>
          <w:rFonts w:ascii="宋体" w:hAnsi="宋体"/>
          <w:highlight w:val="none"/>
        </w:rPr>
      </w:pPr>
      <w:r>
        <w:rPr>
          <w:rFonts w:hint="eastAsia" w:ascii="宋体" w:hAnsi="宋体"/>
          <w:highlight w:val="none"/>
        </w:rPr>
        <w:t>3.3.1在评标过程中，评标委员会可以书面形式要求供应商对所提交投标文件中不明确的内容进行书面澄清或说明，或者对细微偏差进行补正。评标委员会不接受供应商主动提出的澄清、说明或补正。评标委员会拒绝供应商通过修正或撤消不符合要求的偏差，使之成为具有响应性的投标。</w:t>
      </w:r>
    </w:p>
    <w:p w14:paraId="49A14915">
      <w:pPr>
        <w:spacing w:line="400" w:lineRule="exact"/>
        <w:ind w:firstLine="420" w:firstLineChars="200"/>
        <w:rPr>
          <w:rFonts w:ascii="宋体" w:hAnsi="宋体"/>
          <w:highlight w:val="none"/>
        </w:rPr>
      </w:pPr>
      <w:r>
        <w:rPr>
          <w:rFonts w:hint="eastAsia" w:ascii="宋体" w:hAnsi="宋体"/>
          <w:highlight w:val="none"/>
        </w:rPr>
        <w:t>3.3.2 澄清、说明和补正不得改变投标文件的实质性内容。供应商的书面澄清、说明和补正属于投标文件的组成部分。</w:t>
      </w:r>
    </w:p>
    <w:p w14:paraId="1B3BD684">
      <w:pPr>
        <w:spacing w:line="400" w:lineRule="exact"/>
        <w:ind w:firstLine="420" w:firstLineChars="200"/>
        <w:rPr>
          <w:rFonts w:ascii="宋体" w:hAnsi="宋体"/>
          <w:highlight w:val="none"/>
        </w:rPr>
      </w:pPr>
      <w:r>
        <w:rPr>
          <w:rFonts w:hint="eastAsia" w:ascii="宋体" w:hAnsi="宋体"/>
          <w:highlight w:val="none"/>
        </w:rPr>
        <w:t>3.3.3 评标委员会对供应商提交的澄清、说明或补正有疑问的，可以要求供应商进一步澄清、说明或补正，直至满足评标委员会的要求。</w:t>
      </w:r>
    </w:p>
    <w:p w14:paraId="79AE548E">
      <w:pPr>
        <w:pStyle w:val="4"/>
        <w:outlineLvl w:val="2"/>
        <w:rPr>
          <w:rFonts w:ascii="宋体" w:hAnsi="宋体"/>
          <w:highlight w:val="none"/>
        </w:rPr>
      </w:pPr>
      <w:bookmarkStart w:id="654" w:name="_Toc338840247"/>
      <w:bookmarkStart w:id="655" w:name="_Toc179632626"/>
      <w:bookmarkStart w:id="656" w:name="_Toc246996251"/>
      <w:bookmarkStart w:id="657" w:name="_Toc152042386"/>
      <w:bookmarkStart w:id="658" w:name="_Toc247085766"/>
      <w:bookmarkStart w:id="659" w:name="_Toc144974576"/>
      <w:bookmarkStart w:id="660" w:name="_Toc246996994"/>
      <w:bookmarkStart w:id="661" w:name="_Toc152045608"/>
      <w:r>
        <w:rPr>
          <w:rFonts w:hint="eastAsia" w:ascii="宋体" w:hAnsi="宋体"/>
          <w:highlight w:val="none"/>
        </w:rPr>
        <w:t>3.4 评标结果</w:t>
      </w:r>
      <w:bookmarkEnd w:id="654"/>
      <w:bookmarkEnd w:id="655"/>
      <w:bookmarkEnd w:id="656"/>
      <w:bookmarkEnd w:id="657"/>
      <w:bookmarkEnd w:id="658"/>
      <w:bookmarkEnd w:id="659"/>
      <w:bookmarkEnd w:id="660"/>
      <w:bookmarkEnd w:id="661"/>
    </w:p>
    <w:p w14:paraId="1D2D8035">
      <w:pPr>
        <w:spacing w:line="400" w:lineRule="exact"/>
        <w:ind w:firstLine="420" w:firstLineChars="200"/>
        <w:rPr>
          <w:rFonts w:ascii="宋体" w:hAnsi="宋体"/>
          <w:highlight w:val="none"/>
        </w:rPr>
      </w:pPr>
      <w:r>
        <w:rPr>
          <w:rFonts w:hint="eastAsia" w:ascii="宋体" w:hAnsi="宋体"/>
          <w:highlight w:val="none"/>
        </w:rPr>
        <w:t>3.4.1除第二章“供应商须知”前附表授权直接确定中标人外，评标委员会按照规定推荐中标候选人。</w:t>
      </w:r>
    </w:p>
    <w:p w14:paraId="3C3A1A7D">
      <w:pPr>
        <w:spacing w:line="400" w:lineRule="exact"/>
        <w:ind w:firstLine="420" w:firstLineChars="200"/>
        <w:rPr>
          <w:rFonts w:ascii="宋体" w:hAnsi="宋体"/>
          <w:highlight w:val="none"/>
        </w:rPr>
      </w:pPr>
      <w:r>
        <w:rPr>
          <w:rFonts w:hint="eastAsia" w:ascii="宋体" w:hAnsi="宋体"/>
          <w:highlight w:val="none"/>
        </w:rPr>
        <w:t>3.4.2 评标委员会完成评标后，应当向采购人提交书面评标报告。</w:t>
      </w:r>
    </w:p>
    <w:p w14:paraId="0DB9C306">
      <w:pPr>
        <w:spacing w:line="400" w:lineRule="exact"/>
        <w:rPr>
          <w:rFonts w:ascii="宋体" w:hAnsi="宋体"/>
          <w:highlight w:val="none"/>
        </w:rPr>
      </w:pPr>
    </w:p>
    <w:p w14:paraId="15B1B623">
      <w:pPr>
        <w:adjustRightInd w:val="0"/>
        <w:snapToGrid w:val="0"/>
        <w:spacing w:line="440" w:lineRule="exact"/>
        <w:outlineLvl w:val="1"/>
        <w:rPr>
          <w:rFonts w:ascii="宋体" w:hAnsi="宋体"/>
          <w:sz w:val="24"/>
          <w:highlight w:val="none"/>
        </w:rPr>
      </w:pPr>
      <w:r>
        <w:rPr>
          <w:rFonts w:ascii="宋体" w:hAnsi="宋体"/>
          <w:highlight w:val="none"/>
        </w:rPr>
        <w:br w:type="page"/>
      </w:r>
      <w:bookmarkStart w:id="662" w:name="_Toc494526415"/>
      <w:bookmarkStart w:id="663" w:name="_Toc27082"/>
      <w:bookmarkStart w:id="664" w:name="_Toc338840458"/>
      <w:bookmarkStart w:id="665" w:name="_Toc338840497"/>
      <w:bookmarkStart w:id="666" w:name="_Toc338840249"/>
      <w:bookmarkStart w:id="667" w:name="_Toc21307"/>
      <w:bookmarkStart w:id="668" w:name="_Toc19465"/>
      <w:bookmarkStart w:id="669" w:name="_Toc346523418"/>
      <w:bookmarkStart w:id="670" w:name="_Toc346523481"/>
      <w:bookmarkStart w:id="671" w:name="_Toc28037"/>
      <w:bookmarkStart w:id="672" w:name="_Toc19784"/>
      <w:bookmarkStart w:id="673" w:name="_Toc494093443"/>
      <w:bookmarkStart w:id="674" w:name="_Toc4190"/>
      <w:r>
        <w:rPr>
          <w:rFonts w:hint="eastAsia" w:ascii="宋体" w:hAnsi="宋体"/>
          <w:sz w:val="24"/>
          <w:highlight w:val="none"/>
        </w:rPr>
        <w:t>附件</w:t>
      </w:r>
      <w:r>
        <w:rPr>
          <w:rFonts w:hint="eastAsia" w:ascii="宋体" w:hAnsi="宋体"/>
          <w:b/>
          <w:sz w:val="24"/>
          <w:highlight w:val="none"/>
        </w:rPr>
        <w:t>Ａ</w:t>
      </w:r>
      <w:r>
        <w:rPr>
          <w:rFonts w:hint="eastAsia" w:ascii="宋体" w:hAnsi="宋体"/>
          <w:sz w:val="24"/>
          <w:highlight w:val="none"/>
        </w:rPr>
        <w:t>：</w:t>
      </w:r>
      <w:bookmarkEnd w:id="662"/>
      <w:bookmarkEnd w:id="663"/>
      <w:bookmarkEnd w:id="664"/>
      <w:bookmarkEnd w:id="665"/>
      <w:bookmarkEnd w:id="666"/>
      <w:bookmarkEnd w:id="667"/>
      <w:bookmarkEnd w:id="668"/>
      <w:bookmarkEnd w:id="669"/>
      <w:bookmarkEnd w:id="670"/>
      <w:bookmarkEnd w:id="671"/>
      <w:bookmarkEnd w:id="672"/>
      <w:bookmarkEnd w:id="673"/>
      <w:bookmarkEnd w:id="674"/>
      <w:r>
        <w:rPr>
          <w:rFonts w:hint="eastAsia" w:ascii="宋体" w:hAnsi="宋体"/>
          <w:sz w:val="24"/>
          <w:highlight w:val="none"/>
        </w:rPr>
        <w:t xml:space="preserve"> </w:t>
      </w:r>
    </w:p>
    <w:p w14:paraId="76D38F8A">
      <w:pPr>
        <w:adjustRightInd w:val="0"/>
        <w:snapToGrid w:val="0"/>
        <w:spacing w:before="312" w:beforeLines="100" w:after="312" w:afterLines="100" w:line="160" w:lineRule="exact"/>
        <w:ind w:firstLine="560" w:firstLineChars="200"/>
        <w:jc w:val="center"/>
        <w:rPr>
          <w:rFonts w:ascii="宋体" w:hAnsi="宋体"/>
          <w:b/>
          <w:szCs w:val="21"/>
          <w:highlight w:val="none"/>
        </w:rPr>
      </w:pPr>
      <w:r>
        <w:rPr>
          <w:rFonts w:hint="eastAsia" w:ascii="宋体" w:hAnsi="宋体"/>
          <w:sz w:val="28"/>
          <w:szCs w:val="28"/>
          <w:highlight w:val="none"/>
        </w:rPr>
        <w:t>无效投标条件</w:t>
      </w:r>
      <w:r>
        <w:rPr>
          <w:rFonts w:hint="eastAsia" w:ascii="宋体" w:hAnsi="宋体"/>
          <w:b/>
          <w:szCs w:val="21"/>
          <w:highlight w:val="none"/>
        </w:rPr>
        <w:t>　</w:t>
      </w:r>
    </w:p>
    <w:p w14:paraId="3227AF23">
      <w:pPr>
        <w:adjustRightInd w:val="0"/>
        <w:snapToGrid w:val="0"/>
        <w:spacing w:line="440" w:lineRule="exact"/>
        <w:ind w:firstLine="420" w:firstLineChars="200"/>
        <w:rPr>
          <w:rFonts w:ascii="宋体" w:hAnsi="宋体"/>
          <w:szCs w:val="21"/>
          <w:highlight w:val="none"/>
        </w:rPr>
      </w:pPr>
      <w:r>
        <w:rPr>
          <w:rFonts w:hint="eastAsia" w:ascii="宋体" w:hAnsi="宋体"/>
          <w:szCs w:val="21"/>
          <w:highlight w:val="none"/>
        </w:rPr>
        <w:t>有下列情形之一的，其投标为无效投标：</w:t>
      </w:r>
    </w:p>
    <w:p w14:paraId="4ABA3CA6">
      <w:pPr>
        <w:adjustRightInd w:val="0"/>
        <w:snapToGrid w:val="0"/>
        <w:spacing w:line="440" w:lineRule="exact"/>
        <w:ind w:firstLine="420" w:firstLineChars="200"/>
        <w:rPr>
          <w:rFonts w:ascii="宋体" w:hAnsi="宋体"/>
          <w:szCs w:val="21"/>
          <w:highlight w:val="none"/>
        </w:rPr>
      </w:pPr>
      <w:r>
        <w:rPr>
          <w:rFonts w:hint="eastAsia" w:ascii="宋体" w:hAnsi="宋体"/>
          <w:szCs w:val="21"/>
          <w:highlight w:val="none"/>
        </w:rPr>
        <w:t>1 、有第二章“供应商须知”第1.4.2项规定的任何一种情形的。</w:t>
      </w:r>
    </w:p>
    <w:p w14:paraId="0E555116">
      <w:pPr>
        <w:adjustRightInd w:val="0"/>
        <w:snapToGrid w:val="0"/>
        <w:spacing w:line="440" w:lineRule="exact"/>
        <w:ind w:firstLine="420" w:firstLineChars="200"/>
        <w:outlineLvl w:val="1"/>
        <w:rPr>
          <w:rFonts w:ascii="宋体" w:hAnsi="宋体"/>
          <w:szCs w:val="21"/>
          <w:highlight w:val="none"/>
        </w:rPr>
      </w:pPr>
      <w:bookmarkStart w:id="675" w:name="_Toc23320"/>
      <w:r>
        <w:rPr>
          <w:rFonts w:hint="eastAsia" w:ascii="宋体" w:hAnsi="宋体"/>
          <w:szCs w:val="21"/>
          <w:highlight w:val="none"/>
        </w:rPr>
        <w:t>2 、有下列情形之一，视为供应商串通投标，其投标无效：</w:t>
      </w:r>
      <w:bookmarkEnd w:id="675"/>
    </w:p>
    <w:p w14:paraId="7F55F307">
      <w:pPr>
        <w:adjustRightInd w:val="0"/>
        <w:snapToGrid w:val="0"/>
        <w:spacing w:line="440" w:lineRule="exact"/>
        <w:rPr>
          <w:rFonts w:ascii="宋体" w:hAnsi="宋体"/>
          <w:szCs w:val="21"/>
          <w:highlight w:val="none"/>
        </w:rPr>
      </w:pPr>
      <w:r>
        <w:rPr>
          <w:rFonts w:hint="eastAsia" w:ascii="宋体" w:hAnsi="宋体"/>
          <w:szCs w:val="21"/>
          <w:highlight w:val="none"/>
        </w:rPr>
        <w:t>　　（一）不同供应商的投标文件由同一单位或者个人编制；</w:t>
      </w:r>
    </w:p>
    <w:p w14:paraId="3D5D51EA">
      <w:pPr>
        <w:adjustRightInd w:val="0"/>
        <w:snapToGrid w:val="0"/>
        <w:spacing w:line="440" w:lineRule="exact"/>
        <w:rPr>
          <w:rFonts w:ascii="宋体" w:hAnsi="宋体"/>
          <w:szCs w:val="21"/>
          <w:highlight w:val="none"/>
        </w:rPr>
      </w:pPr>
      <w:r>
        <w:rPr>
          <w:rFonts w:hint="eastAsia" w:ascii="宋体" w:hAnsi="宋体"/>
          <w:szCs w:val="21"/>
          <w:highlight w:val="none"/>
        </w:rPr>
        <w:t>　　（二）不同供应商委托同一单位或者个人办理投标事宜；</w:t>
      </w:r>
    </w:p>
    <w:p w14:paraId="3BF34B48">
      <w:pPr>
        <w:adjustRightInd w:val="0"/>
        <w:snapToGrid w:val="0"/>
        <w:spacing w:line="440" w:lineRule="exact"/>
        <w:rPr>
          <w:rFonts w:ascii="宋体" w:hAnsi="宋体"/>
          <w:szCs w:val="21"/>
          <w:highlight w:val="none"/>
        </w:rPr>
      </w:pPr>
      <w:r>
        <w:rPr>
          <w:rFonts w:hint="eastAsia" w:ascii="宋体" w:hAnsi="宋体"/>
          <w:szCs w:val="21"/>
          <w:highlight w:val="none"/>
        </w:rPr>
        <w:t>　　（三）不同供应商的投标文件载明的项目管理成员或者联系人员为同一人；</w:t>
      </w:r>
    </w:p>
    <w:p w14:paraId="6D579507">
      <w:pPr>
        <w:adjustRightInd w:val="0"/>
        <w:snapToGrid w:val="0"/>
        <w:spacing w:line="440" w:lineRule="exact"/>
        <w:rPr>
          <w:rFonts w:ascii="宋体" w:hAnsi="宋体"/>
          <w:szCs w:val="21"/>
          <w:highlight w:val="none"/>
        </w:rPr>
      </w:pPr>
      <w:r>
        <w:rPr>
          <w:rFonts w:hint="eastAsia" w:ascii="宋体" w:hAnsi="宋体"/>
          <w:szCs w:val="21"/>
          <w:highlight w:val="none"/>
        </w:rPr>
        <w:t>　　（四）不同供应商的投标文件异常一致或者投标报价呈规律性差异；</w:t>
      </w:r>
    </w:p>
    <w:p w14:paraId="7FDE7DE5">
      <w:pPr>
        <w:adjustRightInd w:val="0"/>
        <w:snapToGrid w:val="0"/>
        <w:spacing w:line="440" w:lineRule="exact"/>
        <w:outlineLvl w:val="2"/>
        <w:rPr>
          <w:rFonts w:ascii="宋体" w:hAnsi="宋体"/>
          <w:szCs w:val="21"/>
          <w:highlight w:val="none"/>
        </w:rPr>
      </w:pPr>
      <w:r>
        <w:rPr>
          <w:rFonts w:hint="eastAsia" w:ascii="宋体" w:hAnsi="宋体"/>
          <w:szCs w:val="21"/>
          <w:highlight w:val="none"/>
        </w:rPr>
        <w:t>　　（五）不同供应商的投标文件相互混装；</w:t>
      </w:r>
    </w:p>
    <w:p w14:paraId="4D15E9D4">
      <w:pPr>
        <w:adjustRightInd w:val="0"/>
        <w:snapToGrid w:val="0"/>
        <w:spacing w:line="440" w:lineRule="exact"/>
        <w:rPr>
          <w:rFonts w:ascii="宋体" w:hAnsi="宋体"/>
          <w:szCs w:val="21"/>
          <w:highlight w:val="none"/>
        </w:rPr>
      </w:pPr>
      <w:r>
        <w:rPr>
          <w:rFonts w:hint="eastAsia" w:ascii="宋体" w:hAnsi="宋体"/>
          <w:szCs w:val="21"/>
          <w:highlight w:val="none"/>
        </w:rPr>
        <w:t>　　（六）不同供应商的投标保证金从同一单位或者个人的账户转出。</w:t>
      </w:r>
    </w:p>
    <w:p w14:paraId="4BF81BE5">
      <w:pPr>
        <w:adjustRightInd w:val="0"/>
        <w:snapToGrid w:val="0"/>
        <w:spacing w:line="440" w:lineRule="exact"/>
        <w:ind w:left="420" w:leftChars="200"/>
        <w:rPr>
          <w:rFonts w:hint="eastAsia" w:ascii="宋体" w:hAnsi="宋体"/>
          <w:szCs w:val="21"/>
          <w:highlight w:val="none"/>
        </w:rPr>
      </w:pPr>
      <w:r>
        <w:rPr>
          <w:rFonts w:hint="eastAsia" w:ascii="宋体" w:hAnsi="宋体"/>
          <w:szCs w:val="21"/>
          <w:highlight w:val="none"/>
        </w:rPr>
        <w:t>3 、单位负责人为同一人或者存在直接控股、管理关系的不同供应商，参加同一合同项下的政府采购活动的。　为采购项目提供整体设计、规范编制或者项目管理、监理、检测等服务的供应商，不得再参加该采购项目的其他采购活动。</w:t>
      </w:r>
    </w:p>
    <w:p w14:paraId="04DEEDD7">
      <w:pPr>
        <w:adjustRightInd w:val="0"/>
        <w:snapToGrid w:val="0"/>
        <w:spacing w:line="440" w:lineRule="exact"/>
        <w:ind w:left="420" w:leftChars="200"/>
        <w:rPr>
          <w:rFonts w:ascii="宋体" w:hAnsi="宋体"/>
          <w:strike/>
          <w:szCs w:val="21"/>
          <w:highlight w:val="none"/>
        </w:rPr>
      </w:pPr>
      <w:r>
        <w:rPr>
          <w:rFonts w:hint="eastAsia" w:ascii="宋体" w:hAnsi="宋体"/>
          <w:szCs w:val="21"/>
          <w:highlight w:val="none"/>
          <w:lang w:val="en-US" w:eastAsia="zh-CN"/>
        </w:rPr>
        <w:t>4</w:t>
      </w:r>
      <w:r>
        <w:rPr>
          <w:rFonts w:hint="eastAsia" w:ascii="宋体" w:hAnsi="宋体"/>
          <w:szCs w:val="21"/>
          <w:highlight w:val="none"/>
        </w:rPr>
        <w:t>、提供虚假材料或伪造材料的。</w:t>
      </w:r>
    </w:p>
    <w:p w14:paraId="1F502842">
      <w:pPr>
        <w:adjustRightInd w:val="0"/>
        <w:snapToGrid w:val="0"/>
        <w:spacing w:line="440" w:lineRule="exact"/>
        <w:ind w:firstLine="420" w:firstLineChars="200"/>
        <w:rPr>
          <w:rFonts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、联合体投标者没有提交共同投标协议的。</w:t>
      </w:r>
    </w:p>
    <w:p w14:paraId="57D18989">
      <w:pPr>
        <w:adjustRightInd w:val="0"/>
        <w:snapToGrid w:val="0"/>
        <w:spacing w:line="440" w:lineRule="exact"/>
        <w:ind w:firstLine="420" w:firstLineChars="200"/>
        <w:rPr>
          <w:rFonts w:ascii="宋体" w:hAnsi="宋体"/>
          <w:szCs w:val="21"/>
          <w:highlight w:val="none"/>
        </w:rPr>
      </w:pPr>
      <w:r>
        <w:rPr>
          <w:rFonts w:hint="eastAsia" w:ascii="宋体" w:hAnsi="宋体"/>
          <w:szCs w:val="21"/>
          <w:highlight w:val="none"/>
          <w:lang w:val="en-US" w:eastAsia="zh-CN"/>
        </w:rPr>
        <w:t>6</w:t>
      </w:r>
      <w:r>
        <w:rPr>
          <w:rFonts w:hint="eastAsia" w:ascii="宋体" w:hAnsi="宋体"/>
          <w:szCs w:val="21"/>
          <w:highlight w:val="none"/>
        </w:rPr>
        <w:t>、采购人提供证据证明供应商在以往履行与采购人及其所属单位的采购合同时，发生过重大实质性违约且未及时采取合理补救措施的。</w:t>
      </w:r>
    </w:p>
    <w:p w14:paraId="568DD848">
      <w:pPr>
        <w:adjustRightInd w:val="0"/>
        <w:snapToGrid w:val="0"/>
        <w:spacing w:line="440" w:lineRule="exact"/>
        <w:ind w:firstLine="420" w:firstLineChars="200"/>
        <w:rPr>
          <w:rFonts w:hint="eastAsia" w:ascii="宋体" w:hAnsi="宋体" w:eastAsia="宋体"/>
          <w:szCs w:val="21"/>
          <w:highlight w:val="none"/>
          <w:lang w:eastAsia="zh-CN"/>
        </w:rPr>
      </w:pPr>
      <w:r>
        <w:rPr>
          <w:rFonts w:hint="eastAsia" w:ascii="宋体" w:hAnsi="宋体"/>
          <w:szCs w:val="21"/>
          <w:highlight w:val="none"/>
          <w:lang w:val="en-US" w:eastAsia="zh-CN"/>
        </w:rPr>
        <w:t>7、</w:t>
      </w:r>
      <w:r>
        <w:rPr>
          <w:rFonts w:hint="eastAsia" w:ascii="宋体" w:hAnsi="宋体"/>
          <w:szCs w:val="21"/>
          <w:highlight w:val="none"/>
        </w:rPr>
        <w:t>投标文件含有采购人不能接受的附加条件的</w:t>
      </w:r>
      <w:r>
        <w:rPr>
          <w:rFonts w:hint="eastAsia" w:ascii="宋体" w:hAnsi="宋体"/>
          <w:szCs w:val="21"/>
          <w:highlight w:val="none"/>
          <w:lang w:eastAsia="zh-CN"/>
        </w:rPr>
        <w:t>。</w:t>
      </w:r>
    </w:p>
    <w:p w14:paraId="7C6330E4">
      <w:pPr>
        <w:adjustRightInd w:val="0"/>
        <w:snapToGrid w:val="0"/>
        <w:spacing w:line="440" w:lineRule="exact"/>
        <w:rPr>
          <w:rFonts w:ascii="宋体" w:hAnsi="宋体"/>
          <w:szCs w:val="21"/>
          <w:highlight w:val="none"/>
        </w:rPr>
      </w:pPr>
    </w:p>
    <w:p w14:paraId="46C84F5F">
      <w:pPr>
        <w:adjustRightInd w:val="0"/>
        <w:snapToGrid w:val="0"/>
        <w:spacing w:line="440" w:lineRule="exact"/>
        <w:ind w:firstLine="420" w:firstLineChars="200"/>
        <w:rPr>
          <w:rFonts w:hint="eastAsia" w:ascii="宋体" w:hAnsi="宋体"/>
          <w:sz w:val="24"/>
          <w:highlight w:val="none"/>
        </w:rPr>
      </w:pPr>
      <w:r>
        <w:rPr>
          <w:rFonts w:hint="eastAsia" w:ascii="宋体" w:hAnsi="宋体"/>
          <w:szCs w:val="21"/>
          <w:highlight w:val="none"/>
        </w:rPr>
        <w:t>注：以上内容是对采购文件中其他部分无效投标条件的补充。</w:t>
      </w:r>
      <w:r>
        <w:rPr>
          <w:rFonts w:hint="eastAsia" w:ascii="宋体" w:hAnsi="宋体"/>
          <w:b/>
          <w:sz w:val="24"/>
          <w:highlight w:val="none"/>
        </w:rPr>
        <w:br w:type="page"/>
      </w:r>
      <w:r>
        <w:rPr>
          <w:rFonts w:hint="eastAsia" w:ascii="宋体" w:hAnsi="宋体"/>
          <w:sz w:val="24"/>
          <w:highlight w:val="none"/>
        </w:rPr>
        <w:t>附件B：</w:t>
      </w:r>
    </w:p>
    <w:p w14:paraId="7C3CC891">
      <w:pPr>
        <w:spacing w:line="520" w:lineRule="exact"/>
        <w:jc w:val="center"/>
        <w:outlineLvl w:val="3"/>
        <w:rPr>
          <w:b/>
          <w:sz w:val="36"/>
          <w:szCs w:val="36"/>
          <w:highlight w:val="none"/>
        </w:rPr>
      </w:pPr>
      <w:r>
        <w:rPr>
          <w:rFonts w:hint="eastAsia"/>
          <w:b/>
          <w:sz w:val="36"/>
          <w:szCs w:val="36"/>
          <w:highlight w:val="none"/>
        </w:rPr>
        <w:t>评标报告（样本）</w:t>
      </w:r>
    </w:p>
    <w:p w14:paraId="7B996A36">
      <w:pPr>
        <w:spacing w:line="560" w:lineRule="exact"/>
        <w:jc w:val="center"/>
        <w:rPr>
          <w:rFonts w:ascii="仿宋_GB2312" w:eastAsia="仿宋_GB2312"/>
          <w:sz w:val="24"/>
          <w:highlight w:val="none"/>
        </w:rPr>
      </w:pPr>
    </w:p>
    <w:p w14:paraId="6C772107">
      <w:pPr>
        <w:pStyle w:val="12"/>
        <w:spacing w:line="560" w:lineRule="exact"/>
        <w:ind w:firstLine="470" w:firstLineChars="196"/>
        <w:outlineLvl w:val="3"/>
        <w:rPr>
          <w:rFonts w:ascii="仿宋_GB2312" w:eastAsia="仿宋_GB2312"/>
          <w:sz w:val="24"/>
          <w:highlight w:val="none"/>
        </w:rPr>
      </w:pPr>
      <w:r>
        <w:rPr>
          <w:rFonts w:hint="eastAsia" w:ascii="仿宋_GB2312" w:eastAsia="仿宋_GB2312"/>
          <w:sz w:val="24"/>
          <w:highlight w:val="none"/>
        </w:rPr>
        <w:t>一、基本情况。</w:t>
      </w:r>
    </w:p>
    <w:p w14:paraId="10404971">
      <w:pPr>
        <w:pStyle w:val="12"/>
        <w:spacing w:line="560" w:lineRule="exact"/>
        <w:ind w:firstLine="480" w:firstLineChars="200"/>
        <w:rPr>
          <w:rFonts w:ascii="仿宋_GB2312" w:eastAsia="仿宋_GB2312"/>
          <w:sz w:val="24"/>
          <w:highlight w:val="none"/>
        </w:rPr>
      </w:pPr>
      <w:r>
        <w:rPr>
          <w:rFonts w:hint="eastAsia" w:ascii="仿宋_GB2312" w:eastAsia="仿宋_GB2312"/>
          <w:sz w:val="24"/>
          <w:highlight w:val="none"/>
        </w:rPr>
        <w:t>项目名称：</w:t>
      </w:r>
      <w:r>
        <w:rPr>
          <w:rFonts w:hint="eastAsia" w:ascii="仿宋_GB2312" w:eastAsia="仿宋_GB2312"/>
          <w:sz w:val="24"/>
          <w:highlight w:val="none"/>
          <w:u w:val="single"/>
        </w:rPr>
        <w:t xml:space="preserve">                         </w:t>
      </w:r>
      <w:r>
        <w:rPr>
          <w:rFonts w:hint="eastAsia" w:ascii="仿宋_GB2312" w:eastAsia="仿宋_GB2312"/>
          <w:sz w:val="24"/>
          <w:highlight w:val="none"/>
        </w:rPr>
        <w:t>第</w:t>
      </w:r>
      <w:r>
        <w:rPr>
          <w:rFonts w:hint="eastAsia" w:ascii="仿宋_GB2312" w:eastAsia="仿宋_GB2312"/>
          <w:sz w:val="24"/>
          <w:highlight w:val="none"/>
          <w:u w:val="single"/>
        </w:rPr>
        <w:t xml:space="preserve">    </w:t>
      </w:r>
      <w:r>
        <w:rPr>
          <w:rFonts w:hint="eastAsia" w:ascii="仿宋_GB2312" w:eastAsia="仿宋_GB2312"/>
          <w:sz w:val="24"/>
          <w:highlight w:val="none"/>
        </w:rPr>
        <w:t>标段</w:t>
      </w:r>
    </w:p>
    <w:p w14:paraId="20320830">
      <w:pPr>
        <w:pStyle w:val="12"/>
        <w:spacing w:line="560" w:lineRule="exact"/>
        <w:ind w:firstLine="480" w:firstLineChars="200"/>
        <w:rPr>
          <w:rFonts w:ascii="仿宋_GB2312" w:eastAsia="仿宋_GB2312"/>
          <w:sz w:val="24"/>
          <w:highlight w:val="none"/>
          <w:u w:val="single"/>
        </w:rPr>
      </w:pPr>
      <w:r>
        <w:rPr>
          <w:rFonts w:hint="eastAsia" w:ascii="仿宋_GB2312" w:eastAsia="仿宋_GB2312"/>
          <w:sz w:val="24"/>
          <w:highlight w:val="none"/>
        </w:rPr>
        <w:t>项目编号：</w:t>
      </w:r>
      <w:r>
        <w:rPr>
          <w:rFonts w:hint="eastAsia" w:ascii="仿宋_GB2312" w:eastAsia="仿宋_GB2312"/>
          <w:sz w:val="24"/>
          <w:highlight w:val="none"/>
          <w:u w:val="single"/>
        </w:rPr>
        <w:t xml:space="preserve">                        </w:t>
      </w:r>
    </w:p>
    <w:p w14:paraId="08204E32">
      <w:pPr>
        <w:spacing w:line="560" w:lineRule="exact"/>
        <w:ind w:firstLine="480" w:firstLineChars="200"/>
        <w:rPr>
          <w:rFonts w:ascii="仿宋_GB2312" w:eastAsia="仿宋_GB2312"/>
          <w:sz w:val="24"/>
          <w:highlight w:val="none"/>
        </w:rPr>
      </w:pPr>
      <w:r>
        <w:rPr>
          <w:rFonts w:hint="eastAsia" w:ascii="仿宋_GB2312" w:eastAsia="仿宋_GB2312"/>
          <w:sz w:val="24"/>
          <w:highlight w:val="none"/>
        </w:rPr>
        <w:t>评标地点：开封市民之家五楼评标室</w:t>
      </w:r>
    </w:p>
    <w:p w14:paraId="710DF1EC">
      <w:pPr>
        <w:spacing w:line="560" w:lineRule="exact"/>
        <w:ind w:firstLine="600"/>
        <w:jc w:val="left"/>
        <w:rPr>
          <w:rFonts w:ascii="仿宋_GB2312" w:eastAsia="仿宋_GB2312"/>
          <w:sz w:val="24"/>
          <w:highlight w:val="none"/>
        </w:rPr>
      </w:pPr>
      <w:r>
        <w:rPr>
          <w:rFonts w:hint="eastAsia" w:ascii="仿宋_GB2312" w:eastAsia="仿宋_GB2312"/>
          <w:sz w:val="24"/>
          <w:highlight w:val="none"/>
        </w:rPr>
        <w:t>本次招标采购于</w:t>
      </w:r>
      <w:r>
        <w:rPr>
          <w:rFonts w:hint="eastAsia" w:ascii="仿宋_GB2312" w:eastAsia="仿宋_GB2312"/>
          <w:sz w:val="24"/>
          <w:highlight w:val="none"/>
          <w:u w:val="single"/>
        </w:rPr>
        <w:t>　　　</w:t>
      </w:r>
      <w:r>
        <w:rPr>
          <w:rFonts w:hint="eastAsia" w:ascii="仿宋_GB2312" w:eastAsia="仿宋_GB2312"/>
          <w:sz w:val="24"/>
          <w:highlight w:val="none"/>
        </w:rPr>
        <w:t>年</w:t>
      </w:r>
      <w:r>
        <w:rPr>
          <w:rFonts w:hint="eastAsia" w:ascii="仿宋_GB2312" w:eastAsia="仿宋_GB2312"/>
          <w:sz w:val="24"/>
          <w:highlight w:val="none"/>
          <w:u w:val="single"/>
        </w:rPr>
        <w:t>　　</w:t>
      </w:r>
      <w:r>
        <w:rPr>
          <w:rFonts w:hint="eastAsia" w:ascii="仿宋_GB2312" w:eastAsia="仿宋_GB2312"/>
          <w:sz w:val="24"/>
          <w:highlight w:val="none"/>
        </w:rPr>
        <w:t>月</w:t>
      </w:r>
      <w:r>
        <w:rPr>
          <w:rFonts w:hint="eastAsia" w:ascii="仿宋_GB2312" w:eastAsia="仿宋_GB2312"/>
          <w:sz w:val="24"/>
          <w:highlight w:val="none"/>
          <w:u w:val="single"/>
        </w:rPr>
        <w:t>　　</w:t>
      </w:r>
      <w:r>
        <w:rPr>
          <w:rFonts w:hint="eastAsia" w:ascii="仿宋_GB2312" w:eastAsia="仿宋_GB2312"/>
          <w:sz w:val="24"/>
          <w:highlight w:val="none"/>
        </w:rPr>
        <w:t>日在河南省政府采购网及开封市公共资源交易信息网上发布招标公告，潜在供应商可以通过开封市公共资源交易信息网获取招标文件。</w:t>
      </w:r>
    </w:p>
    <w:p w14:paraId="0B5885EB">
      <w:pPr>
        <w:spacing w:line="560" w:lineRule="exact"/>
        <w:ind w:firstLine="446" w:firstLineChars="186"/>
        <w:rPr>
          <w:rFonts w:ascii="仿宋_GB2312" w:eastAsia="仿宋_GB2312"/>
          <w:sz w:val="24"/>
          <w:highlight w:val="none"/>
        </w:rPr>
      </w:pPr>
      <w:r>
        <w:rPr>
          <w:rFonts w:hint="eastAsia" w:ascii="仿宋_GB2312" w:eastAsia="仿宋_GB2312"/>
          <w:sz w:val="24"/>
          <w:highlight w:val="none"/>
        </w:rPr>
        <w:t>投标截止及开标时间为</w:t>
      </w:r>
      <w:r>
        <w:rPr>
          <w:rFonts w:hint="eastAsia" w:ascii="仿宋_GB2312" w:eastAsia="仿宋_GB2312"/>
          <w:sz w:val="24"/>
          <w:highlight w:val="none"/>
          <w:u w:val="single"/>
        </w:rPr>
        <w:t>　　　</w:t>
      </w:r>
      <w:r>
        <w:rPr>
          <w:rFonts w:hint="eastAsia" w:ascii="仿宋_GB2312" w:eastAsia="仿宋_GB2312"/>
          <w:sz w:val="24"/>
          <w:highlight w:val="none"/>
        </w:rPr>
        <w:t>年</w:t>
      </w:r>
      <w:r>
        <w:rPr>
          <w:rFonts w:hint="eastAsia" w:ascii="仿宋_GB2312" w:eastAsia="仿宋_GB2312"/>
          <w:sz w:val="24"/>
          <w:highlight w:val="none"/>
          <w:u w:val="single"/>
        </w:rPr>
        <w:t>　　</w:t>
      </w:r>
      <w:r>
        <w:rPr>
          <w:rFonts w:hint="eastAsia" w:ascii="仿宋_GB2312" w:eastAsia="仿宋_GB2312"/>
          <w:sz w:val="24"/>
          <w:highlight w:val="none"/>
        </w:rPr>
        <w:t>月</w:t>
      </w:r>
      <w:r>
        <w:rPr>
          <w:rFonts w:hint="eastAsia" w:ascii="仿宋_GB2312" w:eastAsia="仿宋_GB2312"/>
          <w:sz w:val="24"/>
          <w:highlight w:val="none"/>
          <w:u w:val="single"/>
        </w:rPr>
        <w:t>　　</w:t>
      </w:r>
      <w:r>
        <w:rPr>
          <w:rFonts w:hint="eastAsia" w:ascii="仿宋_GB2312" w:eastAsia="仿宋_GB2312"/>
          <w:sz w:val="24"/>
          <w:highlight w:val="none"/>
        </w:rPr>
        <w:t>日</w:t>
      </w:r>
      <w:r>
        <w:rPr>
          <w:rFonts w:hint="eastAsia" w:ascii="仿宋_GB2312" w:eastAsia="仿宋_GB2312"/>
          <w:sz w:val="24"/>
          <w:highlight w:val="none"/>
          <w:u w:val="single"/>
        </w:rPr>
        <w:t>　　</w:t>
      </w:r>
      <w:r>
        <w:rPr>
          <w:rFonts w:hint="eastAsia" w:ascii="仿宋_GB2312" w:eastAsia="仿宋_GB2312"/>
          <w:sz w:val="24"/>
          <w:highlight w:val="none"/>
        </w:rPr>
        <w:t>时</w:t>
      </w:r>
      <w:r>
        <w:rPr>
          <w:rFonts w:hint="eastAsia" w:ascii="仿宋_GB2312" w:eastAsia="仿宋_GB2312"/>
          <w:sz w:val="24"/>
          <w:highlight w:val="none"/>
          <w:u w:val="single"/>
        </w:rPr>
        <w:t xml:space="preserve">  </w:t>
      </w:r>
      <w:r>
        <w:rPr>
          <w:rFonts w:hint="eastAsia" w:ascii="仿宋_GB2312" w:eastAsia="仿宋_GB2312"/>
          <w:sz w:val="24"/>
          <w:highlight w:val="none"/>
        </w:rPr>
        <w:t>分，在开封市民之家五楼开标室进行网上开标，共有</w:t>
      </w:r>
      <w:r>
        <w:rPr>
          <w:rFonts w:hint="eastAsia" w:ascii="仿宋_GB2312" w:eastAsia="仿宋_GB2312"/>
          <w:sz w:val="24"/>
          <w:highlight w:val="none"/>
          <w:u w:val="single"/>
        </w:rPr>
        <w:t xml:space="preserve">     </w:t>
      </w:r>
      <w:r>
        <w:rPr>
          <w:rFonts w:hint="eastAsia" w:ascii="仿宋_GB2312" w:eastAsia="仿宋_GB2312"/>
          <w:sz w:val="24"/>
          <w:highlight w:val="none"/>
        </w:rPr>
        <w:t>个供应商按规定递交投标文件（投标供应商名称详见开标记录表），开标内容详见开标记录。</w:t>
      </w:r>
    </w:p>
    <w:p w14:paraId="391FF4A3">
      <w:pPr>
        <w:spacing w:line="560" w:lineRule="exact"/>
        <w:ind w:firstLine="600"/>
        <w:rPr>
          <w:rFonts w:ascii="仿宋_GB2312" w:eastAsia="仿宋_GB2312"/>
          <w:sz w:val="24"/>
          <w:highlight w:val="none"/>
        </w:rPr>
      </w:pPr>
      <w:r>
        <w:rPr>
          <w:rFonts w:hint="eastAsia" w:ascii="仿宋_GB2312" w:eastAsia="仿宋_GB2312"/>
          <w:b/>
          <w:sz w:val="24"/>
          <w:highlight w:val="none"/>
        </w:rPr>
        <w:t>二、评标委员会成员名单。</w:t>
      </w:r>
      <w:r>
        <w:rPr>
          <w:rFonts w:hint="eastAsia" w:ascii="仿宋_GB2312" w:eastAsia="仿宋_GB2312"/>
          <w:sz w:val="24"/>
          <w:highlight w:val="none"/>
        </w:rPr>
        <w:t>采购单位按规定从专家库中随机抽取了评审专家</w:t>
      </w:r>
      <w:r>
        <w:rPr>
          <w:rFonts w:hint="eastAsia" w:ascii="仿宋_GB2312" w:eastAsia="仿宋_GB2312"/>
          <w:sz w:val="24"/>
          <w:highlight w:val="none"/>
          <w:u w:val="single"/>
        </w:rPr>
        <w:t xml:space="preserve">     </w:t>
      </w:r>
      <w:r>
        <w:rPr>
          <w:rFonts w:hint="eastAsia" w:ascii="仿宋_GB2312" w:eastAsia="仿宋_GB2312"/>
          <w:sz w:val="24"/>
          <w:highlight w:val="none"/>
        </w:rPr>
        <w:t>人（名单：</w:t>
      </w:r>
      <w:r>
        <w:rPr>
          <w:rFonts w:hint="eastAsia" w:ascii="仿宋_GB2312" w:eastAsia="仿宋_GB2312"/>
          <w:sz w:val="24"/>
          <w:highlight w:val="none"/>
          <w:u w:val="single"/>
        </w:rPr>
        <w:t xml:space="preserve">                        </w:t>
      </w:r>
      <w:r>
        <w:rPr>
          <w:rFonts w:hint="eastAsia" w:ascii="仿宋_GB2312" w:eastAsia="仿宋_GB2312"/>
          <w:sz w:val="24"/>
          <w:highlight w:val="none"/>
        </w:rPr>
        <w:t>），参与评标的采购人代表为：</w:t>
      </w:r>
      <w:r>
        <w:rPr>
          <w:rFonts w:hint="eastAsia" w:ascii="仿宋_GB2312" w:eastAsia="仿宋_GB2312"/>
          <w:sz w:val="24"/>
          <w:highlight w:val="none"/>
          <w:u w:val="single"/>
        </w:rPr>
        <w:t xml:space="preserve">          </w:t>
      </w:r>
      <w:r>
        <w:rPr>
          <w:rFonts w:hint="eastAsia" w:ascii="仿宋_GB2312" w:eastAsia="仿宋_GB2312"/>
          <w:sz w:val="24"/>
          <w:highlight w:val="none"/>
        </w:rPr>
        <w:t>，上述人员共同组成评标委员会，负责本项目的评标工作(人员名单详见《</w:t>
      </w:r>
      <w:r>
        <w:rPr>
          <w:rFonts w:hint="eastAsia" w:ascii="仿宋_GB2312" w:hAnsi="宋体" w:eastAsia="仿宋_GB2312"/>
          <w:bCs/>
          <w:sz w:val="24"/>
          <w:highlight w:val="none"/>
        </w:rPr>
        <w:t>评委专家抽取结果表》和《评标授权函》</w:t>
      </w:r>
      <w:r>
        <w:rPr>
          <w:rFonts w:hint="eastAsia" w:ascii="仿宋_GB2312" w:eastAsia="仿宋_GB2312"/>
          <w:sz w:val="24"/>
          <w:highlight w:val="none"/>
        </w:rPr>
        <w:t>)。推荐</w:t>
      </w:r>
      <w:r>
        <w:rPr>
          <w:rFonts w:hint="eastAsia" w:ascii="仿宋_GB2312" w:eastAsia="仿宋_GB2312"/>
          <w:sz w:val="24"/>
          <w:highlight w:val="none"/>
          <w:u w:val="single"/>
        </w:rPr>
        <w:t xml:space="preserve">        </w:t>
      </w:r>
      <w:r>
        <w:rPr>
          <w:rFonts w:hint="eastAsia" w:ascii="仿宋_GB2312" w:eastAsia="仿宋_GB2312"/>
          <w:sz w:val="24"/>
          <w:highlight w:val="none"/>
        </w:rPr>
        <w:t>为评标委员会主任。</w:t>
      </w:r>
    </w:p>
    <w:p w14:paraId="0BA451AA">
      <w:pPr>
        <w:spacing w:line="560" w:lineRule="exact"/>
        <w:ind w:firstLine="600"/>
        <w:rPr>
          <w:rFonts w:ascii="仿宋_GB2312" w:eastAsia="仿宋_GB2312"/>
          <w:sz w:val="24"/>
          <w:highlight w:val="none"/>
        </w:rPr>
      </w:pPr>
      <w:r>
        <w:rPr>
          <w:rFonts w:hint="eastAsia" w:ascii="仿宋_GB2312" w:eastAsia="仿宋_GB2312"/>
          <w:b/>
          <w:sz w:val="24"/>
          <w:highlight w:val="none"/>
        </w:rPr>
        <w:t>三、开标记录。</w:t>
      </w:r>
      <w:r>
        <w:rPr>
          <w:rFonts w:hint="eastAsia" w:ascii="仿宋_GB2312" w:eastAsia="仿宋_GB2312"/>
          <w:sz w:val="24"/>
          <w:highlight w:val="none"/>
        </w:rPr>
        <w:t>另附。</w:t>
      </w:r>
    </w:p>
    <w:p w14:paraId="25CB6B48">
      <w:pPr>
        <w:spacing w:line="560" w:lineRule="exact"/>
        <w:ind w:firstLine="600"/>
        <w:rPr>
          <w:rFonts w:ascii="仿宋_GB2312" w:eastAsia="仿宋_GB2312"/>
          <w:b/>
          <w:sz w:val="24"/>
          <w:highlight w:val="none"/>
        </w:rPr>
      </w:pPr>
      <w:r>
        <w:rPr>
          <w:rFonts w:hint="eastAsia" w:ascii="仿宋_GB2312" w:eastAsia="仿宋_GB2312"/>
          <w:b/>
          <w:sz w:val="24"/>
          <w:highlight w:val="none"/>
        </w:rPr>
        <w:t>四、资格审查。</w:t>
      </w:r>
      <w:r>
        <w:rPr>
          <w:rFonts w:hint="eastAsia" w:ascii="仿宋_GB2312" w:eastAsia="仿宋_GB2312"/>
          <w:sz w:val="24"/>
          <w:highlight w:val="none"/>
        </w:rPr>
        <w:t>由采购人或采购代理机构负责。详见资格审查表。</w:t>
      </w:r>
    </w:p>
    <w:p w14:paraId="45CBB20A">
      <w:pPr>
        <w:spacing w:line="560" w:lineRule="exact"/>
        <w:ind w:firstLine="600"/>
        <w:rPr>
          <w:rFonts w:ascii="仿宋_GB2312" w:eastAsia="仿宋_GB2312"/>
          <w:sz w:val="24"/>
          <w:highlight w:val="none"/>
        </w:rPr>
      </w:pPr>
      <w:r>
        <w:rPr>
          <w:rFonts w:hint="eastAsia" w:ascii="仿宋_GB2312" w:eastAsia="仿宋_GB2312"/>
          <w:b/>
          <w:sz w:val="24"/>
          <w:highlight w:val="none"/>
        </w:rPr>
        <w:t>五、符合性审查、商务和技术评审。</w:t>
      </w:r>
      <w:r>
        <w:rPr>
          <w:rFonts w:hint="eastAsia" w:ascii="仿宋_GB2312" w:eastAsia="仿宋_GB2312"/>
          <w:sz w:val="24"/>
          <w:highlight w:val="none"/>
        </w:rPr>
        <w:t>由评标委员会负责。详见符合性审查表、商务和技术评审表。</w:t>
      </w:r>
    </w:p>
    <w:p w14:paraId="4C72CB6E">
      <w:pPr>
        <w:spacing w:line="560" w:lineRule="exact"/>
        <w:ind w:firstLine="600"/>
        <w:rPr>
          <w:rFonts w:ascii="仿宋_GB2312" w:eastAsia="仿宋_GB2312"/>
          <w:b/>
          <w:sz w:val="24"/>
          <w:highlight w:val="none"/>
        </w:rPr>
      </w:pPr>
      <w:r>
        <w:rPr>
          <w:rFonts w:hint="eastAsia" w:ascii="仿宋_GB2312" w:eastAsia="仿宋_GB2312"/>
          <w:b/>
          <w:sz w:val="24"/>
          <w:highlight w:val="none"/>
        </w:rPr>
        <w:t>六、无效标情况说明。</w:t>
      </w:r>
      <w:r>
        <w:rPr>
          <w:rFonts w:hint="eastAsia" w:ascii="仿宋_GB2312" w:eastAsia="仿宋_GB2312"/>
          <w:sz w:val="24"/>
          <w:highlight w:val="none"/>
        </w:rPr>
        <w:t>经过采购人和代理机构进行资格审查，评标委员会进行符合性审查，本项目第</w:t>
      </w:r>
      <w:r>
        <w:rPr>
          <w:rFonts w:hint="eastAsia" w:ascii="仿宋_GB2312" w:eastAsia="仿宋_GB2312"/>
          <w:sz w:val="24"/>
          <w:highlight w:val="none"/>
          <w:u w:val="single"/>
        </w:rPr>
        <w:t xml:space="preserve">   </w:t>
      </w:r>
      <w:r>
        <w:rPr>
          <w:rFonts w:hint="eastAsia" w:ascii="仿宋_GB2312" w:eastAsia="仿宋_GB2312"/>
          <w:sz w:val="24"/>
          <w:highlight w:val="none"/>
        </w:rPr>
        <w:t>标段有</w:t>
      </w:r>
      <w:r>
        <w:rPr>
          <w:rFonts w:hint="eastAsia" w:ascii="仿宋_GB2312" w:eastAsia="仿宋_GB2312"/>
          <w:sz w:val="24"/>
          <w:highlight w:val="none"/>
          <w:u w:val="single"/>
        </w:rPr>
        <w:t xml:space="preserve">      </w:t>
      </w:r>
      <w:r>
        <w:rPr>
          <w:rFonts w:hint="eastAsia" w:ascii="仿宋_GB2312" w:eastAsia="仿宋_GB2312"/>
          <w:sz w:val="24"/>
          <w:highlight w:val="none"/>
        </w:rPr>
        <w:t>个供应商的投标为有效投标，有</w:t>
      </w:r>
      <w:r>
        <w:rPr>
          <w:rFonts w:hint="eastAsia" w:ascii="仿宋_GB2312" w:eastAsia="仿宋_GB2312"/>
          <w:sz w:val="24"/>
          <w:highlight w:val="none"/>
          <w:u w:val="single"/>
        </w:rPr>
        <w:t xml:space="preserve">    </w:t>
      </w:r>
      <w:r>
        <w:rPr>
          <w:rFonts w:hint="eastAsia" w:ascii="仿宋_GB2312" w:eastAsia="仿宋_GB2312"/>
          <w:sz w:val="24"/>
          <w:highlight w:val="none"/>
        </w:rPr>
        <w:t>个供应商的投标为无效投标，无效投标名单及原因为：</w:t>
      </w:r>
      <w:r>
        <w:rPr>
          <w:rFonts w:hint="eastAsia" w:ascii="仿宋_GB2312" w:eastAsia="仿宋_GB2312"/>
          <w:sz w:val="24"/>
          <w:highlight w:val="none"/>
          <w:u w:val="single"/>
        </w:rPr>
        <w:t xml:space="preserve"> 　　　　　                        </w:t>
      </w:r>
    </w:p>
    <w:p w14:paraId="7AB1D41B">
      <w:pPr>
        <w:spacing w:line="560" w:lineRule="exact"/>
        <w:rPr>
          <w:rFonts w:ascii="仿宋_GB2312" w:eastAsia="仿宋_GB2312"/>
          <w:sz w:val="24"/>
          <w:highlight w:val="none"/>
          <w:u w:val="single"/>
        </w:rPr>
      </w:pPr>
      <w:r>
        <w:rPr>
          <w:rFonts w:hint="eastAsia" w:ascii="仿宋_GB2312" w:eastAsia="仿宋_GB2312"/>
          <w:sz w:val="24"/>
          <w:highlight w:val="none"/>
          <w:u w:val="single"/>
        </w:rPr>
        <w:t xml:space="preserve">                                                       </w:t>
      </w:r>
    </w:p>
    <w:p w14:paraId="720CE0E5">
      <w:pPr>
        <w:spacing w:line="560" w:lineRule="exact"/>
        <w:rPr>
          <w:rFonts w:ascii="仿宋_GB2312" w:eastAsia="仿宋_GB2312"/>
          <w:sz w:val="24"/>
          <w:highlight w:val="none"/>
          <w:u w:val="single"/>
        </w:rPr>
      </w:pPr>
      <w:r>
        <w:rPr>
          <w:rFonts w:hint="eastAsia" w:ascii="仿宋_GB2312" w:eastAsia="仿宋_GB2312"/>
          <w:sz w:val="24"/>
          <w:highlight w:val="none"/>
          <w:u w:val="single"/>
        </w:rPr>
        <w:t xml:space="preserve">                                            　  </w:t>
      </w:r>
      <w:r>
        <w:rPr>
          <w:rFonts w:hint="eastAsia" w:ascii="仿宋_GB2312" w:eastAsia="仿宋_GB2312"/>
          <w:sz w:val="24"/>
          <w:highlight w:val="none"/>
        </w:rPr>
        <w:t>（详见资格审查表、符合性审查表及有关评审记录)。</w:t>
      </w:r>
    </w:p>
    <w:p w14:paraId="109E835E">
      <w:pPr>
        <w:spacing w:line="560" w:lineRule="exact"/>
        <w:ind w:firstLine="482" w:firstLineChars="200"/>
        <w:rPr>
          <w:rFonts w:ascii="仿宋_GB2312" w:eastAsia="仿宋_GB2312"/>
          <w:b/>
          <w:sz w:val="24"/>
          <w:highlight w:val="none"/>
        </w:rPr>
      </w:pPr>
      <w:r>
        <w:rPr>
          <w:rFonts w:hint="eastAsia" w:ascii="仿宋_GB2312" w:eastAsia="仿宋_GB2312"/>
          <w:b/>
          <w:sz w:val="24"/>
          <w:highlight w:val="none"/>
        </w:rPr>
        <w:t>七、评标方法、评标因素、评标标准（详见招标文件中评标办法前附表）。</w:t>
      </w:r>
    </w:p>
    <w:p w14:paraId="08EEDD7D">
      <w:pPr>
        <w:spacing w:line="560" w:lineRule="exact"/>
        <w:ind w:firstLine="482" w:firstLineChars="200"/>
        <w:rPr>
          <w:rFonts w:ascii="仿宋_GB2312" w:eastAsia="仿宋_GB2312"/>
          <w:b/>
          <w:sz w:val="24"/>
          <w:highlight w:val="none"/>
        </w:rPr>
      </w:pPr>
      <w:r>
        <w:rPr>
          <w:rFonts w:hint="eastAsia" w:ascii="仿宋_GB2312" w:eastAsia="仿宋_GB2312"/>
          <w:b/>
          <w:sz w:val="24"/>
          <w:highlight w:val="none"/>
        </w:rPr>
        <w:t>八、属于价格折扣范围的小型微型企业、监狱企业、残疾人福利性单位情况：</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0"/>
        <w:gridCol w:w="1503"/>
        <w:gridCol w:w="2520"/>
      </w:tblGrid>
      <w:tr w14:paraId="77FCD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320" w:type="dxa"/>
            <w:vAlign w:val="center"/>
          </w:tcPr>
          <w:p w14:paraId="0C24A60A">
            <w:pPr>
              <w:spacing w:line="560" w:lineRule="exact"/>
              <w:rPr>
                <w:rFonts w:ascii="仿宋_GB2312" w:eastAsia="仿宋_GB2312"/>
                <w:sz w:val="24"/>
                <w:highlight w:val="none"/>
              </w:rPr>
            </w:pPr>
            <w:r>
              <w:rPr>
                <w:rFonts w:hint="eastAsia" w:ascii="仿宋_GB2312" w:eastAsia="仿宋_GB2312"/>
                <w:b/>
                <w:sz w:val="24"/>
                <w:highlight w:val="none"/>
              </w:rPr>
              <w:t>单位名称（小型微型企业、监狱企业、残疾人福利性单位）</w:t>
            </w:r>
          </w:p>
        </w:tc>
        <w:tc>
          <w:tcPr>
            <w:tcW w:w="1503" w:type="dxa"/>
            <w:vAlign w:val="center"/>
          </w:tcPr>
          <w:p w14:paraId="0BB5F3D7">
            <w:pPr>
              <w:spacing w:line="560" w:lineRule="exact"/>
              <w:rPr>
                <w:rFonts w:ascii="仿宋_GB2312" w:eastAsia="仿宋_GB2312"/>
                <w:b/>
                <w:sz w:val="24"/>
                <w:highlight w:val="none"/>
              </w:rPr>
            </w:pPr>
            <w:r>
              <w:rPr>
                <w:rFonts w:hint="eastAsia" w:ascii="仿宋_GB2312" w:eastAsia="仿宋_GB2312"/>
                <w:b/>
                <w:sz w:val="24"/>
                <w:highlight w:val="none"/>
              </w:rPr>
              <w:t>投标报价（元）</w:t>
            </w:r>
          </w:p>
        </w:tc>
        <w:tc>
          <w:tcPr>
            <w:tcW w:w="2520" w:type="dxa"/>
            <w:vAlign w:val="center"/>
          </w:tcPr>
          <w:p w14:paraId="43F99B38">
            <w:pPr>
              <w:spacing w:line="560" w:lineRule="exact"/>
              <w:rPr>
                <w:rFonts w:ascii="仿宋_GB2312" w:eastAsia="仿宋_GB2312"/>
                <w:sz w:val="22"/>
                <w:szCs w:val="22"/>
                <w:highlight w:val="none"/>
              </w:rPr>
            </w:pPr>
            <w:r>
              <w:rPr>
                <w:rFonts w:hint="eastAsia"/>
                <w:b/>
                <w:bCs/>
                <w:i w:val="0"/>
                <w:iCs w:val="0"/>
                <w:highlight w:val="none"/>
                <w:lang w:val="en-US" w:eastAsia="zh-CN"/>
              </w:rPr>
              <w:t>评审报价</w:t>
            </w:r>
            <w:r>
              <w:rPr>
                <w:rFonts w:hint="eastAsia" w:ascii="仿宋_GB2312" w:eastAsia="仿宋_GB2312"/>
                <w:sz w:val="22"/>
                <w:szCs w:val="22"/>
                <w:highlight w:val="none"/>
              </w:rPr>
              <w:t>（价格扣除后的价格）</w:t>
            </w:r>
          </w:p>
        </w:tc>
      </w:tr>
      <w:tr w14:paraId="71A9C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4320" w:type="dxa"/>
          </w:tcPr>
          <w:p w14:paraId="11ED76E8">
            <w:pPr>
              <w:spacing w:line="560" w:lineRule="exact"/>
              <w:rPr>
                <w:rFonts w:ascii="仿宋_GB2312" w:eastAsia="仿宋_GB2312"/>
                <w:sz w:val="24"/>
                <w:highlight w:val="none"/>
              </w:rPr>
            </w:pPr>
          </w:p>
        </w:tc>
        <w:tc>
          <w:tcPr>
            <w:tcW w:w="1503" w:type="dxa"/>
          </w:tcPr>
          <w:p w14:paraId="13E7EBAE">
            <w:pPr>
              <w:spacing w:line="560" w:lineRule="exact"/>
              <w:rPr>
                <w:rFonts w:ascii="仿宋_GB2312" w:eastAsia="仿宋_GB2312"/>
                <w:sz w:val="24"/>
                <w:highlight w:val="none"/>
              </w:rPr>
            </w:pPr>
          </w:p>
        </w:tc>
        <w:tc>
          <w:tcPr>
            <w:tcW w:w="2520" w:type="dxa"/>
          </w:tcPr>
          <w:p w14:paraId="1EAAD8B6">
            <w:pPr>
              <w:spacing w:line="560" w:lineRule="exact"/>
              <w:rPr>
                <w:rFonts w:ascii="仿宋_GB2312" w:eastAsia="仿宋_GB2312"/>
                <w:sz w:val="24"/>
                <w:highlight w:val="none"/>
              </w:rPr>
            </w:pPr>
          </w:p>
        </w:tc>
      </w:tr>
      <w:tr w14:paraId="3E993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4320" w:type="dxa"/>
          </w:tcPr>
          <w:p w14:paraId="5ABF229D">
            <w:pPr>
              <w:spacing w:line="560" w:lineRule="exact"/>
              <w:rPr>
                <w:rFonts w:ascii="仿宋_GB2312" w:eastAsia="仿宋_GB2312"/>
                <w:sz w:val="24"/>
                <w:highlight w:val="none"/>
              </w:rPr>
            </w:pPr>
          </w:p>
        </w:tc>
        <w:tc>
          <w:tcPr>
            <w:tcW w:w="1503" w:type="dxa"/>
          </w:tcPr>
          <w:p w14:paraId="766547B0">
            <w:pPr>
              <w:spacing w:line="560" w:lineRule="exact"/>
              <w:rPr>
                <w:rFonts w:ascii="仿宋_GB2312" w:eastAsia="仿宋_GB2312"/>
                <w:sz w:val="24"/>
                <w:highlight w:val="none"/>
              </w:rPr>
            </w:pPr>
          </w:p>
        </w:tc>
        <w:tc>
          <w:tcPr>
            <w:tcW w:w="2520" w:type="dxa"/>
          </w:tcPr>
          <w:p w14:paraId="77E20A91">
            <w:pPr>
              <w:spacing w:line="560" w:lineRule="exact"/>
              <w:rPr>
                <w:rFonts w:ascii="仿宋_GB2312" w:eastAsia="仿宋_GB2312"/>
                <w:sz w:val="24"/>
                <w:highlight w:val="none"/>
              </w:rPr>
            </w:pPr>
          </w:p>
        </w:tc>
      </w:tr>
    </w:tbl>
    <w:p w14:paraId="26F36EF7">
      <w:pPr>
        <w:spacing w:line="560" w:lineRule="exact"/>
        <w:ind w:firstLine="482" w:firstLineChars="200"/>
        <w:rPr>
          <w:rFonts w:ascii="仿宋_GB2312" w:eastAsia="仿宋_GB2312"/>
          <w:b/>
          <w:sz w:val="24"/>
          <w:highlight w:val="none"/>
        </w:rPr>
      </w:pPr>
    </w:p>
    <w:p w14:paraId="5873A89A">
      <w:pPr>
        <w:spacing w:line="560" w:lineRule="exact"/>
        <w:ind w:firstLine="482" w:firstLineChars="200"/>
        <w:outlineLvl w:val="3"/>
        <w:rPr>
          <w:rFonts w:ascii="仿宋_GB2312" w:eastAsia="仿宋_GB2312"/>
          <w:b/>
          <w:sz w:val="24"/>
          <w:highlight w:val="none"/>
        </w:rPr>
      </w:pPr>
      <w:r>
        <w:rPr>
          <w:rFonts w:hint="eastAsia" w:ascii="仿宋_GB2312" w:eastAsia="仿宋_GB2312"/>
          <w:b/>
          <w:sz w:val="24"/>
          <w:highlight w:val="none"/>
        </w:rPr>
        <w:t>九、经评审的价格或评分比较一览表。</w:t>
      </w:r>
    </w:p>
    <w:p w14:paraId="68FDCA95">
      <w:pPr>
        <w:spacing w:line="560" w:lineRule="exact"/>
        <w:ind w:firstLine="480" w:firstLineChars="200"/>
        <w:rPr>
          <w:rFonts w:ascii="仿宋_GB2312" w:eastAsia="仿宋_GB2312"/>
          <w:sz w:val="24"/>
          <w:highlight w:val="none"/>
        </w:rPr>
      </w:pPr>
      <w:r>
        <w:rPr>
          <w:rFonts w:hint="eastAsia" w:ascii="仿宋_GB2312" w:eastAsia="仿宋_GB2312"/>
          <w:sz w:val="24"/>
          <w:highlight w:val="none"/>
        </w:rPr>
        <w:t>评标委员会对各有效投标进行了详细评审，各供应商的报价及排序如下：</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62"/>
        <w:gridCol w:w="1193"/>
        <w:gridCol w:w="1453"/>
        <w:gridCol w:w="2071"/>
      </w:tblGrid>
      <w:tr w14:paraId="05D5C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62" w:type="dxa"/>
            <w:vAlign w:val="center"/>
          </w:tcPr>
          <w:p w14:paraId="073ED6D9">
            <w:pPr>
              <w:spacing w:line="560" w:lineRule="exact"/>
              <w:jc w:val="center"/>
              <w:rPr>
                <w:rFonts w:ascii="仿宋_GB2312" w:eastAsia="仿宋_GB2312"/>
                <w:sz w:val="24"/>
                <w:highlight w:val="none"/>
              </w:rPr>
            </w:pPr>
            <w:r>
              <w:rPr>
                <w:rFonts w:hint="eastAsia" w:ascii="仿宋_GB2312" w:eastAsia="仿宋_GB2312"/>
                <w:sz w:val="24"/>
                <w:highlight w:val="none"/>
              </w:rPr>
              <w:t>供应商</w:t>
            </w:r>
          </w:p>
        </w:tc>
        <w:tc>
          <w:tcPr>
            <w:tcW w:w="1193" w:type="dxa"/>
            <w:vAlign w:val="center"/>
          </w:tcPr>
          <w:p w14:paraId="34D80F9B">
            <w:pPr>
              <w:spacing w:line="560" w:lineRule="exact"/>
              <w:jc w:val="center"/>
              <w:rPr>
                <w:rFonts w:ascii="仿宋_GB2312" w:eastAsia="仿宋_GB2312"/>
                <w:sz w:val="24"/>
                <w:highlight w:val="none"/>
              </w:rPr>
            </w:pPr>
            <w:r>
              <w:rPr>
                <w:rFonts w:hint="eastAsia" w:ascii="仿宋_GB2312" w:eastAsia="仿宋_GB2312"/>
                <w:b/>
                <w:sz w:val="24"/>
                <w:highlight w:val="none"/>
              </w:rPr>
              <w:t>投标报价</w:t>
            </w:r>
            <w:r>
              <w:rPr>
                <w:rFonts w:hint="eastAsia" w:ascii="仿宋_GB2312" w:eastAsia="仿宋_GB2312"/>
                <w:sz w:val="24"/>
                <w:highlight w:val="none"/>
              </w:rPr>
              <w:t>（元）</w:t>
            </w:r>
          </w:p>
        </w:tc>
        <w:tc>
          <w:tcPr>
            <w:tcW w:w="1453" w:type="dxa"/>
            <w:vAlign w:val="center"/>
          </w:tcPr>
          <w:p w14:paraId="6BAD738E">
            <w:pPr>
              <w:spacing w:line="560" w:lineRule="exact"/>
              <w:jc w:val="center"/>
              <w:rPr>
                <w:rFonts w:ascii="仿宋_GB2312" w:eastAsia="仿宋_GB2312"/>
                <w:sz w:val="24"/>
                <w:highlight w:val="none"/>
              </w:rPr>
            </w:pPr>
            <w:r>
              <w:rPr>
                <w:rFonts w:hint="eastAsia" w:ascii="仿宋_GB2312" w:eastAsia="仿宋_GB2312"/>
                <w:b/>
                <w:sz w:val="24"/>
                <w:highlight w:val="none"/>
              </w:rPr>
              <w:t>得分</w:t>
            </w:r>
          </w:p>
        </w:tc>
        <w:tc>
          <w:tcPr>
            <w:tcW w:w="2071" w:type="dxa"/>
            <w:vAlign w:val="center"/>
          </w:tcPr>
          <w:p w14:paraId="617FDC33">
            <w:pPr>
              <w:spacing w:line="560" w:lineRule="exact"/>
              <w:rPr>
                <w:rFonts w:ascii="仿宋_GB2312" w:eastAsia="仿宋_GB2312"/>
                <w:sz w:val="22"/>
                <w:szCs w:val="22"/>
                <w:highlight w:val="none"/>
              </w:rPr>
            </w:pPr>
            <w:r>
              <w:rPr>
                <w:rFonts w:hint="eastAsia" w:ascii="仿宋_GB2312" w:eastAsia="仿宋_GB2312"/>
                <w:b/>
                <w:sz w:val="24"/>
                <w:highlight w:val="none"/>
              </w:rPr>
              <w:t>排序</w:t>
            </w:r>
            <w:r>
              <w:rPr>
                <w:rFonts w:hint="eastAsia" w:ascii="仿宋_GB2312" w:eastAsia="仿宋_GB2312"/>
                <w:sz w:val="22"/>
                <w:szCs w:val="22"/>
                <w:highlight w:val="none"/>
              </w:rPr>
              <w:t>（按得分从高到低排）</w:t>
            </w:r>
          </w:p>
        </w:tc>
      </w:tr>
      <w:tr w14:paraId="0EC1D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3562" w:type="dxa"/>
          </w:tcPr>
          <w:p w14:paraId="32E9330F">
            <w:pPr>
              <w:spacing w:line="560" w:lineRule="exact"/>
              <w:rPr>
                <w:rFonts w:ascii="仿宋_GB2312" w:eastAsia="仿宋_GB2312"/>
                <w:color w:val="0000FF"/>
                <w:sz w:val="24"/>
                <w:highlight w:val="none"/>
              </w:rPr>
            </w:pPr>
          </w:p>
        </w:tc>
        <w:tc>
          <w:tcPr>
            <w:tcW w:w="1193" w:type="dxa"/>
          </w:tcPr>
          <w:p w14:paraId="545D15D6">
            <w:pPr>
              <w:spacing w:line="560" w:lineRule="exact"/>
              <w:rPr>
                <w:rFonts w:ascii="仿宋_GB2312" w:eastAsia="仿宋_GB2312"/>
                <w:color w:val="0000FF"/>
                <w:sz w:val="24"/>
                <w:highlight w:val="none"/>
              </w:rPr>
            </w:pPr>
          </w:p>
        </w:tc>
        <w:tc>
          <w:tcPr>
            <w:tcW w:w="1453" w:type="dxa"/>
          </w:tcPr>
          <w:p w14:paraId="7B66116D">
            <w:pPr>
              <w:spacing w:line="560" w:lineRule="exact"/>
              <w:rPr>
                <w:rFonts w:ascii="仿宋_GB2312" w:eastAsia="仿宋_GB2312"/>
                <w:color w:val="0000FF"/>
                <w:sz w:val="24"/>
                <w:highlight w:val="none"/>
              </w:rPr>
            </w:pPr>
          </w:p>
        </w:tc>
        <w:tc>
          <w:tcPr>
            <w:tcW w:w="2071" w:type="dxa"/>
          </w:tcPr>
          <w:p w14:paraId="2A96FE6A">
            <w:pPr>
              <w:spacing w:line="560" w:lineRule="exact"/>
              <w:rPr>
                <w:rFonts w:ascii="仿宋_GB2312" w:eastAsia="仿宋_GB2312"/>
                <w:color w:val="0000FF"/>
                <w:sz w:val="24"/>
                <w:highlight w:val="none"/>
              </w:rPr>
            </w:pPr>
          </w:p>
        </w:tc>
      </w:tr>
      <w:tr w14:paraId="45861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3562" w:type="dxa"/>
          </w:tcPr>
          <w:p w14:paraId="4FD27C1A">
            <w:pPr>
              <w:spacing w:line="560" w:lineRule="exact"/>
              <w:rPr>
                <w:rFonts w:ascii="仿宋_GB2312" w:eastAsia="仿宋_GB2312"/>
                <w:color w:val="0000FF"/>
                <w:sz w:val="24"/>
                <w:highlight w:val="none"/>
              </w:rPr>
            </w:pPr>
          </w:p>
        </w:tc>
        <w:tc>
          <w:tcPr>
            <w:tcW w:w="1193" w:type="dxa"/>
          </w:tcPr>
          <w:p w14:paraId="64D0FD8B">
            <w:pPr>
              <w:spacing w:line="560" w:lineRule="exact"/>
              <w:rPr>
                <w:rFonts w:ascii="仿宋_GB2312" w:eastAsia="仿宋_GB2312"/>
                <w:color w:val="0000FF"/>
                <w:sz w:val="24"/>
                <w:highlight w:val="none"/>
              </w:rPr>
            </w:pPr>
          </w:p>
        </w:tc>
        <w:tc>
          <w:tcPr>
            <w:tcW w:w="1453" w:type="dxa"/>
          </w:tcPr>
          <w:p w14:paraId="5361EEFA">
            <w:pPr>
              <w:spacing w:line="560" w:lineRule="exact"/>
              <w:rPr>
                <w:rFonts w:ascii="仿宋_GB2312" w:eastAsia="仿宋_GB2312"/>
                <w:color w:val="0000FF"/>
                <w:sz w:val="24"/>
                <w:highlight w:val="none"/>
              </w:rPr>
            </w:pPr>
          </w:p>
        </w:tc>
        <w:tc>
          <w:tcPr>
            <w:tcW w:w="2071" w:type="dxa"/>
          </w:tcPr>
          <w:p w14:paraId="19331EF4">
            <w:pPr>
              <w:spacing w:line="560" w:lineRule="exact"/>
              <w:rPr>
                <w:rFonts w:ascii="仿宋_GB2312" w:eastAsia="仿宋_GB2312"/>
                <w:color w:val="0000FF"/>
                <w:sz w:val="24"/>
                <w:highlight w:val="none"/>
              </w:rPr>
            </w:pPr>
          </w:p>
        </w:tc>
      </w:tr>
      <w:tr w14:paraId="77895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3562" w:type="dxa"/>
          </w:tcPr>
          <w:p w14:paraId="59041F80">
            <w:pPr>
              <w:spacing w:line="560" w:lineRule="exact"/>
              <w:rPr>
                <w:rFonts w:ascii="仿宋_GB2312" w:eastAsia="仿宋_GB2312"/>
                <w:color w:val="0000FF"/>
                <w:sz w:val="24"/>
                <w:highlight w:val="none"/>
              </w:rPr>
            </w:pPr>
          </w:p>
        </w:tc>
        <w:tc>
          <w:tcPr>
            <w:tcW w:w="1193" w:type="dxa"/>
          </w:tcPr>
          <w:p w14:paraId="3E43AD76">
            <w:pPr>
              <w:spacing w:line="560" w:lineRule="exact"/>
              <w:rPr>
                <w:rFonts w:ascii="仿宋_GB2312" w:eastAsia="仿宋_GB2312"/>
                <w:color w:val="0000FF"/>
                <w:sz w:val="24"/>
                <w:highlight w:val="none"/>
              </w:rPr>
            </w:pPr>
          </w:p>
        </w:tc>
        <w:tc>
          <w:tcPr>
            <w:tcW w:w="1453" w:type="dxa"/>
          </w:tcPr>
          <w:p w14:paraId="41A1BC08">
            <w:pPr>
              <w:spacing w:line="560" w:lineRule="exact"/>
              <w:rPr>
                <w:rFonts w:ascii="仿宋_GB2312" w:eastAsia="仿宋_GB2312"/>
                <w:color w:val="0000FF"/>
                <w:sz w:val="24"/>
                <w:highlight w:val="none"/>
              </w:rPr>
            </w:pPr>
          </w:p>
        </w:tc>
        <w:tc>
          <w:tcPr>
            <w:tcW w:w="2071" w:type="dxa"/>
          </w:tcPr>
          <w:p w14:paraId="4E65FA87">
            <w:pPr>
              <w:spacing w:line="560" w:lineRule="exact"/>
              <w:rPr>
                <w:rFonts w:ascii="仿宋_GB2312" w:eastAsia="仿宋_GB2312"/>
                <w:color w:val="0000FF"/>
                <w:sz w:val="24"/>
                <w:highlight w:val="none"/>
              </w:rPr>
            </w:pPr>
          </w:p>
        </w:tc>
      </w:tr>
      <w:tr w14:paraId="731DF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3562" w:type="dxa"/>
          </w:tcPr>
          <w:p w14:paraId="245B5E6D">
            <w:pPr>
              <w:spacing w:line="560" w:lineRule="exact"/>
              <w:rPr>
                <w:rFonts w:ascii="仿宋_GB2312" w:eastAsia="仿宋_GB2312"/>
                <w:color w:val="0000FF"/>
                <w:sz w:val="24"/>
                <w:highlight w:val="none"/>
              </w:rPr>
            </w:pPr>
          </w:p>
        </w:tc>
        <w:tc>
          <w:tcPr>
            <w:tcW w:w="1193" w:type="dxa"/>
          </w:tcPr>
          <w:p w14:paraId="7186D803">
            <w:pPr>
              <w:spacing w:line="560" w:lineRule="exact"/>
              <w:rPr>
                <w:rFonts w:ascii="仿宋_GB2312" w:eastAsia="仿宋_GB2312"/>
                <w:color w:val="0000FF"/>
                <w:sz w:val="24"/>
                <w:highlight w:val="none"/>
              </w:rPr>
            </w:pPr>
          </w:p>
        </w:tc>
        <w:tc>
          <w:tcPr>
            <w:tcW w:w="1453" w:type="dxa"/>
          </w:tcPr>
          <w:p w14:paraId="103C164D">
            <w:pPr>
              <w:spacing w:line="560" w:lineRule="exact"/>
              <w:rPr>
                <w:rFonts w:ascii="仿宋_GB2312" w:eastAsia="仿宋_GB2312"/>
                <w:color w:val="0000FF"/>
                <w:sz w:val="24"/>
                <w:highlight w:val="none"/>
              </w:rPr>
            </w:pPr>
          </w:p>
        </w:tc>
        <w:tc>
          <w:tcPr>
            <w:tcW w:w="2071" w:type="dxa"/>
          </w:tcPr>
          <w:p w14:paraId="392D6DD9">
            <w:pPr>
              <w:spacing w:line="560" w:lineRule="exact"/>
              <w:rPr>
                <w:rFonts w:ascii="仿宋_GB2312" w:eastAsia="仿宋_GB2312"/>
                <w:color w:val="0000FF"/>
                <w:sz w:val="24"/>
                <w:highlight w:val="none"/>
              </w:rPr>
            </w:pPr>
          </w:p>
        </w:tc>
      </w:tr>
      <w:tr w14:paraId="502B0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3562" w:type="dxa"/>
          </w:tcPr>
          <w:p w14:paraId="2D1494A5">
            <w:pPr>
              <w:spacing w:line="560" w:lineRule="exact"/>
              <w:rPr>
                <w:rFonts w:ascii="仿宋_GB2312" w:eastAsia="仿宋_GB2312"/>
                <w:color w:val="0000FF"/>
                <w:sz w:val="24"/>
                <w:highlight w:val="none"/>
              </w:rPr>
            </w:pPr>
          </w:p>
        </w:tc>
        <w:tc>
          <w:tcPr>
            <w:tcW w:w="1193" w:type="dxa"/>
          </w:tcPr>
          <w:p w14:paraId="37288E58">
            <w:pPr>
              <w:spacing w:line="560" w:lineRule="exact"/>
              <w:rPr>
                <w:rFonts w:ascii="仿宋_GB2312" w:eastAsia="仿宋_GB2312"/>
                <w:color w:val="0000FF"/>
                <w:sz w:val="24"/>
                <w:highlight w:val="none"/>
              </w:rPr>
            </w:pPr>
          </w:p>
        </w:tc>
        <w:tc>
          <w:tcPr>
            <w:tcW w:w="1453" w:type="dxa"/>
          </w:tcPr>
          <w:p w14:paraId="7A2DFE3E">
            <w:pPr>
              <w:spacing w:line="560" w:lineRule="exact"/>
              <w:rPr>
                <w:rFonts w:ascii="仿宋_GB2312" w:eastAsia="仿宋_GB2312"/>
                <w:color w:val="0000FF"/>
                <w:sz w:val="24"/>
                <w:highlight w:val="none"/>
              </w:rPr>
            </w:pPr>
          </w:p>
        </w:tc>
        <w:tc>
          <w:tcPr>
            <w:tcW w:w="2071" w:type="dxa"/>
          </w:tcPr>
          <w:p w14:paraId="5E15D4A7">
            <w:pPr>
              <w:spacing w:line="560" w:lineRule="exact"/>
              <w:rPr>
                <w:rFonts w:ascii="仿宋_GB2312" w:eastAsia="仿宋_GB2312"/>
                <w:color w:val="0000FF"/>
                <w:sz w:val="24"/>
                <w:highlight w:val="none"/>
              </w:rPr>
            </w:pPr>
          </w:p>
        </w:tc>
      </w:tr>
    </w:tbl>
    <w:p w14:paraId="71EC011E">
      <w:pPr>
        <w:spacing w:line="560" w:lineRule="exact"/>
        <w:ind w:firstLine="600"/>
        <w:rPr>
          <w:rFonts w:ascii="仿宋_GB2312" w:eastAsia="仿宋_GB2312"/>
          <w:sz w:val="24"/>
          <w:highlight w:val="none"/>
        </w:rPr>
      </w:pPr>
      <w:r>
        <w:rPr>
          <w:rFonts w:hint="eastAsia" w:ascii="仿宋_GB2312" w:eastAsia="仿宋_GB2312"/>
          <w:sz w:val="24"/>
          <w:highlight w:val="none"/>
        </w:rPr>
        <w:t>本项目采购控制金额为：</w:t>
      </w:r>
      <w:r>
        <w:rPr>
          <w:rFonts w:hint="eastAsia" w:ascii="仿宋_GB2312" w:eastAsia="仿宋_GB2312"/>
          <w:sz w:val="24"/>
          <w:highlight w:val="none"/>
          <w:u w:val="single"/>
        </w:rPr>
        <w:t>　　　　　　　　　</w:t>
      </w:r>
      <w:r>
        <w:rPr>
          <w:rFonts w:hint="eastAsia" w:ascii="仿宋_GB2312" w:eastAsia="仿宋_GB2312"/>
          <w:sz w:val="24"/>
          <w:highlight w:val="none"/>
        </w:rPr>
        <w:t>。</w:t>
      </w:r>
    </w:p>
    <w:p w14:paraId="419D8B2C">
      <w:pPr>
        <w:spacing w:line="560" w:lineRule="exact"/>
        <w:ind w:firstLine="600" w:firstLineChars="0"/>
        <w:outlineLvl w:val="3"/>
        <w:rPr>
          <w:rFonts w:ascii="仿宋_GB2312" w:eastAsia="仿宋_GB2312"/>
          <w:b/>
          <w:sz w:val="24"/>
          <w:highlight w:val="none"/>
        </w:rPr>
      </w:pPr>
      <w:r>
        <w:rPr>
          <w:rFonts w:hint="eastAsia" w:ascii="仿宋_GB2312" w:eastAsia="仿宋_GB2312"/>
          <w:b/>
          <w:sz w:val="24"/>
          <w:highlight w:val="none"/>
        </w:rPr>
        <w:t>十、推荐的中标候选人。</w:t>
      </w:r>
    </w:p>
    <w:p w14:paraId="37F8A4EF">
      <w:pPr>
        <w:spacing w:line="560" w:lineRule="exact"/>
        <w:ind w:firstLine="600"/>
        <w:rPr>
          <w:rFonts w:ascii="仿宋_GB2312" w:eastAsia="仿宋_GB2312"/>
          <w:sz w:val="24"/>
          <w:highlight w:val="none"/>
        </w:rPr>
      </w:pPr>
      <w:r>
        <w:rPr>
          <w:rFonts w:hint="eastAsia" w:ascii="仿宋_GB2312" w:eastAsia="仿宋_GB2312"/>
          <w:sz w:val="24"/>
          <w:highlight w:val="none"/>
        </w:rPr>
        <w:t>评标委员会根据招标文件的有关规定，一致同意推荐中标候选人及其排名顺序为：</w:t>
      </w:r>
    </w:p>
    <w:p w14:paraId="77EB9962">
      <w:pPr>
        <w:spacing w:line="560" w:lineRule="exact"/>
        <w:ind w:firstLine="600"/>
        <w:rPr>
          <w:rFonts w:ascii="仿宋_GB2312" w:eastAsia="仿宋_GB2312"/>
          <w:sz w:val="24"/>
          <w:highlight w:val="none"/>
          <w:u w:val="single"/>
        </w:rPr>
      </w:pPr>
      <w:r>
        <w:rPr>
          <w:rFonts w:hint="eastAsia" w:ascii="仿宋_GB2312" w:eastAsia="仿宋_GB2312"/>
          <w:sz w:val="24"/>
          <w:highlight w:val="none"/>
        </w:rPr>
        <w:t>第一中标候选人：</w:t>
      </w:r>
      <w:r>
        <w:rPr>
          <w:rFonts w:hint="eastAsia" w:ascii="仿宋_GB2312" w:eastAsia="仿宋_GB2312"/>
          <w:sz w:val="24"/>
          <w:highlight w:val="none"/>
          <w:u w:val="single"/>
        </w:rPr>
        <w:t xml:space="preserve">                                            </w:t>
      </w:r>
    </w:p>
    <w:p w14:paraId="374214A1">
      <w:pPr>
        <w:spacing w:line="560" w:lineRule="exact"/>
        <w:ind w:firstLine="600"/>
        <w:rPr>
          <w:rFonts w:ascii="仿宋_GB2312" w:eastAsia="仿宋_GB2312"/>
          <w:sz w:val="24"/>
          <w:highlight w:val="none"/>
          <w:u w:val="single"/>
        </w:rPr>
      </w:pPr>
      <w:r>
        <w:rPr>
          <w:rFonts w:hint="eastAsia" w:ascii="仿宋_GB2312" w:eastAsia="仿宋_GB2312"/>
          <w:sz w:val="24"/>
          <w:highlight w:val="none"/>
        </w:rPr>
        <w:t>第二中标候选人：</w:t>
      </w:r>
      <w:r>
        <w:rPr>
          <w:rFonts w:hint="eastAsia" w:ascii="仿宋_GB2312" w:eastAsia="仿宋_GB2312"/>
          <w:sz w:val="24"/>
          <w:highlight w:val="none"/>
          <w:u w:val="single"/>
        </w:rPr>
        <w:t xml:space="preserve">                                            </w:t>
      </w:r>
    </w:p>
    <w:p w14:paraId="1CDF5E35">
      <w:pPr>
        <w:spacing w:line="560" w:lineRule="exact"/>
        <w:ind w:firstLine="600"/>
        <w:rPr>
          <w:rFonts w:ascii="仿宋_GB2312" w:eastAsia="仿宋_GB2312"/>
          <w:sz w:val="24"/>
          <w:highlight w:val="none"/>
        </w:rPr>
      </w:pPr>
      <w:r>
        <w:rPr>
          <w:rFonts w:hint="eastAsia" w:ascii="仿宋_GB2312" w:eastAsia="仿宋_GB2312"/>
          <w:sz w:val="24"/>
          <w:highlight w:val="none"/>
        </w:rPr>
        <w:t>第三中标候选人：</w:t>
      </w:r>
      <w:r>
        <w:rPr>
          <w:rFonts w:hint="eastAsia" w:ascii="仿宋_GB2312" w:eastAsia="仿宋_GB2312"/>
          <w:sz w:val="24"/>
          <w:highlight w:val="none"/>
          <w:u w:val="single"/>
        </w:rPr>
        <w:t xml:space="preserve">                                             </w:t>
      </w:r>
      <w:r>
        <w:rPr>
          <w:rFonts w:hint="eastAsia" w:ascii="仿宋_GB2312" w:eastAsia="仿宋_GB2312"/>
          <w:sz w:val="24"/>
          <w:highlight w:val="none"/>
        </w:rPr>
        <w:t xml:space="preserve">               </w:t>
      </w:r>
    </w:p>
    <w:p w14:paraId="075C4401">
      <w:pPr>
        <w:spacing w:line="560" w:lineRule="exact"/>
        <w:ind w:firstLine="600" w:firstLineChars="0"/>
        <w:outlineLvl w:val="3"/>
        <w:rPr>
          <w:rFonts w:ascii="仿宋_GB2312" w:eastAsia="仿宋_GB2312"/>
          <w:b/>
          <w:sz w:val="24"/>
          <w:highlight w:val="none"/>
        </w:rPr>
      </w:pPr>
      <w:r>
        <w:rPr>
          <w:rFonts w:hint="eastAsia" w:ascii="仿宋_GB2312" w:eastAsia="仿宋_GB2312"/>
          <w:b/>
          <w:sz w:val="24"/>
          <w:highlight w:val="none"/>
        </w:rPr>
        <w:t>十一、澄清、说明、补正事项纪要。</w:t>
      </w:r>
    </w:p>
    <w:p w14:paraId="5ABA0756">
      <w:pPr>
        <w:spacing w:line="560" w:lineRule="exact"/>
        <w:ind w:firstLine="600"/>
        <w:rPr>
          <w:rFonts w:ascii="仿宋_GB2312" w:eastAsia="仿宋_GB2312"/>
          <w:b/>
          <w:sz w:val="24"/>
          <w:highlight w:val="none"/>
        </w:rPr>
      </w:pPr>
    </w:p>
    <w:p w14:paraId="37BC390C">
      <w:pPr>
        <w:spacing w:line="560" w:lineRule="exact"/>
        <w:ind w:firstLine="600"/>
        <w:rPr>
          <w:rFonts w:ascii="仿宋_GB2312" w:eastAsia="仿宋_GB2312"/>
          <w:sz w:val="24"/>
          <w:highlight w:val="none"/>
        </w:rPr>
      </w:pPr>
      <w:r>
        <w:rPr>
          <w:rFonts w:hint="eastAsia" w:ascii="仿宋_GB2312" w:eastAsia="仿宋_GB2312"/>
          <w:sz w:val="24"/>
          <w:highlight w:val="none"/>
        </w:rPr>
        <w:t>评标委员会主任：</w:t>
      </w:r>
    </w:p>
    <w:p w14:paraId="31AC8EFE">
      <w:pPr>
        <w:spacing w:line="560" w:lineRule="exact"/>
        <w:ind w:firstLine="600"/>
        <w:rPr>
          <w:rFonts w:ascii="仿宋_GB2312" w:eastAsia="仿宋_GB2312"/>
          <w:sz w:val="24"/>
          <w:highlight w:val="none"/>
        </w:rPr>
      </w:pPr>
      <w:r>
        <w:rPr>
          <w:rFonts w:hint="eastAsia" w:ascii="仿宋_GB2312" w:eastAsia="仿宋_GB2312"/>
          <w:sz w:val="24"/>
          <w:highlight w:val="none"/>
        </w:rPr>
        <w:t>评标委员会成员：</w:t>
      </w:r>
    </w:p>
    <w:p w14:paraId="6153C86E">
      <w:pPr>
        <w:pStyle w:val="12"/>
        <w:wordWrap w:val="0"/>
        <w:spacing w:line="560" w:lineRule="exact"/>
        <w:ind w:firstLine="2409" w:firstLineChars="1000"/>
        <w:rPr>
          <w:rFonts w:ascii="仿宋_GB2312" w:eastAsia="仿宋_GB2312"/>
          <w:b/>
          <w:sz w:val="24"/>
          <w:highlight w:val="none"/>
        </w:rPr>
      </w:pPr>
      <w:r>
        <w:rPr>
          <w:rFonts w:hint="eastAsia" w:ascii="仿宋_GB2312" w:eastAsia="仿宋_GB2312"/>
          <w:b/>
          <w:sz w:val="24"/>
          <w:highlight w:val="none"/>
          <w:u w:val="single"/>
        </w:rPr>
        <w:t>　　　　　　　　　　　　　　</w:t>
      </w:r>
      <w:r>
        <w:rPr>
          <w:rFonts w:hint="eastAsia" w:ascii="仿宋_GB2312" w:eastAsia="仿宋_GB2312"/>
          <w:b/>
          <w:sz w:val="24"/>
          <w:highlight w:val="none"/>
        </w:rPr>
        <w:t xml:space="preserve">项目评标委员会 </w:t>
      </w:r>
      <w:r>
        <w:rPr>
          <w:rFonts w:ascii="仿宋_GB2312" w:eastAsia="仿宋_GB2312"/>
          <w:b/>
          <w:sz w:val="24"/>
          <w:highlight w:val="none"/>
        </w:rPr>
        <w:t xml:space="preserve">   </w:t>
      </w:r>
    </w:p>
    <w:p w14:paraId="0D1BF83F">
      <w:pPr>
        <w:spacing w:line="560" w:lineRule="exact"/>
        <w:ind w:firstLine="6000" w:firstLineChars="2500"/>
        <w:jc w:val="left"/>
        <w:rPr>
          <w:rFonts w:ascii="仿宋_GB2312" w:eastAsia="仿宋_GB2312"/>
          <w:sz w:val="24"/>
          <w:highlight w:val="none"/>
        </w:rPr>
      </w:pPr>
      <w:r>
        <w:rPr>
          <w:rFonts w:hint="eastAsia" w:ascii="仿宋_GB2312" w:eastAsia="仿宋_GB2312"/>
          <w:sz w:val="24"/>
          <w:highlight w:val="none"/>
        </w:rPr>
        <w:t>年</w:t>
      </w:r>
      <w:r>
        <w:rPr>
          <w:rFonts w:hint="eastAsia" w:ascii="仿宋_GB2312" w:eastAsia="仿宋_GB2312"/>
          <w:sz w:val="24"/>
          <w:highlight w:val="none"/>
          <w:u w:val="single"/>
        </w:rPr>
        <w:t xml:space="preserve">   </w:t>
      </w:r>
      <w:r>
        <w:rPr>
          <w:rFonts w:hint="eastAsia" w:ascii="仿宋_GB2312" w:eastAsia="仿宋_GB2312"/>
          <w:sz w:val="24"/>
          <w:highlight w:val="none"/>
        </w:rPr>
        <w:t>月</w:t>
      </w:r>
      <w:r>
        <w:rPr>
          <w:rFonts w:hint="eastAsia" w:ascii="仿宋_GB2312" w:eastAsia="仿宋_GB2312"/>
          <w:sz w:val="24"/>
          <w:highlight w:val="none"/>
          <w:u w:val="single"/>
        </w:rPr>
        <w:t xml:space="preserve">   </w:t>
      </w:r>
      <w:r>
        <w:rPr>
          <w:rFonts w:hint="eastAsia" w:ascii="仿宋_GB2312" w:eastAsia="仿宋_GB2312"/>
          <w:sz w:val="24"/>
          <w:highlight w:val="none"/>
        </w:rPr>
        <w:t>日</w:t>
      </w:r>
    </w:p>
    <w:p w14:paraId="5B0921CE">
      <w:pPr>
        <w:spacing w:line="560" w:lineRule="exact"/>
        <w:rPr>
          <w:rFonts w:ascii="仿宋_GB2312" w:eastAsia="仿宋_GB2312"/>
          <w:sz w:val="28"/>
          <w:szCs w:val="28"/>
          <w:highlight w:val="none"/>
        </w:rPr>
      </w:pPr>
      <w:r>
        <w:rPr>
          <w:rFonts w:ascii="仿宋_GB2312" w:eastAsia="仿宋_GB2312"/>
          <w:sz w:val="28"/>
          <w:szCs w:val="28"/>
          <w:highlight w:val="none"/>
        </w:rPr>
        <w:br w:type="page"/>
      </w:r>
    </w:p>
    <w:p w14:paraId="30C0DB13">
      <w:pPr>
        <w:pStyle w:val="2"/>
        <w:jc w:val="center"/>
        <w:rPr>
          <w:rFonts w:ascii="宋体" w:hAnsi="宋体"/>
          <w:highlight w:val="none"/>
        </w:rPr>
      </w:pPr>
      <w:bookmarkStart w:id="676" w:name="_Toc9654"/>
      <w:bookmarkStart w:id="677" w:name="_Toc17369"/>
      <w:bookmarkStart w:id="678" w:name="_Toc152042387"/>
      <w:bookmarkStart w:id="679" w:name="_Toc179632627"/>
      <w:bookmarkStart w:id="680" w:name="_Toc27003"/>
      <w:bookmarkStart w:id="681" w:name="_Toc346523419"/>
      <w:bookmarkStart w:id="682" w:name="_Toc152045609"/>
      <w:bookmarkStart w:id="683" w:name="_Toc338840250"/>
      <w:bookmarkStart w:id="684" w:name="_Toc18750"/>
      <w:bookmarkStart w:id="685" w:name="_Toc494093444"/>
      <w:bookmarkStart w:id="686" w:name="_Toc338840498"/>
      <w:bookmarkStart w:id="687" w:name="_Toc338840459"/>
      <w:bookmarkStart w:id="688" w:name="_Toc144974577"/>
      <w:bookmarkStart w:id="689" w:name="_Toc14959"/>
      <w:bookmarkStart w:id="690" w:name="_Toc246996995"/>
      <w:bookmarkStart w:id="691" w:name="_Toc22308"/>
      <w:bookmarkStart w:id="692" w:name="_Toc494526416"/>
      <w:bookmarkStart w:id="693" w:name="_Toc346523482"/>
      <w:bookmarkStart w:id="694" w:name="_Toc246996252"/>
      <w:bookmarkStart w:id="695" w:name="_Toc247085767"/>
      <w:r>
        <w:rPr>
          <w:rFonts w:hint="eastAsia" w:ascii="宋体" w:hAnsi="宋体"/>
          <w:highlight w:val="none"/>
        </w:rPr>
        <w:t>第四章 合同条款及格式</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Start w:id="696" w:name="_Toc246996338"/>
      <w:bookmarkStart w:id="697" w:name="_Toc179632787"/>
      <w:bookmarkStart w:id="698" w:name="_Toc246997081"/>
      <w:bookmarkStart w:id="699" w:name="_Toc152042551"/>
      <w:bookmarkStart w:id="700" w:name="_Toc152045769"/>
      <w:bookmarkStart w:id="701" w:name="_Toc247085853"/>
      <w:bookmarkStart w:id="702" w:name="_Toc144974831"/>
    </w:p>
    <w:p w14:paraId="0B952EBB">
      <w:pPr>
        <w:widowControl/>
        <w:ind w:firstLine="3058" w:firstLineChars="695"/>
        <w:rPr>
          <w:rFonts w:hint="eastAsia" w:ascii="宋体" w:hAnsi="宋体" w:eastAsia="宋体"/>
          <w:bCs/>
          <w:kern w:val="0"/>
          <w:sz w:val="44"/>
          <w:szCs w:val="44"/>
          <w:highlight w:val="none"/>
          <w:lang w:eastAsia="zh-CN"/>
        </w:rPr>
      </w:pPr>
      <w:r>
        <w:rPr>
          <w:rFonts w:hint="eastAsia" w:ascii="宋体" w:hAnsi="宋体"/>
          <w:bCs/>
          <w:kern w:val="0"/>
          <w:sz w:val="44"/>
          <w:szCs w:val="44"/>
          <w:highlight w:val="none"/>
        </w:rPr>
        <w:t>合同协议书</w:t>
      </w:r>
      <w:r>
        <w:rPr>
          <w:rFonts w:hint="eastAsia" w:ascii="宋体" w:hAnsi="宋体"/>
          <w:bCs/>
          <w:kern w:val="0"/>
          <w:sz w:val="32"/>
          <w:szCs w:val="32"/>
          <w:highlight w:val="none"/>
          <w:lang w:eastAsia="zh-CN"/>
        </w:rPr>
        <w:t>（</w:t>
      </w:r>
      <w:r>
        <w:rPr>
          <w:rFonts w:hint="eastAsia" w:ascii="宋体" w:hAnsi="宋体"/>
          <w:bCs/>
          <w:kern w:val="0"/>
          <w:sz w:val="32"/>
          <w:szCs w:val="32"/>
          <w:highlight w:val="none"/>
          <w:lang w:val="en-US" w:eastAsia="zh-CN"/>
        </w:rPr>
        <w:t>样本</w:t>
      </w:r>
      <w:r>
        <w:rPr>
          <w:rFonts w:hint="eastAsia" w:ascii="宋体" w:hAnsi="宋体"/>
          <w:bCs/>
          <w:kern w:val="0"/>
          <w:sz w:val="32"/>
          <w:szCs w:val="32"/>
          <w:highlight w:val="none"/>
          <w:lang w:eastAsia="zh-CN"/>
        </w:rPr>
        <w:t>）</w:t>
      </w:r>
    </w:p>
    <w:tbl>
      <w:tblPr>
        <w:tblStyle w:val="34"/>
        <w:tblpPr w:leftFromText="180" w:rightFromText="180" w:vertAnchor="text" w:horzAnchor="margin" w:tblpY="171"/>
        <w:tblW w:w="0" w:type="auto"/>
        <w:tblInd w:w="0" w:type="dxa"/>
        <w:tblLayout w:type="fixed"/>
        <w:tblCellMar>
          <w:top w:w="0" w:type="dxa"/>
          <w:left w:w="108" w:type="dxa"/>
          <w:bottom w:w="0" w:type="dxa"/>
          <w:right w:w="108" w:type="dxa"/>
        </w:tblCellMar>
      </w:tblPr>
      <w:tblGrid>
        <w:gridCol w:w="8190"/>
      </w:tblGrid>
      <w:tr w14:paraId="0E922D97">
        <w:tblPrEx>
          <w:tblCellMar>
            <w:top w:w="0" w:type="dxa"/>
            <w:left w:w="108" w:type="dxa"/>
            <w:bottom w:w="0" w:type="dxa"/>
            <w:right w:w="108" w:type="dxa"/>
          </w:tblCellMar>
        </w:tblPrEx>
        <w:trPr>
          <w:trHeight w:val="1080" w:hRule="atLeast"/>
        </w:trPr>
        <w:tc>
          <w:tcPr>
            <w:tcW w:w="8190" w:type="dxa"/>
            <w:tcBorders>
              <w:top w:val="single" w:color="000000" w:sz="4" w:space="0"/>
              <w:left w:val="single" w:color="000000" w:sz="4" w:space="0"/>
              <w:bottom w:val="single" w:color="000000" w:sz="4" w:space="0"/>
              <w:right w:val="single" w:color="000000" w:sz="4" w:space="0"/>
            </w:tcBorders>
          </w:tcPr>
          <w:p w14:paraId="0421EC2A">
            <w:pPr>
              <w:widowControl/>
              <w:spacing w:before="120" w:line="400" w:lineRule="exact"/>
              <w:ind w:left="105"/>
              <w:rPr>
                <w:rFonts w:ascii="宋体" w:hAnsi="宋体"/>
                <w:kern w:val="0"/>
                <w:sz w:val="24"/>
                <w:highlight w:val="none"/>
              </w:rPr>
            </w:pPr>
            <w:r>
              <w:rPr>
                <w:rFonts w:hint="eastAsia" w:ascii="宋体" w:hAnsi="宋体"/>
                <w:kern w:val="0"/>
                <w:sz w:val="24"/>
                <w:highlight w:val="none"/>
              </w:rPr>
              <w:t>注释：采购人应</w:t>
            </w:r>
            <w:r>
              <w:rPr>
                <w:rFonts w:hint="eastAsia" w:ascii="宋体" w:hAnsi="宋体"/>
                <w:kern w:val="0"/>
                <w:sz w:val="24"/>
                <w:highlight w:val="none"/>
                <w:lang w:val="en-US" w:eastAsia="zh-CN"/>
              </w:rPr>
              <w:t>当</w:t>
            </w:r>
            <w:r>
              <w:rPr>
                <w:rFonts w:hint="eastAsia" w:ascii="宋体" w:hAnsi="宋体"/>
                <w:kern w:val="0"/>
                <w:sz w:val="24"/>
                <w:highlight w:val="none"/>
              </w:rPr>
              <w:t>依据《中华人民共和国民法典》</w:t>
            </w:r>
            <w:r>
              <w:rPr>
                <w:rFonts w:hint="eastAsia" w:ascii="宋体" w:hAnsi="宋体"/>
                <w:kern w:val="0"/>
                <w:sz w:val="24"/>
                <w:highlight w:val="none"/>
                <w:lang w:val="en-US" w:eastAsia="zh-CN"/>
              </w:rPr>
              <w:t>和</w:t>
            </w:r>
            <w:r>
              <w:rPr>
                <w:rFonts w:hint="eastAsia" w:ascii="宋体" w:hAnsi="宋体"/>
                <w:kern w:val="0"/>
                <w:sz w:val="24"/>
                <w:highlight w:val="none"/>
              </w:rPr>
              <w:t>国家</w:t>
            </w:r>
            <w:r>
              <w:rPr>
                <w:rFonts w:hint="eastAsia" w:ascii="宋体" w:hAnsi="宋体"/>
                <w:kern w:val="0"/>
                <w:sz w:val="24"/>
                <w:highlight w:val="none"/>
                <w:lang w:eastAsia="zh-CN"/>
              </w:rPr>
              <w:t>、</w:t>
            </w:r>
            <w:r>
              <w:rPr>
                <w:rFonts w:hint="eastAsia" w:ascii="宋体" w:hAnsi="宋体"/>
                <w:kern w:val="0"/>
                <w:sz w:val="24"/>
                <w:highlight w:val="none"/>
              </w:rPr>
              <w:t>行业标准或示范合同文本</w:t>
            </w:r>
            <w:r>
              <w:rPr>
                <w:rFonts w:hint="eastAsia" w:ascii="宋体" w:hAnsi="宋体"/>
                <w:kern w:val="0"/>
                <w:sz w:val="24"/>
                <w:highlight w:val="none"/>
                <w:lang w:eastAsia="zh-CN"/>
              </w:rPr>
              <w:t>，</w:t>
            </w:r>
            <w:r>
              <w:rPr>
                <w:rFonts w:hint="eastAsia" w:ascii="宋体" w:hAnsi="宋体"/>
                <w:kern w:val="0"/>
                <w:sz w:val="24"/>
                <w:highlight w:val="none"/>
              </w:rPr>
              <w:t>结合项目特点</w:t>
            </w:r>
            <w:r>
              <w:rPr>
                <w:rFonts w:hint="eastAsia" w:ascii="宋体" w:hAnsi="宋体"/>
                <w:kern w:val="0"/>
                <w:sz w:val="24"/>
                <w:highlight w:val="none"/>
                <w:lang w:val="en-US" w:eastAsia="zh-CN"/>
              </w:rPr>
              <w:t>制订</w:t>
            </w:r>
            <w:r>
              <w:rPr>
                <w:rFonts w:hint="eastAsia" w:ascii="宋体" w:hAnsi="宋体"/>
                <w:kern w:val="0"/>
                <w:sz w:val="24"/>
                <w:highlight w:val="none"/>
              </w:rPr>
              <w:t>采购合同</w:t>
            </w:r>
            <w:r>
              <w:rPr>
                <w:rFonts w:hint="eastAsia" w:ascii="宋体" w:hAnsi="宋体"/>
                <w:kern w:val="0"/>
                <w:sz w:val="24"/>
                <w:highlight w:val="none"/>
                <w:lang w:eastAsia="zh-CN"/>
              </w:rPr>
              <w:t>，</w:t>
            </w:r>
            <w:r>
              <w:rPr>
                <w:rFonts w:hint="eastAsia" w:ascii="宋体" w:hAnsi="宋体"/>
                <w:kern w:val="0"/>
                <w:sz w:val="24"/>
                <w:highlight w:val="none"/>
                <w:lang w:val="en-US" w:eastAsia="zh-CN"/>
              </w:rPr>
              <w:t>招标时作为采购文件的组成部分；无者可将</w:t>
            </w:r>
            <w:r>
              <w:rPr>
                <w:rFonts w:hint="eastAsia" w:ascii="宋体" w:hAnsi="宋体"/>
                <w:kern w:val="0"/>
                <w:sz w:val="24"/>
                <w:highlight w:val="none"/>
              </w:rPr>
              <w:t>本合同协议书</w:t>
            </w:r>
            <w:r>
              <w:rPr>
                <w:rFonts w:hint="eastAsia" w:ascii="宋体" w:hAnsi="宋体"/>
                <w:kern w:val="0"/>
                <w:sz w:val="24"/>
                <w:highlight w:val="none"/>
                <w:lang w:eastAsia="zh-CN"/>
              </w:rPr>
              <w:t>（</w:t>
            </w:r>
            <w:r>
              <w:rPr>
                <w:rFonts w:hint="eastAsia" w:ascii="宋体" w:hAnsi="宋体"/>
                <w:kern w:val="0"/>
                <w:sz w:val="24"/>
                <w:highlight w:val="none"/>
                <w:lang w:val="en-US" w:eastAsia="zh-CN"/>
              </w:rPr>
              <w:t>样本</w:t>
            </w:r>
            <w:r>
              <w:rPr>
                <w:rFonts w:hint="eastAsia" w:ascii="宋体" w:hAnsi="宋体"/>
                <w:kern w:val="0"/>
                <w:sz w:val="24"/>
                <w:highlight w:val="none"/>
                <w:lang w:eastAsia="zh-CN"/>
              </w:rPr>
              <w:t>）</w:t>
            </w:r>
            <w:r>
              <w:rPr>
                <w:rFonts w:hint="eastAsia" w:ascii="宋体" w:hAnsi="宋体"/>
                <w:kern w:val="0"/>
                <w:sz w:val="24"/>
                <w:highlight w:val="none"/>
                <w:lang w:val="en-US" w:eastAsia="zh-CN"/>
              </w:rPr>
              <w:t>作为采购合同</w:t>
            </w:r>
            <w:r>
              <w:rPr>
                <w:rFonts w:hint="eastAsia" w:ascii="宋体" w:hAnsi="宋体"/>
                <w:kern w:val="0"/>
                <w:sz w:val="24"/>
                <w:highlight w:val="none"/>
                <w:lang w:eastAsia="zh-CN"/>
              </w:rPr>
              <w:t>，</w:t>
            </w:r>
            <w:r>
              <w:rPr>
                <w:rFonts w:hint="eastAsia" w:ascii="宋体" w:hAnsi="宋体"/>
                <w:kern w:val="0"/>
                <w:sz w:val="24"/>
                <w:highlight w:val="none"/>
              </w:rPr>
              <w:t>经协商可增减条款</w:t>
            </w:r>
            <w:r>
              <w:rPr>
                <w:rFonts w:hint="eastAsia" w:ascii="宋体" w:hAnsi="宋体"/>
                <w:kern w:val="0"/>
                <w:sz w:val="24"/>
                <w:highlight w:val="none"/>
                <w:lang w:eastAsia="zh-CN"/>
              </w:rPr>
              <w:t>，</w:t>
            </w:r>
            <w:r>
              <w:rPr>
                <w:rFonts w:hint="eastAsia" w:ascii="宋体" w:hAnsi="宋体"/>
                <w:kern w:val="0"/>
                <w:sz w:val="24"/>
                <w:highlight w:val="none"/>
              </w:rPr>
              <w:t>但不得与招标文件、投标文件的实质性内容相背离。</w:t>
            </w:r>
          </w:p>
        </w:tc>
      </w:tr>
    </w:tbl>
    <w:p w14:paraId="3C849F8B">
      <w:pPr>
        <w:widowControl/>
        <w:spacing w:line="440" w:lineRule="exact"/>
        <w:rPr>
          <w:rFonts w:ascii="宋体" w:hAnsi="宋体"/>
          <w:kern w:val="0"/>
          <w:szCs w:val="21"/>
          <w:highlight w:val="none"/>
        </w:rPr>
      </w:pPr>
    </w:p>
    <w:p w14:paraId="6E540623">
      <w:pPr>
        <w:widowControl/>
        <w:spacing w:line="440" w:lineRule="exact"/>
        <w:rPr>
          <w:rFonts w:ascii="宋体" w:hAnsi="宋体"/>
          <w:kern w:val="0"/>
          <w:szCs w:val="21"/>
          <w:highlight w:val="none"/>
        </w:rPr>
      </w:pPr>
    </w:p>
    <w:p w14:paraId="505A55C2">
      <w:pPr>
        <w:widowControl/>
        <w:spacing w:line="440" w:lineRule="exact"/>
        <w:rPr>
          <w:rFonts w:ascii="宋体" w:hAnsi="宋体"/>
          <w:kern w:val="0"/>
          <w:szCs w:val="21"/>
          <w:highlight w:val="none"/>
        </w:rPr>
      </w:pPr>
      <w:r>
        <w:rPr>
          <w:rFonts w:hint="eastAsia" w:ascii="宋体" w:hAnsi="宋体"/>
          <w:kern w:val="0"/>
          <w:szCs w:val="21"/>
          <w:highlight w:val="none"/>
        </w:rPr>
        <w:t xml:space="preserve">甲方(采购人)：                   住所地：                                             </w:t>
      </w:r>
    </w:p>
    <w:p w14:paraId="1849B12C">
      <w:pPr>
        <w:widowControl/>
        <w:spacing w:line="440" w:lineRule="exact"/>
        <w:rPr>
          <w:rFonts w:ascii="宋体" w:hAnsi="宋体"/>
          <w:kern w:val="0"/>
          <w:szCs w:val="21"/>
          <w:highlight w:val="none"/>
        </w:rPr>
      </w:pPr>
      <w:r>
        <w:rPr>
          <w:rFonts w:hint="eastAsia" w:ascii="宋体" w:hAnsi="宋体"/>
          <w:kern w:val="0"/>
          <w:szCs w:val="21"/>
          <w:highlight w:val="none"/>
        </w:rPr>
        <w:t>乙方（中标人）：                 住所地：</w:t>
      </w:r>
    </w:p>
    <w:p w14:paraId="4032322B">
      <w:pPr>
        <w:widowControl/>
        <w:spacing w:line="440" w:lineRule="exact"/>
        <w:rPr>
          <w:rFonts w:ascii="宋体" w:hAnsi="宋体"/>
          <w:kern w:val="0"/>
          <w:szCs w:val="21"/>
          <w:highlight w:val="none"/>
        </w:rPr>
      </w:pPr>
      <w:r>
        <w:rPr>
          <w:rFonts w:hint="eastAsia" w:ascii="宋体" w:hAnsi="宋体"/>
          <w:kern w:val="0"/>
          <w:szCs w:val="21"/>
          <w:highlight w:val="none"/>
        </w:rPr>
        <w:t>合同签订地点：　　　　　签订日期：    年   月   日</w:t>
      </w:r>
    </w:p>
    <w:p w14:paraId="4E18CB14">
      <w:pPr>
        <w:widowControl/>
        <w:spacing w:line="440" w:lineRule="exact"/>
        <w:ind w:firstLine="560"/>
        <w:jc w:val="left"/>
        <w:rPr>
          <w:rFonts w:ascii="宋体" w:hAnsi="宋体"/>
          <w:kern w:val="0"/>
          <w:szCs w:val="21"/>
          <w:highlight w:val="none"/>
        </w:rPr>
      </w:pPr>
      <w:r>
        <w:rPr>
          <w:rFonts w:hint="eastAsia" w:ascii="宋体" w:hAnsi="宋体"/>
          <w:kern w:val="0"/>
          <w:szCs w:val="21"/>
          <w:highlight w:val="none"/>
        </w:rPr>
        <w:t xml:space="preserve"> </w:t>
      </w:r>
    </w:p>
    <w:p w14:paraId="60B5BBCE">
      <w:pPr>
        <w:widowControl/>
        <w:spacing w:line="440" w:lineRule="exact"/>
        <w:ind w:firstLine="560"/>
        <w:jc w:val="left"/>
        <w:rPr>
          <w:rFonts w:ascii="宋体" w:hAnsi="宋体"/>
          <w:kern w:val="0"/>
          <w:szCs w:val="21"/>
          <w:highlight w:val="none"/>
        </w:rPr>
      </w:pPr>
      <w:r>
        <w:rPr>
          <w:rFonts w:hint="eastAsia" w:ascii="宋体" w:hAnsi="宋体"/>
          <w:kern w:val="0"/>
          <w:szCs w:val="21"/>
          <w:highlight w:val="none"/>
        </w:rPr>
        <w:t xml:space="preserve">根据《中华人民共和国政府采购法》、《中华人民共和国民法典》等法律法规的规定，甲乙双方按照开封市政府采购中心的招标结果（项目名称： </w:t>
      </w:r>
      <w:r>
        <w:rPr>
          <w:rFonts w:hint="eastAsia" w:ascii="宋体" w:hAnsi="宋体"/>
          <w:kern w:val="0"/>
          <w:szCs w:val="21"/>
          <w:highlight w:val="none"/>
          <w:u w:val="single"/>
        </w:rPr>
        <w:t>　　　　　         　第　　标段</w:t>
      </w:r>
      <w:r>
        <w:rPr>
          <w:rFonts w:hint="eastAsia" w:ascii="宋体" w:hAnsi="宋体"/>
          <w:kern w:val="0"/>
          <w:szCs w:val="21"/>
          <w:highlight w:val="none"/>
        </w:rPr>
        <w:t>，项目编号：</w:t>
      </w:r>
      <w:r>
        <w:rPr>
          <w:rFonts w:hint="eastAsia" w:ascii="宋体" w:hAnsi="宋体"/>
          <w:kern w:val="0"/>
          <w:szCs w:val="21"/>
          <w:highlight w:val="none"/>
          <w:u w:val="single"/>
        </w:rPr>
        <w:t>　　　</w:t>
      </w:r>
      <w:r>
        <w:rPr>
          <w:rFonts w:hint="eastAsia" w:ascii="宋体" w:hAnsi="宋体"/>
          <w:kern w:val="0"/>
          <w:szCs w:val="21"/>
          <w:highlight w:val="none"/>
        </w:rPr>
        <w:t>）签订本合同。</w:t>
      </w:r>
    </w:p>
    <w:p w14:paraId="22404B39">
      <w:pPr>
        <w:widowControl/>
        <w:spacing w:line="440" w:lineRule="exact"/>
        <w:ind w:firstLine="422" w:firstLineChars="200"/>
        <w:rPr>
          <w:rFonts w:ascii="宋体" w:hAnsi="宋体"/>
          <w:kern w:val="0"/>
          <w:szCs w:val="21"/>
          <w:highlight w:val="none"/>
        </w:rPr>
      </w:pPr>
      <w:r>
        <w:rPr>
          <w:rFonts w:hint="eastAsia" w:ascii="宋体" w:hAnsi="宋体"/>
          <w:b/>
          <w:bCs/>
          <w:kern w:val="0"/>
          <w:szCs w:val="21"/>
          <w:highlight w:val="none"/>
        </w:rPr>
        <w:t xml:space="preserve">第一条：合同标的   </w:t>
      </w:r>
      <w:r>
        <w:rPr>
          <w:rFonts w:hint="eastAsia" w:ascii="宋体" w:hAnsi="宋体"/>
          <w:kern w:val="0"/>
          <w:szCs w:val="21"/>
          <w:highlight w:val="none"/>
        </w:rPr>
        <w:t>乙方应根据本项目要求按招标内容和中标结果提供下列产品（或服务），包括附带的备品备件及专用工具等：</w:t>
      </w:r>
    </w:p>
    <w:p w14:paraId="17D1F250">
      <w:pPr>
        <w:widowControl/>
        <w:spacing w:line="440" w:lineRule="exact"/>
        <w:ind w:firstLine="560"/>
        <w:jc w:val="left"/>
        <w:rPr>
          <w:rFonts w:ascii="宋体" w:hAnsi="宋体"/>
          <w:kern w:val="0"/>
          <w:szCs w:val="21"/>
          <w:highlight w:val="none"/>
        </w:rPr>
      </w:pPr>
      <w:r>
        <w:rPr>
          <w:rFonts w:hint="eastAsia" w:ascii="宋体" w:hAnsi="宋体"/>
          <w:kern w:val="0"/>
          <w:szCs w:val="21"/>
          <w:highlight w:val="none"/>
        </w:rPr>
        <w:t>（详见招标文件中的“招标内容及商务技术要求”及有关补充文件、中标人投标文件中的“投标内容及报价明细表”等）</w:t>
      </w:r>
    </w:p>
    <w:p w14:paraId="69CF67A1">
      <w:pPr>
        <w:widowControl/>
        <w:spacing w:line="440" w:lineRule="exact"/>
        <w:ind w:firstLine="422" w:firstLineChars="200"/>
        <w:jc w:val="left"/>
        <w:rPr>
          <w:rFonts w:ascii="宋体" w:hAnsi="宋体"/>
          <w:b/>
          <w:bCs/>
          <w:kern w:val="0"/>
          <w:szCs w:val="21"/>
          <w:highlight w:val="none"/>
        </w:rPr>
      </w:pPr>
    </w:p>
    <w:p w14:paraId="5B9CC297">
      <w:pPr>
        <w:widowControl/>
        <w:spacing w:line="440" w:lineRule="exact"/>
        <w:ind w:firstLine="422" w:firstLineChars="200"/>
        <w:jc w:val="left"/>
        <w:rPr>
          <w:rFonts w:ascii="宋体" w:hAnsi="宋体"/>
          <w:kern w:val="0"/>
          <w:szCs w:val="21"/>
          <w:highlight w:val="none"/>
        </w:rPr>
      </w:pPr>
      <w:r>
        <w:rPr>
          <w:rFonts w:hint="eastAsia" w:ascii="宋体" w:hAnsi="宋体"/>
          <w:b/>
          <w:bCs/>
          <w:kern w:val="0"/>
          <w:szCs w:val="21"/>
          <w:highlight w:val="none"/>
        </w:rPr>
        <w:t xml:space="preserve">第二条：合同总价款    </w:t>
      </w:r>
      <w:r>
        <w:rPr>
          <w:rFonts w:hint="eastAsia" w:ascii="宋体" w:hAnsi="宋体"/>
          <w:kern w:val="0"/>
          <w:szCs w:val="21"/>
          <w:highlight w:val="none"/>
        </w:rPr>
        <w:t>本合同项下项目的总价款为人民币（大写）：</w:t>
      </w:r>
      <w:r>
        <w:rPr>
          <w:rFonts w:hint="eastAsia" w:ascii="宋体" w:hAnsi="宋体"/>
          <w:b/>
          <w:bCs/>
          <w:kern w:val="0"/>
          <w:szCs w:val="21"/>
          <w:highlight w:val="none"/>
          <w:u w:val="single"/>
        </w:rPr>
        <w:t xml:space="preserve">               </w:t>
      </w:r>
      <w:r>
        <w:rPr>
          <w:rFonts w:hint="eastAsia" w:ascii="宋体" w:hAnsi="宋体"/>
          <w:bCs/>
          <w:kern w:val="0"/>
          <w:szCs w:val="21"/>
          <w:highlight w:val="none"/>
        </w:rPr>
        <w:t>（</w:t>
      </w:r>
      <w:r>
        <w:rPr>
          <w:rFonts w:hint="eastAsia" w:ascii="宋体" w:hAnsi="宋体"/>
          <w:kern w:val="0"/>
          <w:szCs w:val="21"/>
          <w:highlight w:val="none"/>
        </w:rPr>
        <w:t>￥：</w:t>
      </w:r>
      <w:r>
        <w:rPr>
          <w:rFonts w:hint="eastAsia" w:ascii="宋体" w:hAnsi="宋体"/>
          <w:kern w:val="0"/>
          <w:szCs w:val="21"/>
          <w:highlight w:val="none"/>
          <w:u w:val="single"/>
        </w:rPr>
        <w:t>　　　　　</w:t>
      </w:r>
      <w:r>
        <w:rPr>
          <w:rFonts w:hint="eastAsia" w:ascii="宋体" w:hAnsi="宋体"/>
          <w:kern w:val="0"/>
          <w:szCs w:val="21"/>
          <w:highlight w:val="none"/>
        </w:rPr>
        <w:t>）。合同总价款中包含：本招标采购对象，及与之相关的</w:t>
      </w:r>
      <w:r>
        <w:rPr>
          <w:rFonts w:hint="eastAsia" w:ascii="宋体" w:hAnsi="宋体"/>
          <w:szCs w:val="21"/>
          <w:highlight w:val="none"/>
        </w:rPr>
        <w:t>设计、制造、包装、运输、装卸、</w:t>
      </w:r>
      <w:r>
        <w:rPr>
          <w:rFonts w:hint="eastAsia" w:ascii="宋体" w:hAnsi="宋体"/>
          <w:kern w:val="0"/>
          <w:szCs w:val="21"/>
          <w:highlight w:val="none"/>
        </w:rPr>
        <w:t>安装、调试、</w:t>
      </w:r>
      <w:r>
        <w:rPr>
          <w:rFonts w:hint="eastAsia" w:ascii="宋体" w:hAnsi="宋体"/>
          <w:szCs w:val="21"/>
          <w:highlight w:val="none"/>
        </w:rPr>
        <w:t>质量检验、各项规费和税费、保险费、意外事故、等</w:t>
      </w:r>
      <w:r>
        <w:rPr>
          <w:rFonts w:hint="eastAsia" w:ascii="宋体" w:hAnsi="宋体"/>
          <w:kern w:val="0"/>
          <w:szCs w:val="21"/>
          <w:highlight w:val="none"/>
        </w:rPr>
        <w:t>验收合格前全部</w:t>
      </w:r>
      <w:r>
        <w:rPr>
          <w:rFonts w:hint="eastAsia" w:ascii="宋体" w:hAnsi="宋体"/>
          <w:szCs w:val="21"/>
          <w:highlight w:val="none"/>
        </w:rPr>
        <w:t>费用</w:t>
      </w:r>
      <w:r>
        <w:rPr>
          <w:rFonts w:hint="eastAsia" w:ascii="宋体" w:hAnsi="宋体"/>
          <w:kern w:val="0"/>
          <w:szCs w:val="21"/>
          <w:highlight w:val="none"/>
        </w:rPr>
        <w:t>，以及备品备件、专用工具、技术培训、技术资料、保修期内的各项保修和系统维护费用、相应的伴随服务和售后服务费用等。</w:t>
      </w:r>
    </w:p>
    <w:p w14:paraId="634ECB0C">
      <w:pPr>
        <w:widowControl/>
        <w:spacing w:line="440" w:lineRule="exact"/>
        <w:ind w:firstLine="422" w:firstLineChars="200"/>
        <w:jc w:val="left"/>
        <w:outlineLvl w:val="1"/>
        <w:rPr>
          <w:rFonts w:ascii="宋体" w:hAnsi="宋体"/>
          <w:b/>
          <w:bCs/>
          <w:kern w:val="0"/>
          <w:szCs w:val="21"/>
          <w:highlight w:val="none"/>
        </w:rPr>
      </w:pPr>
      <w:bookmarkStart w:id="703" w:name="_Toc18540"/>
      <w:r>
        <w:rPr>
          <w:rFonts w:hint="eastAsia" w:ascii="宋体" w:hAnsi="宋体"/>
          <w:b/>
          <w:bCs/>
          <w:kern w:val="0"/>
          <w:szCs w:val="21"/>
          <w:highlight w:val="none"/>
        </w:rPr>
        <w:t>第三条：合同文件的组成</w:t>
      </w:r>
      <w:bookmarkEnd w:id="703"/>
      <w:r>
        <w:rPr>
          <w:rFonts w:hint="eastAsia" w:ascii="宋体" w:hAnsi="宋体"/>
          <w:b/>
          <w:bCs/>
          <w:kern w:val="0"/>
          <w:szCs w:val="21"/>
          <w:highlight w:val="none"/>
        </w:rPr>
        <w:t>　　</w:t>
      </w:r>
    </w:p>
    <w:p w14:paraId="5292B663">
      <w:pPr>
        <w:widowControl/>
        <w:spacing w:line="440" w:lineRule="exact"/>
        <w:ind w:firstLine="420" w:firstLineChars="200"/>
        <w:jc w:val="left"/>
        <w:rPr>
          <w:rFonts w:ascii="宋体" w:hAnsi="宋体"/>
          <w:bCs/>
          <w:kern w:val="0"/>
          <w:szCs w:val="21"/>
          <w:highlight w:val="none"/>
        </w:rPr>
      </w:pPr>
      <w:r>
        <w:rPr>
          <w:rFonts w:hint="eastAsia" w:ascii="宋体" w:hAnsi="宋体"/>
          <w:bCs/>
          <w:kern w:val="0"/>
          <w:szCs w:val="21"/>
          <w:highlight w:val="none"/>
        </w:rPr>
        <w:t>下列文件共同构成合同文件，作为项目履约和验收的依据：</w:t>
      </w:r>
    </w:p>
    <w:p w14:paraId="4577C7B6">
      <w:pPr>
        <w:widowControl/>
        <w:numPr>
          <w:ilvl w:val="0"/>
          <w:numId w:val="5"/>
        </w:numPr>
        <w:spacing w:line="440" w:lineRule="exact"/>
        <w:jc w:val="left"/>
        <w:rPr>
          <w:rFonts w:ascii="宋体" w:hAnsi="宋体"/>
          <w:bCs/>
          <w:kern w:val="0"/>
          <w:szCs w:val="21"/>
          <w:highlight w:val="none"/>
        </w:rPr>
      </w:pPr>
      <w:r>
        <w:rPr>
          <w:rFonts w:hint="eastAsia" w:ascii="宋体" w:hAnsi="宋体"/>
          <w:bCs/>
          <w:kern w:val="0"/>
          <w:szCs w:val="21"/>
          <w:highlight w:val="none"/>
        </w:rPr>
        <w:t>本合同协议书；</w:t>
      </w:r>
    </w:p>
    <w:p w14:paraId="072D46EF">
      <w:pPr>
        <w:widowControl/>
        <w:numPr>
          <w:ilvl w:val="0"/>
          <w:numId w:val="5"/>
        </w:numPr>
        <w:spacing w:line="440" w:lineRule="exact"/>
        <w:jc w:val="left"/>
        <w:rPr>
          <w:rFonts w:ascii="宋体" w:hAnsi="宋体"/>
          <w:kern w:val="0"/>
          <w:szCs w:val="21"/>
          <w:highlight w:val="none"/>
        </w:rPr>
      </w:pPr>
      <w:r>
        <w:rPr>
          <w:rFonts w:hint="eastAsia" w:ascii="宋体" w:hAnsi="宋体"/>
          <w:bCs/>
          <w:kern w:val="0"/>
          <w:szCs w:val="21"/>
          <w:highlight w:val="none"/>
        </w:rPr>
        <w:t>中标通知书；</w:t>
      </w:r>
    </w:p>
    <w:p w14:paraId="34053EDD">
      <w:pPr>
        <w:widowControl/>
        <w:numPr>
          <w:ilvl w:val="0"/>
          <w:numId w:val="5"/>
        </w:numPr>
        <w:spacing w:line="440" w:lineRule="exact"/>
        <w:jc w:val="left"/>
        <w:rPr>
          <w:rFonts w:ascii="宋体" w:hAnsi="宋体"/>
          <w:kern w:val="0"/>
          <w:szCs w:val="21"/>
          <w:highlight w:val="none"/>
        </w:rPr>
      </w:pPr>
      <w:r>
        <w:rPr>
          <w:rFonts w:hint="eastAsia" w:ascii="宋体" w:hAnsi="宋体"/>
          <w:bCs/>
          <w:kern w:val="0"/>
          <w:szCs w:val="21"/>
          <w:highlight w:val="none"/>
        </w:rPr>
        <w:t>投标函；</w:t>
      </w:r>
    </w:p>
    <w:p w14:paraId="7136CAD8">
      <w:pPr>
        <w:widowControl/>
        <w:numPr>
          <w:ilvl w:val="0"/>
          <w:numId w:val="5"/>
        </w:numPr>
        <w:spacing w:line="440" w:lineRule="exact"/>
        <w:jc w:val="left"/>
        <w:rPr>
          <w:rFonts w:ascii="宋体" w:hAnsi="宋体"/>
          <w:kern w:val="0"/>
          <w:szCs w:val="21"/>
          <w:highlight w:val="none"/>
        </w:rPr>
      </w:pPr>
      <w:r>
        <w:rPr>
          <w:rFonts w:hint="eastAsia" w:ascii="宋体" w:hAnsi="宋体"/>
          <w:kern w:val="0"/>
          <w:szCs w:val="21"/>
          <w:highlight w:val="none"/>
        </w:rPr>
        <w:t>招标文件；</w:t>
      </w:r>
    </w:p>
    <w:p w14:paraId="4033818E">
      <w:pPr>
        <w:widowControl/>
        <w:numPr>
          <w:ilvl w:val="0"/>
          <w:numId w:val="5"/>
        </w:numPr>
        <w:spacing w:line="440" w:lineRule="exact"/>
        <w:jc w:val="left"/>
        <w:rPr>
          <w:rFonts w:ascii="宋体" w:hAnsi="宋体"/>
          <w:kern w:val="0"/>
          <w:szCs w:val="21"/>
          <w:highlight w:val="none"/>
        </w:rPr>
      </w:pPr>
      <w:r>
        <w:rPr>
          <w:rFonts w:hint="eastAsia" w:ascii="宋体" w:hAnsi="宋体"/>
          <w:kern w:val="0"/>
          <w:szCs w:val="21"/>
          <w:highlight w:val="none"/>
        </w:rPr>
        <w:t>中标人的投标文件；</w:t>
      </w:r>
    </w:p>
    <w:p w14:paraId="4E1FAA55">
      <w:pPr>
        <w:widowControl/>
        <w:numPr>
          <w:ilvl w:val="0"/>
          <w:numId w:val="5"/>
        </w:numPr>
        <w:spacing w:line="440" w:lineRule="exact"/>
        <w:jc w:val="left"/>
        <w:rPr>
          <w:rFonts w:ascii="宋体" w:hAnsi="宋体"/>
          <w:kern w:val="0"/>
          <w:szCs w:val="21"/>
          <w:highlight w:val="none"/>
        </w:rPr>
      </w:pPr>
      <w:r>
        <w:rPr>
          <w:rFonts w:hint="eastAsia" w:ascii="宋体" w:hAnsi="宋体"/>
          <w:kern w:val="0"/>
          <w:szCs w:val="21"/>
          <w:highlight w:val="none"/>
        </w:rPr>
        <w:t>经双方协商同意和有关监督部门批准的其他内容。</w:t>
      </w:r>
    </w:p>
    <w:p w14:paraId="05D3E786">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上述文件互相补充和解释，如有不明确或不一致之处，以排序作为解释的优先顺序。</w:t>
      </w:r>
    </w:p>
    <w:p w14:paraId="35D52E85">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签订合同时，不得改变中标的金额、付款方式、合同履行期限、采购内容范围和质量技术标准等实质性内容。</w:t>
      </w:r>
    </w:p>
    <w:p w14:paraId="4407C88A">
      <w:pPr>
        <w:widowControl/>
        <w:spacing w:line="440" w:lineRule="exact"/>
        <w:ind w:firstLine="422" w:firstLineChars="200"/>
        <w:jc w:val="left"/>
        <w:rPr>
          <w:rFonts w:ascii="宋体" w:hAnsi="宋体"/>
          <w:b/>
          <w:bCs/>
          <w:kern w:val="0"/>
          <w:szCs w:val="21"/>
          <w:highlight w:val="none"/>
        </w:rPr>
      </w:pPr>
      <w:r>
        <w:rPr>
          <w:rFonts w:hint="eastAsia" w:ascii="宋体" w:hAnsi="宋体"/>
          <w:b/>
          <w:bCs/>
          <w:kern w:val="0"/>
          <w:szCs w:val="21"/>
          <w:highlight w:val="none"/>
        </w:rPr>
        <w:t>第四条  权利保证　　</w:t>
      </w:r>
      <w:r>
        <w:rPr>
          <w:rFonts w:hint="eastAsia" w:ascii="宋体" w:hAnsi="宋体"/>
          <w:kern w:val="0"/>
          <w:szCs w:val="21"/>
          <w:highlight w:val="none"/>
        </w:rPr>
        <w:t>乙方应保证甲方在使用该产品或其任何一部分时不受第三方提出侵犯其专利权、版权、商标权或其他权利的起诉。一旦出现侵权，乙方应承担全部责任。</w:t>
      </w:r>
    </w:p>
    <w:p w14:paraId="6112C544">
      <w:pPr>
        <w:widowControl/>
        <w:spacing w:line="440" w:lineRule="exact"/>
        <w:ind w:firstLine="422" w:firstLineChars="200"/>
        <w:jc w:val="left"/>
        <w:outlineLvl w:val="1"/>
        <w:rPr>
          <w:rFonts w:ascii="宋体" w:hAnsi="宋体"/>
          <w:b/>
          <w:bCs/>
          <w:kern w:val="0"/>
          <w:szCs w:val="21"/>
          <w:highlight w:val="none"/>
        </w:rPr>
      </w:pPr>
      <w:bookmarkStart w:id="704" w:name="_Toc7934"/>
      <w:r>
        <w:rPr>
          <w:rFonts w:hint="eastAsia" w:ascii="宋体" w:hAnsi="宋体"/>
          <w:b/>
          <w:bCs/>
          <w:kern w:val="0"/>
          <w:szCs w:val="21"/>
          <w:highlight w:val="none"/>
        </w:rPr>
        <w:t>第五条  质量保证</w:t>
      </w:r>
      <w:bookmarkEnd w:id="704"/>
    </w:p>
    <w:p w14:paraId="22A42D24">
      <w:pPr>
        <w:widowControl/>
        <w:spacing w:line="440" w:lineRule="exact"/>
        <w:ind w:firstLine="420" w:firstLineChars="200"/>
        <w:jc w:val="left"/>
        <w:rPr>
          <w:rFonts w:ascii="宋体" w:hAnsi="宋体"/>
          <w:b/>
          <w:bCs/>
          <w:kern w:val="0"/>
          <w:szCs w:val="21"/>
          <w:highlight w:val="none"/>
        </w:rPr>
      </w:pPr>
      <w:r>
        <w:rPr>
          <w:rFonts w:hint="eastAsia" w:ascii="宋体" w:hAnsi="宋体"/>
          <w:kern w:val="0"/>
          <w:szCs w:val="21"/>
          <w:highlight w:val="none"/>
        </w:rPr>
        <w:t>1、乙方所提供的产品的技术标准应与招标文件规定的技术规格标准相一致；若技术性能标准无特殊说明，则按国家有关部门最新颁布的标准及规范为准。</w:t>
      </w:r>
    </w:p>
    <w:p w14:paraId="377D55DF">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2、乙方应保证提供的产品是全新、未使用过的原装合格正品，并完全符合本项目规定的质量、规格和性能的要求，符合投标文件中的技术标准和服务承诺，招标文件与投标文件中的技术标准不一致时，以标准高者为准。乙方应保证其提供的项目在正确安装、正常使用和保养条件下，在其使用寿命期限内具有良好的性能。质量验收后，在质量保证期内，乙方应对由于设计、工艺或材料的缺陷所发生的任何不足或故障负责，所需费用由乙方承担。</w:t>
      </w:r>
    </w:p>
    <w:p w14:paraId="63EC8794">
      <w:pPr>
        <w:widowControl/>
        <w:spacing w:line="440" w:lineRule="exact"/>
        <w:ind w:firstLine="422" w:firstLineChars="200"/>
        <w:jc w:val="left"/>
        <w:outlineLvl w:val="1"/>
        <w:rPr>
          <w:rFonts w:ascii="宋体" w:hAnsi="宋体"/>
          <w:b/>
          <w:bCs/>
          <w:kern w:val="0"/>
          <w:szCs w:val="21"/>
          <w:highlight w:val="none"/>
        </w:rPr>
      </w:pPr>
      <w:bookmarkStart w:id="705" w:name="_Toc19462"/>
      <w:r>
        <w:rPr>
          <w:rFonts w:hint="eastAsia" w:ascii="宋体" w:hAnsi="宋体"/>
          <w:b/>
          <w:bCs/>
          <w:kern w:val="0"/>
          <w:szCs w:val="21"/>
          <w:highlight w:val="none"/>
        </w:rPr>
        <w:t>第六条  包装要求</w:t>
      </w:r>
      <w:bookmarkEnd w:id="705"/>
    </w:p>
    <w:p w14:paraId="0F0C4666">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1、除合同另有规定外，乙方提供的全部产品均应按标准保护措施进行包装。该包装应适应于远距离运输、防潮、防震、防锈和防野蛮装卸，以确保产品安全无损运抵指定地点。由于包装不善所引起的损失均由乙方承担。</w:t>
      </w:r>
    </w:p>
    <w:p w14:paraId="1CA9F1F4">
      <w:pPr>
        <w:widowControl/>
        <w:spacing w:line="440" w:lineRule="exact"/>
        <w:ind w:firstLine="420" w:firstLineChars="200"/>
        <w:jc w:val="left"/>
        <w:outlineLvl w:val="2"/>
        <w:rPr>
          <w:rFonts w:ascii="宋体" w:hAnsi="宋体"/>
          <w:kern w:val="0"/>
          <w:szCs w:val="21"/>
          <w:highlight w:val="none"/>
        </w:rPr>
      </w:pPr>
      <w:r>
        <w:rPr>
          <w:rFonts w:hint="eastAsia" w:ascii="宋体" w:hAnsi="宋体"/>
          <w:kern w:val="0"/>
          <w:szCs w:val="21"/>
          <w:highlight w:val="none"/>
        </w:rPr>
        <w:t>2、每一包装单元内应附详细的装箱单和质量合格凭证。</w:t>
      </w:r>
    </w:p>
    <w:p w14:paraId="38799DC2">
      <w:pPr>
        <w:widowControl/>
        <w:spacing w:line="440" w:lineRule="exact"/>
        <w:ind w:firstLine="422" w:firstLineChars="200"/>
        <w:jc w:val="left"/>
        <w:outlineLvl w:val="1"/>
        <w:rPr>
          <w:rFonts w:ascii="宋体" w:hAnsi="宋体"/>
          <w:b/>
          <w:bCs/>
          <w:kern w:val="0"/>
          <w:szCs w:val="21"/>
          <w:highlight w:val="none"/>
        </w:rPr>
      </w:pPr>
      <w:bookmarkStart w:id="706" w:name="_Toc20965"/>
      <w:r>
        <w:rPr>
          <w:rFonts w:hint="eastAsia" w:ascii="宋体" w:hAnsi="宋体"/>
          <w:b/>
          <w:bCs/>
          <w:kern w:val="0"/>
          <w:szCs w:val="21"/>
          <w:highlight w:val="none"/>
        </w:rPr>
        <w:t>第七条  交付和验收</w:t>
      </w:r>
      <w:bookmarkEnd w:id="706"/>
    </w:p>
    <w:p w14:paraId="583FF9DE">
      <w:pPr>
        <w:widowControl/>
        <w:spacing w:line="440" w:lineRule="exact"/>
        <w:ind w:firstLine="420" w:firstLineChars="200"/>
        <w:rPr>
          <w:rFonts w:ascii="宋体" w:hAnsi="宋体"/>
          <w:kern w:val="0"/>
          <w:szCs w:val="21"/>
          <w:highlight w:val="none"/>
        </w:rPr>
      </w:pPr>
      <w:r>
        <w:rPr>
          <w:rFonts w:hint="eastAsia" w:ascii="宋体" w:hAnsi="宋体"/>
          <w:kern w:val="0"/>
          <w:szCs w:val="21"/>
          <w:highlight w:val="none"/>
        </w:rPr>
        <w:t>1、交货（服务）地点：</w:t>
      </w:r>
      <w:r>
        <w:rPr>
          <w:rFonts w:hint="eastAsia" w:ascii="宋体" w:hAnsi="宋体"/>
          <w:kern w:val="0"/>
          <w:szCs w:val="21"/>
          <w:highlight w:val="none"/>
          <w:u w:val="single"/>
        </w:rPr>
        <w:t xml:space="preserve">                     </w:t>
      </w:r>
    </w:p>
    <w:p w14:paraId="55035D24">
      <w:pPr>
        <w:widowControl/>
        <w:spacing w:line="440" w:lineRule="exact"/>
        <w:ind w:firstLine="420" w:firstLineChars="200"/>
        <w:outlineLvl w:val="2"/>
        <w:rPr>
          <w:rFonts w:ascii="宋体" w:hAnsi="宋体"/>
          <w:kern w:val="0"/>
          <w:szCs w:val="21"/>
          <w:highlight w:val="none"/>
          <w:u w:val="single"/>
        </w:rPr>
      </w:pPr>
      <w:r>
        <w:rPr>
          <w:rFonts w:hint="eastAsia" w:ascii="宋体" w:hAnsi="宋体"/>
          <w:kern w:val="0"/>
          <w:szCs w:val="21"/>
          <w:highlight w:val="none"/>
        </w:rPr>
        <w:t>2、交货（服务）期限：</w:t>
      </w:r>
      <w:r>
        <w:rPr>
          <w:rFonts w:hint="eastAsia" w:ascii="宋体" w:hAnsi="宋体"/>
          <w:kern w:val="0"/>
          <w:szCs w:val="21"/>
          <w:highlight w:val="none"/>
          <w:u w:val="single"/>
        </w:rPr>
        <w:t>　　</w:t>
      </w:r>
      <w:r>
        <w:rPr>
          <w:rFonts w:hint="eastAsia" w:ascii="宋体" w:hAnsi="宋体"/>
          <w:kern w:val="0"/>
          <w:szCs w:val="21"/>
          <w:highlight w:val="none"/>
        </w:rPr>
        <w:t>天，从</w:t>
      </w:r>
      <w:r>
        <w:rPr>
          <w:rFonts w:hint="eastAsia" w:ascii="宋体" w:hAnsi="宋体"/>
          <w:kern w:val="0"/>
          <w:szCs w:val="21"/>
          <w:highlight w:val="none"/>
          <w:u w:val="single"/>
        </w:rPr>
        <w:t>　　　　　</w:t>
      </w:r>
      <w:r>
        <w:rPr>
          <w:rFonts w:hint="eastAsia" w:ascii="宋体" w:hAnsi="宋体"/>
          <w:kern w:val="0"/>
          <w:szCs w:val="21"/>
          <w:highlight w:val="none"/>
        </w:rPr>
        <w:t>计算。</w:t>
      </w:r>
    </w:p>
    <w:p w14:paraId="21A648F6">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3、乙方交付的产品应当完全符合本合同、招标文件及投标文件所规定的数量和技术规格要求，不符合要求的，甲方有权拒收，由此引起的风险，由乙方承担。</w:t>
      </w:r>
    </w:p>
    <w:p w14:paraId="2D3E9BF2">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4、质量验收包括：规格、型号、功能、性能、数量、质量、以及包装是否完好等。</w:t>
      </w:r>
    </w:p>
    <w:p w14:paraId="19339D62">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5、乙方应将所提供产品的装箱清单、用户手册、原厂保修卡、随机资料及配件、随机工具等交付给甲方；乙方不能完整交付产品及本款规定的单证和工具的，视为未按合同约定交货，乙方负责补齐，因此导致逾期交付的，由乙方承担相关的违约责任。</w:t>
      </w:r>
    </w:p>
    <w:p w14:paraId="36AB3490">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6、甲方应当在收到产品后的</w:t>
      </w:r>
      <w:r>
        <w:rPr>
          <w:rFonts w:hint="eastAsia" w:ascii="宋体" w:hAnsi="宋体"/>
          <w:kern w:val="0"/>
          <w:szCs w:val="21"/>
          <w:highlight w:val="none"/>
          <w:u w:val="single"/>
        </w:rPr>
        <w:t>　　　　</w:t>
      </w:r>
      <w:r>
        <w:rPr>
          <w:rFonts w:hint="eastAsia" w:ascii="宋体" w:hAnsi="宋体"/>
          <w:kern w:val="0"/>
          <w:szCs w:val="21"/>
          <w:highlight w:val="none"/>
        </w:rPr>
        <w:t>日内对产品进行验收；需要乙方对产品或系统进行安装调试的，甲方应在安装调试完毕后的</w:t>
      </w:r>
      <w:r>
        <w:rPr>
          <w:rFonts w:hint="eastAsia" w:ascii="宋体" w:hAnsi="宋体"/>
          <w:kern w:val="0"/>
          <w:szCs w:val="21"/>
          <w:highlight w:val="none"/>
          <w:u w:val="single"/>
        </w:rPr>
        <w:t>　　　　</w:t>
      </w:r>
      <w:r>
        <w:rPr>
          <w:rFonts w:hint="eastAsia" w:ascii="宋体" w:hAnsi="宋体"/>
          <w:kern w:val="0"/>
          <w:szCs w:val="21"/>
          <w:highlight w:val="none"/>
        </w:rPr>
        <w:t>日内进行质量验收。验收合格的，由甲方签署验收单并加盖单位公章。招标文件对检验期限另有规定的，从其规定。</w:t>
      </w:r>
    </w:p>
    <w:p w14:paraId="2A577EFF">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7、产品和系统调试验收的标准：按国家标准、行业通行标准、出厂标准和乙方投标文件的承诺（详细标准可在合同附件载明，有国家标准时不得低于国家标准）。</w:t>
      </w:r>
    </w:p>
    <w:p w14:paraId="7E979D1C">
      <w:pPr>
        <w:widowControl/>
        <w:spacing w:line="440" w:lineRule="exact"/>
        <w:ind w:firstLine="422" w:firstLineChars="200"/>
        <w:jc w:val="left"/>
        <w:outlineLvl w:val="1"/>
        <w:rPr>
          <w:rFonts w:ascii="宋体" w:hAnsi="宋体"/>
          <w:b/>
          <w:bCs/>
          <w:kern w:val="0"/>
          <w:szCs w:val="21"/>
          <w:highlight w:val="none"/>
        </w:rPr>
      </w:pPr>
      <w:bookmarkStart w:id="707" w:name="_Toc31703"/>
      <w:r>
        <w:rPr>
          <w:rFonts w:hint="eastAsia" w:ascii="宋体" w:hAnsi="宋体"/>
          <w:b/>
          <w:bCs/>
          <w:kern w:val="0"/>
          <w:szCs w:val="21"/>
          <w:highlight w:val="none"/>
        </w:rPr>
        <w:t>第八条  伴随服务及售后服务</w:t>
      </w:r>
      <w:bookmarkEnd w:id="707"/>
    </w:p>
    <w:p w14:paraId="0C08199A">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1、乙方应按照国家有关法律法规规定和“三包”规定以及乙方对本项目的“服务承诺”提供服务。</w:t>
      </w:r>
    </w:p>
    <w:p w14:paraId="40DEA2FA">
      <w:pPr>
        <w:widowControl/>
        <w:spacing w:line="440" w:lineRule="exact"/>
        <w:ind w:firstLine="420" w:firstLineChars="200"/>
        <w:jc w:val="left"/>
        <w:outlineLvl w:val="2"/>
        <w:rPr>
          <w:rFonts w:ascii="宋体" w:hAnsi="宋体"/>
          <w:kern w:val="0"/>
          <w:szCs w:val="21"/>
          <w:highlight w:val="none"/>
        </w:rPr>
      </w:pPr>
      <w:r>
        <w:rPr>
          <w:rFonts w:hint="eastAsia" w:ascii="宋体" w:hAnsi="宋体"/>
          <w:kern w:val="0"/>
          <w:szCs w:val="21"/>
          <w:highlight w:val="none"/>
        </w:rPr>
        <w:t>2、除前款规定外，乙方还应提供下列服务：</w:t>
      </w:r>
    </w:p>
    <w:p w14:paraId="02873C68">
      <w:pPr>
        <w:widowControl/>
        <w:spacing w:line="440" w:lineRule="exact"/>
        <w:ind w:firstLine="420" w:firstLineChars="200"/>
        <w:jc w:val="left"/>
        <w:outlineLvl w:val="3"/>
        <w:rPr>
          <w:rFonts w:ascii="宋体" w:hAnsi="宋体"/>
          <w:kern w:val="0"/>
          <w:szCs w:val="21"/>
          <w:highlight w:val="none"/>
        </w:rPr>
      </w:pPr>
      <w:r>
        <w:rPr>
          <w:rFonts w:hint="eastAsia" w:ascii="宋体" w:hAnsi="宋体"/>
          <w:kern w:val="0"/>
          <w:szCs w:val="21"/>
          <w:highlight w:val="none"/>
        </w:rPr>
        <w:t>（1）产品的现场安装、调试及启动监督；</w:t>
      </w:r>
    </w:p>
    <w:p w14:paraId="2F0AFC7E">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（2）就产品的安装、启动、运行及维护等对甲方人员进行免费培训。</w:t>
      </w:r>
    </w:p>
    <w:p w14:paraId="41468A44">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3、若招标文件中不包含有关伴随服务或售后服务的承诺，双方作如下约定：</w:t>
      </w:r>
    </w:p>
    <w:p w14:paraId="13FC1C47">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3.1、 乙方应为甲方提供免费培训服务，并指派专人负责与甲方联系售后服务事宜。主要培训内容为产品的基本功能、性能、主要部分的结构及处理，日常使用操作、保养与管理、常见故障的排除、紧急情况的处理等，如甲方未使用过同类型产品，乙方还需对甲方人员进行相应的技术培训，培训地点主要在产品安装现场或由甲方安排。</w:t>
      </w:r>
    </w:p>
    <w:p w14:paraId="67967A7C">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3.2、 产品中若包含计算机、服务器产品则由乙方提供至少</w:t>
      </w:r>
      <w:r>
        <w:rPr>
          <w:rFonts w:hint="eastAsia" w:ascii="宋体" w:hAnsi="宋体"/>
          <w:kern w:val="0"/>
          <w:szCs w:val="21"/>
          <w:highlight w:val="none"/>
          <w:u w:val="single"/>
        </w:rPr>
        <w:t xml:space="preserve">   </w:t>
      </w:r>
      <w:r>
        <w:rPr>
          <w:rFonts w:hint="eastAsia" w:ascii="宋体" w:hAnsi="宋体"/>
          <w:kern w:val="0"/>
          <w:szCs w:val="21"/>
          <w:highlight w:val="none"/>
        </w:rPr>
        <w:t xml:space="preserve">年的整机保修和系统维护；若为其他产品则按生产厂家的保修标准执行，但不得少于 </w:t>
      </w:r>
      <w:r>
        <w:rPr>
          <w:rFonts w:hint="eastAsia" w:ascii="宋体" w:hAnsi="宋体"/>
          <w:kern w:val="0"/>
          <w:szCs w:val="21"/>
          <w:highlight w:val="none"/>
          <w:u w:val="single"/>
        </w:rPr>
        <w:t>1</w:t>
      </w:r>
      <w:r>
        <w:rPr>
          <w:rFonts w:hint="eastAsia" w:ascii="宋体" w:hAnsi="宋体"/>
          <w:kern w:val="0"/>
          <w:szCs w:val="21"/>
          <w:highlight w:val="none"/>
        </w:rPr>
        <w:t>年（</w:t>
      </w:r>
      <w:r>
        <w:rPr>
          <w:rFonts w:hint="eastAsia" w:ascii="宋体" w:hAnsi="宋体" w:cs="宋体"/>
          <w:kern w:val="0"/>
          <w:szCs w:val="21"/>
          <w:highlight w:val="none"/>
        </w:rPr>
        <w:t>（请分别列出：</w:t>
      </w:r>
      <w:r>
        <w:rPr>
          <w:rFonts w:hint="eastAsia" w:ascii="宋体" w:hAnsi="宋体" w:cs="宋体"/>
          <w:kern w:val="0"/>
          <w:szCs w:val="21"/>
          <w:highlight w:val="none"/>
          <w:u w:val="single"/>
        </w:rPr>
        <w:t xml:space="preserve">       </w:t>
      </w:r>
      <w:r>
        <w:rPr>
          <w:rFonts w:hint="eastAsia" w:ascii="宋体" w:hAnsi="宋体"/>
          <w:kern w:val="0"/>
          <w:szCs w:val="21"/>
          <w:highlight w:val="none"/>
        </w:rPr>
        <w:t>）；保修期自甲方在产品质量验收单上签字之日起计算，保修费用包含在合同总价中。</w:t>
      </w:r>
    </w:p>
    <w:p w14:paraId="5C070E76">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3.3、 免费保修期：</w:t>
      </w:r>
      <w:r>
        <w:rPr>
          <w:rFonts w:hint="eastAsia" w:ascii="宋体" w:hAnsi="宋体"/>
          <w:kern w:val="0"/>
          <w:szCs w:val="21"/>
          <w:highlight w:val="none"/>
          <w:u w:val="single"/>
        </w:rPr>
        <w:t>　　　　　　　　　</w:t>
      </w:r>
      <w:r>
        <w:rPr>
          <w:rFonts w:hint="eastAsia" w:ascii="宋体" w:hAnsi="宋体"/>
          <w:kern w:val="0"/>
          <w:szCs w:val="21"/>
          <w:highlight w:val="none"/>
        </w:rPr>
        <w:t>，保修期内，乙方负责对其提供的产品整体进行维修和系统维护，不再收取任何费用。</w:t>
      </w:r>
    </w:p>
    <w:p w14:paraId="7424300D">
      <w:pPr>
        <w:widowControl/>
        <w:spacing w:line="440" w:lineRule="exact"/>
        <w:ind w:firstLine="420" w:firstLineChars="200"/>
        <w:jc w:val="left"/>
        <w:outlineLvl w:val="4"/>
        <w:rPr>
          <w:rFonts w:ascii="宋体" w:hAnsi="宋体"/>
          <w:kern w:val="0"/>
          <w:szCs w:val="21"/>
          <w:highlight w:val="none"/>
        </w:rPr>
      </w:pPr>
      <w:r>
        <w:rPr>
          <w:rFonts w:hint="eastAsia" w:ascii="宋体" w:hAnsi="宋体"/>
          <w:kern w:val="0"/>
          <w:szCs w:val="21"/>
          <w:highlight w:val="none"/>
        </w:rPr>
        <w:t>3.4、 产品故障报修的响应时间为：</w:t>
      </w:r>
      <w:r>
        <w:rPr>
          <w:rFonts w:hint="eastAsia" w:ascii="宋体" w:hAnsi="宋体"/>
          <w:kern w:val="0"/>
          <w:szCs w:val="21"/>
          <w:highlight w:val="none"/>
          <w:u w:val="single"/>
        </w:rPr>
        <w:t>　　　　　</w:t>
      </w:r>
      <w:r>
        <w:rPr>
          <w:rFonts w:hint="eastAsia" w:ascii="宋体" w:hAnsi="宋体"/>
          <w:kern w:val="0"/>
          <w:szCs w:val="21"/>
          <w:highlight w:val="none"/>
        </w:rPr>
        <w:t>小时。</w:t>
      </w:r>
    </w:p>
    <w:p w14:paraId="3D0FC7B0">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3.5、若产品故障在检修</w:t>
      </w:r>
      <w:r>
        <w:rPr>
          <w:rFonts w:hint="eastAsia" w:ascii="宋体" w:hAnsi="宋体"/>
          <w:kern w:val="0"/>
          <w:szCs w:val="21"/>
          <w:highlight w:val="none"/>
          <w:u w:val="single"/>
        </w:rPr>
        <w:t xml:space="preserve">  </w:t>
      </w:r>
      <w:r>
        <w:rPr>
          <w:rFonts w:hint="eastAsia" w:ascii="宋体" w:hAnsi="宋体"/>
          <w:kern w:val="0"/>
          <w:szCs w:val="21"/>
          <w:highlight w:val="none"/>
        </w:rPr>
        <w:t>小时后仍无法排除，乙方应在48小时内免费提供不低于故障产品规格标准和档次的备用产品供甲方使用，直至故障产品修复。</w:t>
      </w:r>
    </w:p>
    <w:p w14:paraId="6C192D65">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3.6、 所有产品保修服务方式均为乙方上门保修，即由乙方派人到产品使用现场维修、维护，由此产生的一切费用均由乙方承担。</w:t>
      </w:r>
    </w:p>
    <w:p w14:paraId="01C309B0">
      <w:pPr>
        <w:widowControl/>
        <w:spacing w:line="440" w:lineRule="exact"/>
        <w:ind w:firstLine="420" w:firstLineChars="200"/>
        <w:jc w:val="left"/>
        <w:outlineLvl w:val="4"/>
        <w:rPr>
          <w:rFonts w:ascii="宋体" w:hAnsi="宋体"/>
          <w:kern w:val="0"/>
          <w:szCs w:val="21"/>
          <w:highlight w:val="none"/>
        </w:rPr>
      </w:pPr>
      <w:r>
        <w:rPr>
          <w:rFonts w:hint="eastAsia" w:ascii="宋体" w:hAnsi="宋体"/>
          <w:kern w:val="0"/>
          <w:szCs w:val="21"/>
          <w:highlight w:val="none"/>
        </w:rPr>
        <w:t>3.7、 保修期以后的维修维护由双方协商再定。</w:t>
      </w:r>
    </w:p>
    <w:p w14:paraId="53A4087E">
      <w:pPr>
        <w:widowControl/>
        <w:spacing w:line="440" w:lineRule="exact"/>
        <w:ind w:firstLine="422" w:firstLineChars="200"/>
        <w:jc w:val="left"/>
        <w:outlineLvl w:val="1"/>
        <w:rPr>
          <w:rFonts w:ascii="宋体" w:hAnsi="宋体"/>
          <w:b/>
          <w:bCs/>
          <w:kern w:val="0"/>
          <w:szCs w:val="21"/>
          <w:highlight w:val="none"/>
        </w:rPr>
      </w:pPr>
      <w:bookmarkStart w:id="708" w:name="_Toc25606"/>
      <w:r>
        <w:rPr>
          <w:rFonts w:hint="eastAsia" w:ascii="宋体" w:hAnsi="宋体"/>
          <w:b/>
          <w:bCs/>
          <w:kern w:val="0"/>
          <w:szCs w:val="21"/>
          <w:highlight w:val="none"/>
        </w:rPr>
        <w:t>第九条   履约保证金</w:t>
      </w:r>
      <w:bookmarkEnd w:id="708"/>
    </w:p>
    <w:p w14:paraId="087D5FC3">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本合同签订生效以前乙方应按招标文件规定的金额向甲方或甲方指定的机构提交履约保证金。如乙方未能履行合同规定的义务，甲方有权扣除其履约保证金。</w:t>
      </w:r>
    </w:p>
    <w:p w14:paraId="0A5F2FD9">
      <w:pPr>
        <w:widowControl/>
        <w:spacing w:line="440" w:lineRule="exact"/>
        <w:ind w:firstLine="422" w:firstLineChars="200"/>
        <w:jc w:val="left"/>
        <w:outlineLvl w:val="1"/>
        <w:rPr>
          <w:rFonts w:ascii="宋体" w:hAnsi="宋体"/>
          <w:b/>
          <w:bCs/>
          <w:kern w:val="0"/>
          <w:szCs w:val="21"/>
          <w:highlight w:val="none"/>
        </w:rPr>
      </w:pPr>
      <w:bookmarkStart w:id="709" w:name="_Toc28506"/>
      <w:r>
        <w:rPr>
          <w:rFonts w:hint="eastAsia" w:ascii="宋体" w:hAnsi="宋体"/>
          <w:b/>
          <w:bCs/>
          <w:kern w:val="0"/>
          <w:szCs w:val="21"/>
          <w:highlight w:val="none"/>
        </w:rPr>
        <w:t>第十条   货款支付</w:t>
      </w:r>
      <w:bookmarkEnd w:id="709"/>
    </w:p>
    <w:p w14:paraId="2C4E2AF0">
      <w:pPr>
        <w:widowControl/>
        <w:spacing w:line="440" w:lineRule="exact"/>
        <w:ind w:firstLine="420" w:firstLineChars="200"/>
        <w:jc w:val="left"/>
        <w:rPr>
          <w:rFonts w:ascii="宋体" w:hAnsi="宋体"/>
          <w:kern w:val="0"/>
          <w:szCs w:val="21"/>
          <w:highlight w:val="none"/>
          <w:u w:val="single"/>
        </w:rPr>
      </w:pPr>
      <w:r>
        <w:rPr>
          <w:rFonts w:hint="eastAsia" w:ascii="宋体" w:hAnsi="宋体"/>
          <w:kern w:val="0"/>
          <w:szCs w:val="21"/>
          <w:highlight w:val="none"/>
        </w:rPr>
        <w:t>1、付款方式（按招标文件的规定）：</w:t>
      </w:r>
      <w:r>
        <w:rPr>
          <w:rFonts w:hint="eastAsia" w:ascii="宋体" w:hAnsi="宋体"/>
          <w:kern w:val="0"/>
          <w:szCs w:val="21"/>
          <w:highlight w:val="none"/>
          <w:u w:val="single"/>
        </w:rPr>
        <w:t>　　　　　　　　　　　　　　　　</w:t>
      </w:r>
    </w:p>
    <w:p w14:paraId="617A1E2B">
      <w:pPr>
        <w:widowControl/>
        <w:spacing w:line="440" w:lineRule="exact"/>
        <w:jc w:val="left"/>
        <w:rPr>
          <w:rFonts w:ascii="宋体" w:hAnsi="宋体"/>
          <w:kern w:val="0"/>
          <w:szCs w:val="21"/>
          <w:highlight w:val="none"/>
        </w:rPr>
      </w:pPr>
      <w:r>
        <w:rPr>
          <w:rFonts w:hint="eastAsia" w:ascii="宋体" w:hAnsi="宋体"/>
          <w:kern w:val="0"/>
          <w:szCs w:val="21"/>
          <w:highlight w:val="none"/>
          <w:u w:val="single"/>
        </w:rPr>
        <w:t>　　　　　　　　　　　　　　　　　　　　　　　　　　　　　　　　　</w:t>
      </w:r>
      <w:r>
        <w:rPr>
          <w:rFonts w:hint="eastAsia" w:ascii="宋体" w:hAnsi="宋体"/>
          <w:kern w:val="0"/>
          <w:szCs w:val="21"/>
          <w:highlight w:val="none"/>
        </w:rPr>
        <w:t>。本合同项下所有款项均以人民币支付。</w:t>
      </w:r>
    </w:p>
    <w:p w14:paraId="2D642D04">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2、乙方向甲方开具正规发票，甲方在签署验收单后按付款方式约定付款。</w:t>
      </w:r>
    </w:p>
    <w:p w14:paraId="5F5A660B">
      <w:pPr>
        <w:widowControl/>
        <w:spacing w:line="440" w:lineRule="exact"/>
        <w:ind w:firstLine="422" w:firstLineChars="200"/>
        <w:jc w:val="left"/>
        <w:outlineLvl w:val="1"/>
        <w:rPr>
          <w:rFonts w:ascii="宋体" w:hAnsi="宋体"/>
          <w:b/>
          <w:bCs/>
          <w:kern w:val="0"/>
          <w:szCs w:val="21"/>
          <w:highlight w:val="none"/>
        </w:rPr>
      </w:pPr>
      <w:bookmarkStart w:id="710" w:name="_Toc24551"/>
      <w:r>
        <w:rPr>
          <w:rFonts w:hint="eastAsia" w:ascii="宋体" w:hAnsi="宋体"/>
          <w:b/>
          <w:bCs/>
          <w:kern w:val="0"/>
          <w:szCs w:val="21"/>
          <w:highlight w:val="none"/>
        </w:rPr>
        <w:t>第十一条 违约责任</w:t>
      </w:r>
      <w:bookmarkEnd w:id="710"/>
    </w:p>
    <w:p w14:paraId="700D917B">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1、甲方无正当理由拒绝接收产品、拒付项目款的，由甲方向乙方偿付合同总价的</w:t>
      </w:r>
      <w:r>
        <w:rPr>
          <w:rFonts w:hint="eastAsia" w:ascii="宋体" w:hAnsi="宋体"/>
          <w:kern w:val="0"/>
          <w:szCs w:val="21"/>
          <w:highlight w:val="none"/>
          <w:u w:val="single"/>
        </w:rPr>
        <w:t>　5%　</w:t>
      </w:r>
      <w:r>
        <w:rPr>
          <w:rFonts w:hint="eastAsia" w:ascii="宋体" w:hAnsi="宋体"/>
          <w:kern w:val="0"/>
          <w:szCs w:val="21"/>
          <w:highlight w:val="none"/>
        </w:rPr>
        <w:t>违约金。</w:t>
      </w:r>
    </w:p>
    <w:p w14:paraId="429C76CA">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2、甲方未按合同规定的期限向乙方支付项目款的，每逾期1天甲方向乙方偿付</w:t>
      </w:r>
      <w:r>
        <w:rPr>
          <w:rFonts w:hint="eastAsia" w:ascii="宋体" w:hAnsi="宋体"/>
          <w:kern w:val="0"/>
          <w:szCs w:val="21"/>
          <w:highlight w:val="none"/>
          <w:u w:val="single"/>
        </w:rPr>
        <w:t>　　　　</w:t>
      </w:r>
      <w:r>
        <w:rPr>
          <w:rFonts w:hint="eastAsia" w:ascii="宋体" w:hAnsi="宋体"/>
          <w:kern w:val="0"/>
          <w:szCs w:val="21"/>
          <w:highlight w:val="none"/>
        </w:rPr>
        <w:t>滞纳金，但累计滞纳金总额不超过欠款总额的5% 。</w:t>
      </w:r>
    </w:p>
    <w:p w14:paraId="1FE1DDC2">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3、如乙方不能按约定交付产品，或交付的产品质量、规格、型号、功能、性能等不符合合同规定或有关标准，甲方有权拒收，责令乙方改正，并酌情扣除其履约保证金。</w:t>
      </w:r>
    </w:p>
    <w:p w14:paraId="49F60DE2">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4、 乙方逾期交付产品的，每逾期1天，乙方向甲方偿付</w:t>
      </w:r>
      <w:r>
        <w:rPr>
          <w:rFonts w:hint="eastAsia" w:ascii="宋体" w:hAnsi="宋体"/>
          <w:kern w:val="0"/>
          <w:szCs w:val="21"/>
          <w:highlight w:val="none"/>
          <w:u w:val="single"/>
        </w:rPr>
        <w:t>　　　　</w:t>
      </w:r>
      <w:r>
        <w:rPr>
          <w:rFonts w:hint="eastAsia" w:ascii="宋体" w:hAnsi="宋体"/>
          <w:kern w:val="0"/>
          <w:szCs w:val="21"/>
          <w:highlight w:val="none"/>
        </w:rPr>
        <w:t>滞纳金。如乙方逾期交付达</w:t>
      </w:r>
      <w:r>
        <w:rPr>
          <w:rFonts w:hint="eastAsia" w:ascii="宋体" w:hAnsi="宋体"/>
          <w:kern w:val="0"/>
          <w:szCs w:val="21"/>
          <w:highlight w:val="none"/>
          <w:u w:val="single"/>
        </w:rPr>
        <w:t>　　　　</w:t>
      </w:r>
      <w:r>
        <w:rPr>
          <w:rFonts w:hint="eastAsia" w:ascii="宋体" w:hAnsi="宋体"/>
          <w:kern w:val="0"/>
          <w:szCs w:val="21"/>
          <w:highlight w:val="none"/>
        </w:rPr>
        <w:t>天，甲方有权解除合同，解除合同的通知自到达乙方时生效。</w:t>
      </w:r>
    </w:p>
    <w:p w14:paraId="6E030BDE">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5、在乙方承诺的或国家规定的质量保证期内（取两者中最长的期限），如经乙方两次维修或更换，产品仍不能达到合同约定的质量标准，甲方有权退回，乙方应退回退还产品部分的</w:t>
      </w:r>
      <w:r>
        <w:rPr>
          <w:rFonts w:hint="eastAsia" w:ascii="宋体" w:hAnsi="宋体" w:cs="宋体"/>
          <w:kern w:val="0"/>
          <w:szCs w:val="21"/>
          <w:highlight w:val="none"/>
        </w:rPr>
        <w:t>项目</w:t>
      </w:r>
      <w:r>
        <w:rPr>
          <w:rFonts w:hint="eastAsia" w:ascii="宋体" w:hAnsi="宋体"/>
          <w:kern w:val="0"/>
          <w:szCs w:val="21"/>
          <w:highlight w:val="none"/>
        </w:rPr>
        <w:t>款，并酌情扣除乙方质量保证金，给甲方造成损失者，乙方还应赔偿甲方因此遭受的损失。</w:t>
      </w:r>
    </w:p>
    <w:p w14:paraId="1433F9D0">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6、乙方违反本合同有关约定或未按“服务承诺”提供伴随服务/售后服务的，每次扣除乙方违约金</w:t>
      </w:r>
      <w:r>
        <w:rPr>
          <w:rFonts w:hint="eastAsia" w:ascii="宋体" w:hAnsi="宋体"/>
          <w:kern w:val="0"/>
          <w:szCs w:val="21"/>
          <w:highlight w:val="none"/>
          <w:u w:val="single"/>
        </w:rPr>
        <w:t>　　　　　</w:t>
      </w:r>
      <w:r>
        <w:rPr>
          <w:rFonts w:hint="eastAsia" w:ascii="宋体" w:hAnsi="宋体"/>
          <w:kern w:val="0"/>
          <w:szCs w:val="21"/>
          <w:highlight w:val="none"/>
        </w:rPr>
        <w:t>元（合同另有约定的从其约定）。</w:t>
      </w:r>
    </w:p>
    <w:p w14:paraId="7EF60998">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7、乙方在承担上述一项或多项违约责任后，仍应继续履行合同规定的义务（甲方解除合同的除外）。甲方未及时追究乙方的任何一项违约责任，并不表明甲方放弃追究乙方违约责任的权利。</w:t>
      </w:r>
    </w:p>
    <w:p w14:paraId="4AC3103B">
      <w:pPr>
        <w:widowControl/>
        <w:spacing w:line="440" w:lineRule="exact"/>
        <w:ind w:firstLine="422" w:firstLineChars="200"/>
        <w:jc w:val="left"/>
        <w:rPr>
          <w:rFonts w:ascii="宋体" w:hAnsi="宋体"/>
          <w:b/>
          <w:bCs/>
          <w:kern w:val="0"/>
          <w:szCs w:val="21"/>
          <w:highlight w:val="none"/>
        </w:rPr>
      </w:pPr>
      <w:r>
        <w:rPr>
          <w:rFonts w:hint="eastAsia" w:ascii="宋体" w:hAnsi="宋体"/>
          <w:b/>
          <w:bCs/>
          <w:kern w:val="0"/>
          <w:szCs w:val="21"/>
          <w:highlight w:val="none"/>
        </w:rPr>
        <w:t>第十二条 合同的变更补充，终止及转让　　</w:t>
      </w:r>
      <w:r>
        <w:rPr>
          <w:rFonts w:hint="eastAsia" w:ascii="宋体" w:hAnsi="宋体"/>
          <w:kern w:val="0"/>
          <w:szCs w:val="21"/>
          <w:highlight w:val="none"/>
        </w:rPr>
        <w:t>除《政府采购法》第49条、第50条第二款规定的情形外，本合同一经签订，甲乙双方不得擅自变更、中止或终止合同。合同的变更和补充追加需经开封市政府采购监督管理办公室审核批准后生效。乙方不得擅自部分或全部转让其应履行的合同义务。</w:t>
      </w:r>
    </w:p>
    <w:p w14:paraId="3BE98DFB">
      <w:pPr>
        <w:widowControl/>
        <w:spacing w:line="440" w:lineRule="exact"/>
        <w:ind w:firstLine="422" w:firstLineChars="200"/>
        <w:jc w:val="left"/>
        <w:outlineLvl w:val="1"/>
        <w:rPr>
          <w:rFonts w:ascii="宋体" w:hAnsi="宋体"/>
          <w:b/>
          <w:bCs/>
          <w:kern w:val="0"/>
          <w:szCs w:val="21"/>
          <w:highlight w:val="none"/>
        </w:rPr>
      </w:pPr>
      <w:bookmarkStart w:id="711" w:name="_Toc31760"/>
      <w:r>
        <w:rPr>
          <w:rFonts w:hint="eastAsia" w:ascii="宋体" w:hAnsi="宋体"/>
          <w:b/>
          <w:bCs/>
          <w:kern w:val="0"/>
          <w:szCs w:val="21"/>
          <w:highlight w:val="none"/>
        </w:rPr>
        <w:t>第十三条 　不可抗力</w:t>
      </w:r>
      <w:bookmarkEnd w:id="711"/>
      <w:r>
        <w:rPr>
          <w:rFonts w:hint="eastAsia" w:ascii="宋体" w:hAnsi="宋体"/>
          <w:b/>
          <w:bCs/>
          <w:kern w:val="0"/>
          <w:szCs w:val="21"/>
          <w:highlight w:val="none"/>
        </w:rPr>
        <w:t>　　</w:t>
      </w:r>
    </w:p>
    <w:p w14:paraId="456C0861">
      <w:pPr>
        <w:widowControl/>
        <w:spacing w:line="440" w:lineRule="exact"/>
        <w:ind w:firstLine="422" w:firstLineChars="200"/>
        <w:jc w:val="left"/>
        <w:rPr>
          <w:rFonts w:ascii="宋体" w:hAnsi="宋体"/>
          <w:b/>
          <w:bCs/>
          <w:kern w:val="0"/>
          <w:szCs w:val="21"/>
          <w:highlight w:val="none"/>
        </w:rPr>
      </w:pPr>
      <w:r>
        <w:rPr>
          <w:rFonts w:hint="eastAsia" w:ascii="宋体" w:hAnsi="宋体"/>
          <w:b/>
          <w:bCs/>
          <w:kern w:val="0"/>
          <w:szCs w:val="21"/>
          <w:highlight w:val="none"/>
        </w:rPr>
        <w:t>1、</w:t>
      </w:r>
      <w:r>
        <w:rPr>
          <w:rFonts w:hint="eastAsia" w:ascii="宋体" w:hAnsi="宋体"/>
          <w:kern w:val="0"/>
          <w:szCs w:val="21"/>
          <w:highlight w:val="none"/>
        </w:rPr>
        <w:t>因不可抗力造成违约的，遭受不可抗力一方应及时向对方通报不能履行或不能完全履行的理由，并在随后取得有关主管机关证明后的15日内向另一方提供不可抗力发生以及持续期间的充分证据，根据情况可部分或全部免于承担违约责任。</w:t>
      </w:r>
    </w:p>
    <w:p w14:paraId="03BCD0CE">
      <w:pPr>
        <w:widowControl/>
        <w:spacing w:line="440" w:lineRule="exact"/>
        <w:ind w:firstLine="420" w:firstLineChars="200"/>
        <w:rPr>
          <w:rFonts w:ascii="宋体" w:hAnsi="宋体"/>
          <w:kern w:val="0"/>
          <w:szCs w:val="21"/>
          <w:highlight w:val="none"/>
        </w:rPr>
      </w:pPr>
      <w:r>
        <w:rPr>
          <w:rFonts w:hint="eastAsia" w:ascii="宋体" w:hAnsi="宋体"/>
          <w:kern w:val="0"/>
          <w:szCs w:val="21"/>
          <w:highlight w:val="none"/>
        </w:rPr>
        <w:t>2、</w:t>
      </w:r>
      <w:r>
        <w:rPr>
          <w:rFonts w:hint="eastAsia" w:ascii="宋体" w:hAnsi="宋体"/>
          <w:szCs w:val="21"/>
          <w:highlight w:val="none"/>
        </w:rPr>
        <w:t>不可抗力是指承包人和发包人在订立合同时不可预见，在履行合同过程中不可避免发生并不能克服的自然灾害和社会性突发事件，如地震、台风、海啸、瘟疫、水灾、火灾、骚乱、暴动、战争等情形。</w:t>
      </w:r>
    </w:p>
    <w:p w14:paraId="3788187C">
      <w:pPr>
        <w:widowControl/>
        <w:spacing w:line="440" w:lineRule="exact"/>
        <w:ind w:firstLine="422" w:firstLineChars="200"/>
        <w:jc w:val="left"/>
        <w:outlineLvl w:val="1"/>
        <w:rPr>
          <w:rFonts w:ascii="宋体" w:hAnsi="宋体"/>
          <w:b/>
          <w:bCs/>
          <w:kern w:val="0"/>
          <w:szCs w:val="21"/>
          <w:highlight w:val="none"/>
        </w:rPr>
      </w:pPr>
      <w:bookmarkStart w:id="712" w:name="_Toc11732"/>
      <w:r>
        <w:rPr>
          <w:rFonts w:hint="eastAsia" w:ascii="宋体" w:hAnsi="宋体"/>
          <w:b/>
          <w:bCs/>
          <w:kern w:val="0"/>
          <w:szCs w:val="21"/>
          <w:highlight w:val="none"/>
        </w:rPr>
        <w:t>第十四条  争议的解决</w:t>
      </w:r>
      <w:bookmarkEnd w:id="712"/>
    </w:p>
    <w:p w14:paraId="30C5559D">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1、因质量问题发生争议的，应当邀请国家认可的质量检测机构进行鉴定。经鉴定符合标准的，鉴定费由甲方承担；不符合质量标准的，鉴定费由乙方承担。</w:t>
      </w:r>
    </w:p>
    <w:p w14:paraId="67E00E82">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2、因履行本合同引起的或与本合同有关的争议，甲、乙双方应首先通过友好协商解决，如果协商不能解决争议，任何一方均可以向甲方所在地有管辖权的人民法院提起诉讼。</w:t>
      </w:r>
    </w:p>
    <w:p w14:paraId="43E899CF">
      <w:pPr>
        <w:widowControl/>
        <w:spacing w:line="440" w:lineRule="exact"/>
        <w:ind w:firstLine="422" w:firstLineChars="200"/>
        <w:jc w:val="left"/>
        <w:outlineLvl w:val="1"/>
        <w:rPr>
          <w:rFonts w:ascii="宋体" w:hAnsi="宋体"/>
          <w:b/>
          <w:bCs/>
          <w:kern w:val="0"/>
          <w:szCs w:val="21"/>
          <w:highlight w:val="none"/>
        </w:rPr>
      </w:pPr>
      <w:bookmarkStart w:id="713" w:name="_Toc22202"/>
      <w:r>
        <w:rPr>
          <w:rFonts w:hint="eastAsia" w:ascii="宋体" w:hAnsi="宋体"/>
          <w:b/>
          <w:bCs/>
          <w:kern w:val="0"/>
          <w:szCs w:val="21"/>
          <w:highlight w:val="none"/>
        </w:rPr>
        <w:t>第十五条   合同生效及其他</w:t>
      </w:r>
      <w:bookmarkEnd w:id="713"/>
    </w:p>
    <w:p w14:paraId="4A958EBE">
      <w:pPr>
        <w:widowControl/>
        <w:spacing w:line="440" w:lineRule="exact"/>
        <w:ind w:firstLine="420" w:firstLineChars="200"/>
        <w:rPr>
          <w:rFonts w:ascii="宋体" w:hAnsi="宋体"/>
          <w:b/>
          <w:bCs/>
          <w:kern w:val="0"/>
          <w:szCs w:val="21"/>
          <w:highlight w:val="none"/>
        </w:rPr>
      </w:pPr>
      <w:r>
        <w:rPr>
          <w:rFonts w:hint="eastAsia" w:ascii="宋体" w:hAnsi="宋体"/>
          <w:kern w:val="0"/>
          <w:szCs w:val="21"/>
          <w:highlight w:val="none"/>
        </w:rPr>
        <w:t>1、本合同未尽事宜，双方另行补充（补充内容不得改变或违背招标文件和中标人投标文件中的实质性内容）。</w:t>
      </w:r>
    </w:p>
    <w:p w14:paraId="437BFA88">
      <w:pPr>
        <w:widowControl/>
        <w:spacing w:line="440" w:lineRule="exact"/>
        <w:ind w:firstLine="420" w:firstLineChars="200"/>
        <w:rPr>
          <w:rFonts w:ascii="宋体" w:hAnsi="宋体"/>
          <w:kern w:val="0"/>
          <w:szCs w:val="21"/>
          <w:highlight w:val="none"/>
        </w:rPr>
      </w:pPr>
      <w:r>
        <w:rPr>
          <w:rFonts w:hint="eastAsia" w:ascii="宋体" w:hAnsi="宋体"/>
          <w:kern w:val="0"/>
          <w:szCs w:val="21"/>
          <w:highlight w:val="none"/>
        </w:rPr>
        <w:t>2、</w:t>
      </w:r>
      <w:r>
        <w:rPr>
          <w:rFonts w:hint="eastAsia" w:ascii="宋体" w:hAnsi="宋体"/>
          <w:bCs/>
          <w:kern w:val="0"/>
          <w:szCs w:val="21"/>
          <w:highlight w:val="none"/>
        </w:rPr>
        <w:t>本合同一式2份，甲、乙双方授权代表签字并盖单位公章后生效。甲方、乙方各一份。</w:t>
      </w:r>
    </w:p>
    <w:p w14:paraId="785C6DFA">
      <w:pPr>
        <w:widowControl/>
        <w:spacing w:line="440" w:lineRule="exact"/>
        <w:rPr>
          <w:rFonts w:ascii="宋体" w:hAnsi="宋体"/>
          <w:b/>
          <w:bCs/>
          <w:kern w:val="0"/>
          <w:szCs w:val="21"/>
          <w:highlight w:val="none"/>
        </w:rPr>
      </w:pPr>
    </w:p>
    <w:p w14:paraId="17A73DE6">
      <w:pPr>
        <w:widowControl/>
        <w:spacing w:line="440" w:lineRule="exact"/>
        <w:rPr>
          <w:rFonts w:ascii="宋体" w:hAnsi="宋体"/>
          <w:kern w:val="0"/>
          <w:szCs w:val="21"/>
          <w:highlight w:val="none"/>
        </w:rPr>
      </w:pPr>
      <w:r>
        <w:rPr>
          <w:rFonts w:hint="eastAsia" w:ascii="宋体" w:hAnsi="宋体"/>
          <w:kern w:val="0"/>
          <w:szCs w:val="21"/>
          <w:highlight w:val="none"/>
        </w:rPr>
        <w:t>甲    方：                　　　　　　 　乙    方：</w:t>
      </w:r>
    </w:p>
    <w:p w14:paraId="454DFF60">
      <w:pPr>
        <w:widowControl/>
        <w:spacing w:line="440" w:lineRule="exact"/>
        <w:rPr>
          <w:rFonts w:ascii="宋体" w:hAnsi="宋体"/>
          <w:kern w:val="0"/>
          <w:szCs w:val="21"/>
          <w:highlight w:val="none"/>
        </w:rPr>
      </w:pPr>
      <w:r>
        <w:rPr>
          <w:rFonts w:hint="eastAsia" w:ascii="宋体" w:hAnsi="宋体"/>
          <w:kern w:val="0"/>
          <w:szCs w:val="21"/>
          <w:highlight w:val="none"/>
        </w:rPr>
        <w:t>法定代表人：              　　　　　　   法定代表人：</w:t>
      </w:r>
    </w:p>
    <w:p w14:paraId="630446F2">
      <w:pPr>
        <w:widowControl/>
        <w:spacing w:line="440" w:lineRule="exact"/>
        <w:rPr>
          <w:rFonts w:ascii="宋体" w:hAnsi="宋体"/>
          <w:kern w:val="0"/>
          <w:szCs w:val="21"/>
          <w:highlight w:val="none"/>
        </w:rPr>
      </w:pPr>
      <w:r>
        <w:rPr>
          <w:rFonts w:hint="eastAsia" w:ascii="宋体" w:hAnsi="宋体"/>
          <w:kern w:val="0"/>
          <w:szCs w:val="21"/>
          <w:highlight w:val="none"/>
        </w:rPr>
        <w:t>委托代理人：               　　　　　　  委托代理人：</w:t>
      </w:r>
    </w:p>
    <w:p w14:paraId="4D22A963">
      <w:pPr>
        <w:widowControl/>
        <w:spacing w:line="440" w:lineRule="exact"/>
        <w:rPr>
          <w:rFonts w:ascii="宋体" w:hAnsi="宋体"/>
          <w:kern w:val="0"/>
          <w:szCs w:val="21"/>
          <w:highlight w:val="none"/>
        </w:rPr>
      </w:pPr>
      <w:r>
        <w:rPr>
          <w:rFonts w:hint="eastAsia" w:ascii="宋体" w:hAnsi="宋体"/>
          <w:kern w:val="0"/>
          <w:szCs w:val="21"/>
          <w:highlight w:val="none"/>
        </w:rPr>
        <w:t>单位地址：                 　　　　　　  单位地址：</w:t>
      </w:r>
    </w:p>
    <w:p w14:paraId="078ECEEC">
      <w:pPr>
        <w:widowControl/>
        <w:spacing w:line="440" w:lineRule="exact"/>
        <w:rPr>
          <w:rFonts w:ascii="宋体" w:hAnsi="宋体"/>
          <w:kern w:val="0"/>
          <w:szCs w:val="21"/>
          <w:highlight w:val="none"/>
        </w:rPr>
      </w:pPr>
      <w:r>
        <w:rPr>
          <w:rFonts w:hint="eastAsia" w:ascii="宋体" w:hAnsi="宋体"/>
          <w:kern w:val="0"/>
          <w:szCs w:val="21"/>
          <w:highlight w:val="none"/>
        </w:rPr>
        <w:t>电    话：                  　　　　　　 电    话：</w:t>
      </w:r>
    </w:p>
    <w:p w14:paraId="36DF519A">
      <w:pPr>
        <w:widowControl/>
        <w:spacing w:line="440" w:lineRule="exact"/>
        <w:rPr>
          <w:rFonts w:ascii="宋体" w:hAnsi="宋体"/>
          <w:kern w:val="0"/>
          <w:szCs w:val="21"/>
          <w:highlight w:val="none"/>
        </w:rPr>
      </w:pPr>
      <w:r>
        <w:rPr>
          <w:rFonts w:hint="eastAsia" w:ascii="宋体" w:hAnsi="宋体"/>
          <w:kern w:val="0"/>
          <w:szCs w:val="21"/>
          <w:highlight w:val="none"/>
        </w:rPr>
        <w:t>开户银行：                   　　　　　　开户银行：</w:t>
      </w:r>
    </w:p>
    <w:p w14:paraId="3902C191">
      <w:pPr>
        <w:widowControl/>
        <w:spacing w:line="440" w:lineRule="exact"/>
        <w:rPr>
          <w:rFonts w:ascii="宋体" w:hAnsi="宋体"/>
          <w:kern w:val="0"/>
          <w:szCs w:val="21"/>
          <w:highlight w:val="none"/>
        </w:rPr>
      </w:pPr>
      <w:r>
        <w:rPr>
          <w:rFonts w:hint="eastAsia" w:ascii="宋体" w:hAnsi="宋体"/>
          <w:kern w:val="0"/>
          <w:szCs w:val="21"/>
          <w:highlight w:val="none"/>
        </w:rPr>
        <w:t>账    号：                 　　　　　　  账    号：</w:t>
      </w:r>
    </w:p>
    <w:p w14:paraId="3087E69A">
      <w:pPr>
        <w:widowControl/>
        <w:spacing w:line="440" w:lineRule="exact"/>
        <w:ind w:firstLine="735" w:firstLineChars="350"/>
        <w:rPr>
          <w:rFonts w:ascii="宋体" w:hAnsi="宋体"/>
          <w:kern w:val="0"/>
          <w:szCs w:val="21"/>
          <w:highlight w:val="none"/>
        </w:rPr>
      </w:pPr>
      <w:r>
        <w:rPr>
          <w:rFonts w:hint="eastAsia" w:ascii="宋体" w:hAnsi="宋体"/>
          <w:kern w:val="0"/>
          <w:szCs w:val="21"/>
          <w:highlight w:val="none"/>
        </w:rPr>
        <w:t xml:space="preserve"> 年  月  日              　　　　　　　　  年  月  日</w:t>
      </w:r>
      <w:bookmarkEnd w:id="696"/>
      <w:bookmarkEnd w:id="697"/>
      <w:bookmarkEnd w:id="698"/>
      <w:bookmarkEnd w:id="699"/>
      <w:bookmarkEnd w:id="700"/>
      <w:bookmarkEnd w:id="701"/>
      <w:bookmarkEnd w:id="702"/>
    </w:p>
    <w:p w14:paraId="16661CCB">
      <w:pPr>
        <w:widowControl/>
        <w:spacing w:line="360" w:lineRule="auto"/>
        <w:rPr>
          <w:rFonts w:ascii="宋体" w:hAnsi="宋体" w:cs="宋体"/>
          <w:sz w:val="28"/>
          <w:szCs w:val="28"/>
          <w:highlight w:val="none"/>
        </w:rPr>
      </w:pPr>
      <w:r>
        <w:rPr>
          <w:highlight w:val="none"/>
        </w:rPr>
        <w:br w:type="page"/>
      </w:r>
    </w:p>
    <w:p w14:paraId="2054B904">
      <w:pPr>
        <w:pStyle w:val="3"/>
        <w:jc w:val="center"/>
        <w:outlineLvl w:val="0"/>
        <w:rPr>
          <w:rFonts w:ascii="宋体" w:hAnsi="宋体" w:eastAsia="宋体" w:cs="宋体"/>
          <w:highlight w:val="none"/>
        </w:rPr>
      </w:pPr>
      <w:bookmarkStart w:id="714" w:name="_Toc13944"/>
      <w:bookmarkStart w:id="715" w:name="_Toc28324"/>
      <w:bookmarkStart w:id="716" w:name="_Toc30854"/>
      <w:r>
        <w:rPr>
          <w:rFonts w:hint="eastAsia" w:ascii="宋体" w:hAnsi="宋体" w:eastAsia="宋体" w:cs="宋体"/>
          <w:highlight w:val="none"/>
        </w:rPr>
        <w:t>开封</w:t>
      </w:r>
      <w:r>
        <w:rPr>
          <w:rFonts w:hint="eastAsia" w:ascii="宋体" w:hAnsi="宋体" w:eastAsia="宋体" w:cs="宋体"/>
          <w:highlight w:val="none"/>
          <w:lang w:val="en-US" w:eastAsia="zh-CN"/>
        </w:rPr>
        <w:t>市</w:t>
      </w:r>
      <w:r>
        <w:rPr>
          <w:rFonts w:hint="eastAsia" w:ascii="宋体" w:hAnsi="宋体" w:eastAsia="宋体" w:cs="宋体"/>
          <w:highlight w:val="none"/>
        </w:rPr>
        <w:t>政府采购合同融资政策告知函</w:t>
      </w:r>
      <w:bookmarkEnd w:id="714"/>
      <w:bookmarkEnd w:id="715"/>
      <w:bookmarkEnd w:id="716"/>
    </w:p>
    <w:p w14:paraId="6C8A46E4">
      <w:pPr>
        <w:widowControl/>
        <w:spacing w:line="360" w:lineRule="auto"/>
        <w:rPr>
          <w:rFonts w:ascii="宋体" w:hAnsi="宋体" w:cs="宋体"/>
          <w:sz w:val="28"/>
          <w:szCs w:val="28"/>
          <w:highlight w:val="none"/>
        </w:rPr>
      </w:pPr>
    </w:p>
    <w:p w14:paraId="03797182">
      <w:pPr>
        <w:widowControl/>
        <w:spacing w:line="360" w:lineRule="auto"/>
        <w:rPr>
          <w:rFonts w:ascii="宋体" w:hAnsi="宋体" w:cs="宋体"/>
          <w:sz w:val="28"/>
          <w:szCs w:val="28"/>
          <w:highlight w:val="none"/>
        </w:rPr>
      </w:pPr>
      <w:r>
        <w:rPr>
          <w:rFonts w:hint="eastAsia" w:ascii="宋体" w:hAnsi="宋体" w:cs="宋体"/>
          <w:sz w:val="28"/>
          <w:szCs w:val="28"/>
          <w:highlight w:val="none"/>
        </w:rPr>
        <w:t>各供应商：</w:t>
      </w:r>
    </w:p>
    <w:p w14:paraId="368F9824">
      <w:pPr>
        <w:widowControl/>
        <w:spacing w:line="360" w:lineRule="auto"/>
        <w:ind w:firstLine="560" w:firstLineChars="200"/>
        <w:rPr>
          <w:rFonts w:ascii="宋体" w:hAnsi="宋体" w:cs="宋体"/>
          <w:sz w:val="28"/>
          <w:szCs w:val="28"/>
          <w:highlight w:val="none"/>
        </w:rPr>
      </w:pPr>
      <w:r>
        <w:rPr>
          <w:rFonts w:hint="eastAsia" w:ascii="宋体" w:hAnsi="宋体" w:cs="宋体"/>
          <w:sz w:val="28"/>
          <w:szCs w:val="28"/>
          <w:highlight w:val="none"/>
        </w:rPr>
        <w:t>欢迎贵公司参与开封政府采购活动！</w:t>
      </w:r>
    </w:p>
    <w:p w14:paraId="4AF1AE16">
      <w:pPr>
        <w:widowControl/>
        <w:spacing w:line="360" w:lineRule="auto"/>
        <w:ind w:firstLine="560" w:firstLineChars="200"/>
        <w:rPr>
          <w:rFonts w:ascii="宋体" w:hAnsi="宋体" w:cs="宋体"/>
          <w:sz w:val="28"/>
          <w:szCs w:val="28"/>
          <w:highlight w:val="none"/>
        </w:rPr>
      </w:pPr>
      <w:r>
        <w:rPr>
          <w:rFonts w:hint="eastAsia" w:ascii="宋体" w:hAnsi="宋体" w:cs="宋体"/>
          <w:sz w:val="28"/>
          <w:szCs w:val="28"/>
          <w:highlight w:val="none"/>
        </w:rPr>
        <w:t>政府采购合同融资是支持中小微企业发展，针对参与政府采购活动的供应商融资难、融资贵问题推出的一项融资政策。贵公司若成为本次政府采购项目的中标成交供应商，可持政府采购合同向金融机构申请贷款，无需抵押、担保，融资机构将根据相关文件要求，按照双方自愿的原则提供便捷、优惠的贷款服务。</w:t>
      </w:r>
    </w:p>
    <w:p w14:paraId="544B3D3E">
      <w:pPr>
        <w:widowControl/>
        <w:spacing w:line="360" w:lineRule="auto"/>
        <w:ind w:firstLine="560" w:firstLineChars="200"/>
        <w:rPr>
          <w:rFonts w:ascii="宋体" w:hAnsi="宋体" w:cs="宋体"/>
          <w:sz w:val="28"/>
          <w:szCs w:val="28"/>
          <w:highlight w:val="none"/>
        </w:rPr>
      </w:pPr>
      <w:r>
        <w:rPr>
          <w:rFonts w:hint="eastAsia" w:ascii="宋体" w:hAnsi="宋体" w:cs="宋体"/>
          <w:sz w:val="28"/>
          <w:szCs w:val="28"/>
          <w:highlight w:val="none"/>
        </w:rPr>
        <w:t>贷款渠道和提供贷款的金融机构，可在开封市政府采购网“政府采购合同融资平台”查询联系。</w:t>
      </w:r>
    </w:p>
    <w:p w14:paraId="3738D82D">
      <w:pPr>
        <w:pStyle w:val="32"/>
        <w:rPr>
          <w:highlight w:val="none"/>
        </w:rPr>
      </w:pPr>
    </w:p>
    <w:p w14:paraId="34045CE0">
      <w:pPr>
        <w:widowControl/>
        <w:spacing w:line="440" w:lineRule="exact"/>
        <w:rPr>
          <w:rFonts w:ascii="宋体" w:hAnsi="宋体"/>
          <w:kern w:val="0"/>
          <w:szCs w:val="21"/>
          <w:highlight w:val="none"/>
        </w:rPr>
      </w:pPr>
    </w:p>
    <w:p w14:paraId="3E7B036A">
      <w:pPr>
        <w:jc w:val="center"/>
        <w:rPr>
          <w:rFonts w:ascii="宋体" w:hAnsi="宋体"/>
          <w:highlight w:val="none"/>
        </w:rPr>
      </w:pPr>
      <w:bookmarkStart w:id="717" w:name="_Toc179632789"/>
      <w:bookmarkStart w:id="718" w:name="_Toc246996340"/>
      <w:bookmarkStart w:id="719" w:name="_Toc152042554"/>
      <w:bookmarkStart w:id="720" w:name="_Toc152045772"/>
      <w:bookmarkStart w:id="721" w:name="_Toc144974834"/>
      <w:bookmarkStart w:id="722" w:name="_Toc246997083"/>
      <w:bookmarkStart w:id="723" w:name="_Toc247085855"/>
      <w:bookmarkStart w:id="724" w:name="_Toc346523483"/>
      <w:bookmarkStart w:id="725" w:name="_Toc338840251"/>
      <w:bookmarkStart w:id="726" w:name="_Toc494093445"/>
      <w:bookmarkStart w:id="727" w:name="_Toc494526417"/>
      <w:bookmarkStart w:id="728" w:name="_Toc338840499"/>
      <w:bookmarkStart w:id="729" w:name="_Toc346523420"/>
      <w:bookmarkStart w:id="730" w:name="_Toc338840460"/>
      <w:r>
        <w:rPr>
          <w:rFonts w:hint="eastAsia" w:ascii="宋体" w:hAnsi="宋体"/>
          <w:highlight w:val="none"/>
        </w:rPr>
        <w:br w:type="page"/>
      </w:r>
    </w:p>
    <w:p w14:paraId="398364B8">
      <w:pPr>
        <w:pStyle w:val="3"/>
        <w:jc w:val="center"/>
        <w:outlineLvl w:val="9"/>
        <w:rPr>
          <w:rFonts w:ascii="宋体" w:hAnsi="宋体" w:eastAsia="宋体" w:cs="宋体"/>
          <w:highlight w:val="none"/>
        </w:rPr>
      </w:pPr>
      <w:bookmarkStart w:id="731" w:name="_Toc6494"/>
      <w:bookmarkStart w:id="732" w:name="_Toc18603"/>
      <w:r>
        <w:rPr>
          <w:rFonts w:hint="eastAsia" w:ascii="宋体" w:hAnsi="宋体" w:eastAsia="宋体" w:cs="宋体"/>
          <w:highlight w:val="none"/>
        </w:rPr>
        <w:t>开封</w:t>
      </w:r>
      <w:r>
        <w:rPr>
          <w:rFonts w:hint="eastAsia" w:ascii="宋体" w:hAnsi="宋体" w:eastAsia="宋体" w:cs="宋体"/>
          <w:highlight w:val="none"/>
          <w:lang w:val="en-US" w:eastAsia="zh-CN"/>
        </w:rPr>
        <w:t>市</w:t>
      </w:r>
      <w:r>
        <w:rPr>
          <w:rFonts w:hint="eastAsia" w:ascii="宋体" w:hAnsi="宋体" w:eastAsia="宋体" w:cs="宋体"/>
          <w:highlight w:val="none"/>
        </w:rPr>
        <w:t>政府采购合同履约保函政策告知函</w:t>
      </w:r>
      <w:bookmarkEnd w:id="731"/>
      <w:bookmarkEnd w:id="732"/>
    </w:p>
    <w:p w14:paraId="65D65DB4">
      <w:pPr>
        <w:pStyle w:val="32"/>
        <w:rPr>
          <w:highlight w:val="none"/>
        </w:rPr>
      </w:pPr>
    </w:p>
    <w:p w14:paraId="2D0CEB2D">
      <w:pPr>
        <w:widowControl/>
        <w:spacing w:line="360" w:lineRule="auto"/>
        <w:rPr>
          <w:rFonts w:ascii="宋体" w:hAnsi="宋体" w:cs="宋体"/>
          <w:sz w:val="28"/>
          <w:szCs w:val="28"/>
          <w:highlight w:val="none"/>
        </w:rPr>
      </w:pPr>
      <w:r>
        <w:rPr>
          <w:rFonts w:hint="eastAsia" w:ascii="宋体" w:hAnsi="宋体" w:cs="宋体"/>
          <w:sz w:val="28"/>
          <w:szCs w:val="28"/>
          <w:highlight w:val="none"/>
        </w:rPr>
        <w:t>各供应商：</w:t>
      </w:r>
    </w:p>
    <w:p w14:paraId="6D82F357">
      <w:pPr>
        <w:widowControl/>
        <w:spacing w:line="360" w:lineRule="auto"/>
        <w:ind w:firstLine="560" w:firstLineChars="200"/>
        <w:rPr>
          <w:rFonts w:ascii="宋体" w:hAnsi="宋体" w:cs="宋体"/>
          <w:sz w:val="28"/>
          <w:szCs w:val="28"/>
          <w:highlight w:val="none"/>
        </w:rPr>
      </w:pPr>
      <w:r>
        <w:rPr>
          <w:rFonts w:hint="eastAsia" w:ascii="宋体" w:hAnsi="宋体" w:cs="宋体"/>
          <w:sz w:val="28"/>
          <w:szCs w:val="28"/>
          <w:highlight w:val="none"/>
        </w:rPr>
        <w:t>欢迎贵公司参与开封政府采购活动！</w:t>
      </w:r>
    </w:p>
    <w:p w14:paraId="07D72BB1">
      <w:pPr>
        <w:widowControl/>
        <w:spacing w:line="360" w:lineRule="auto"/>
        <w:ind w:firstLine="560" w:firstLineChars="200"/>
        <w:rPr>
          <w:rFonts w:ascii="宋体" w:hAnsi="宋体" w:cs="宋体"/>
          <w:sz w:val="28"/>
          <w:szCs w:val="28"/>
          <w:highlight w:val="none"/>
        </w:rPr>
      </w:pPr>
      <w:r>
        <w:rPr>
          <w:rFonts w:hint="eastAsia" w:ascii="宋体" w:hAnsi="宋体" w:cs="宋体"/>
          <w:sz w:val="28"/>
          <w:szCs w:val="28"/>
          <w:highlight w:val="none"/>
        </w:rPr>
        <w:t>政府采购履约保函是进一步优化营商环境支持中小微企业发展，规范我市政府采购项目履约保证金收取及退还工作。保护参与政府采购活动的供应商合法权益，减轻企业负担。采购人不得收取供应商质量保证金，或者在政府采购合同中预留资金作为质量保证金。鼓励采购人根据项目特点、供应商诚信等情况免收履约保证金或降低缴纳比例，并在采购文件中明确；并应在供应商履行完合同约定义务事项后及时退还；原则上供应商需以银行、保险公司出具保函形式提交履约保证金；确需提交转账、现金等形式保证金的需经财政部门同意；采购代理机构不得收取履约保证金。</w:t>
      </w:r>
    </w:p>
    <w:p w14:paraId="35A711F7">
      <w:pPr>
        <w:widowControl/>
        <w:spacing w:line="360" w:lineRule="auto"/>
        <w:ind w:firstLine="560" w:firstLineChars="200"/>
        <w:rPr>
          <w:rFonts w:ascii="宋体" w:hAnsi="宋体" w:cs="宋体"/>
          <w:sz w:val="28"/>
          <w:szCs w:val="28"/>
          <w:highlight w:val="none"/>
        </w:rPr>
      </w:pPr>
      <w:r>
        <w:rPr>
          <w:rFonts w:hint="eastAsia" w:ascii="宋体" w:hAnsi="宋体" w:cs="宋体"/>
          <w:sz w:val="28"/>
          <w:szCs w:val="28"/>
          <w:highlight w:val="none"/>
        </w:rPr>
        <w:t>政府采购合同履约保函机构，可在开封市政府采购网查询联系。</w:t>
      </w:r>
    </w:p>
    <w:p w14:paraId="09D8F30B">
      <w:pPr>
        <w:pStyle w:val="2"/>
        <w:jc w:val="center"/>
        <w:rPr>
          <w:rFonts w:ascii="宋体" w:hAnsi="宋体"/>
          <w:highlight w:val="none"/>
        </w:rPr>
      </w:pPr>
      <w:r>
        <w:rPr>
          <w:rFonts w:hint="eastAsia" w:ascii="宋体" w:hAnsi="宋体"/>
          <w:highlight w:val="none"/>
        </w:rPr>
        <w:br w:type="page"/>
      </w:r>
      <w:bookmarkStart w:id="733" w:name="_Toc479"/>
      <w:bookmarkStart w:id="734" w:name="_Toc24602"/>
      <w:bookmarkStart w:id="735" w:name="_Toc9194"/>
      <w:bookmarkStart w:id="736" w:name="_Toc14386"/>
      <w:bookmarkStart w:id="737" w:name="_Toc23041"/>
      <w:bookmarkStart w:id="738" w:name="_Toc18308"/>
      <w:r>
        <w:rPr>
          <w:rFonts w:hint="eastAsia" w:ascii="宋体" w:hAnsi="宋体"/>
          <w:highlight w:val="none"/>
        </w:rPr>
        <w:t xml:space="preserve">第五章  </w:t>
      </w:r>
      <w:bookmarkEnd w:id="717"/>
      <w:bookmarkEnd w:id="718"/>
      <w:bookmarkEnd w:id="719"/>
      <w:bookmarkEnd w:id="720"/>
      <w:bookmarkEnd w:id="721"/>
      <w:bookmarkEnd w:id="722"/>
      <w:bookmarkEnd w:id="723"/>
      <w:r>
        <w:rPr>
          <w:rFonts w:hint="eastAsia" w:ascii="宋体" w:hAnsi="宋体"/>
          <w:highlight w:val="none"/>
        </w:rPr>
        <w:t>招标内容及商务技术要求</w:t>
      </w:r>
      <w:bookmarkEnd w:id="724"/>
      <w:bookmarkEnd w:id="725"/>
      <w:bookmarkEnd w:id="726"/>
      <w:bookmarkEnd w:id="727"/>
      <w:bookmarkEnd w:id="728"/>
      <w:bookmarkEnd w:id="729"/>
      <w:bookmarkEnd w:id="730"/>
      <w:bookmarkEnd w:id="733"/>
      <w:bookmarkEnd w:id="734"/>
      <w:bookmarkEnd w:id="735"/>
      <w:bookmarkEnd w:id="736"/>
      <w:bookmarkEnd w:id="737"/>
      <w:bookmarkEnd w:id="738"/>
    </w:p>
    <w:p w14:paraId="60835130">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textAlignment w:val="auto"/>
        <w:outlineLvl w:val="9"/>
        <w:rPr>
          <w:rFonts w:ascii="宋体" w:hAnsi="宋体"/>
          <w:b/>
          <w:sz w:val="32"/>
          <w:szCs w:val="32"/>
          <w:highlight w:val="none"/>
        </w:rPr>
      </w:pPr>
      <w:r>
        <w:rPr>
          <w:rFonts w:hint="eastAsia" w:ascii="宋体" w:hAnsi="宋体"/>
          <w:b/>
          <w:sz w:val="32"/>
          <w:szCs w:val="32"/>
          <w:highlight w:val="none"/>
        </w:rPr>
        <w:t>一、项目概况</w:t>
      </w:r>
    </w:p>
    <w:p w14:paraId="5ED5866E">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宋体"/>
          <w:szCs w:val="21"/>
          <w:highlight w:val="none"/>
        </w:rPr>
      </w:pPr>
      <w:r>
        <w:rPr>
          <w:rFonts w:hint="eastAsia" w:ascii="宋体" w:hAnsi="宋体" w:eastAsia="宋体" w:cs="宋体"/>
          <w:b/>
          <w:bCs/>
          <w:sz w:val="24"/>
          <w:szCs w:val="24"/>
          <w:highlight w:val="none"/>
          <w:lang w:val="en-US" w:eastAsia="zh-CN"/>
        </w:rPr>
        <w:t>（一）项目背景</w:t>
      </w:r>
    </w:p>
    <w:p w14:paraId="72FE2BBA">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zh-CN" w:eastAsia="zh-CN"/>
        </w:rPr>
      </w:pPr>
      <w:r>
        <w:rPr>
          <w:rFonts w:hint="eastAsia" w:ascii="宋体" w:hAnsi="宋体" w:eastAsia="宋体" w:cs="Times New Roman"/>
          <w:szCs w:val="21"/>
          <w:highlight w:val="none"/>
          <w:lang w:val="zh-CN" w:eastAsia="zh-CN"/>
        </w:rPr>
        <w:t>当前，</w:t>
      </w:r>
      <w:r>
        <w:rPr>
          <w:rFonts w:hint="eastAsia" w:ascii="宋体" w:hAnsi="宋体" w:eastAsia="宋体" w:cs="Times New Roman"/>
          <w:szCs w:val="21"/>
          <w:highlight w:val="none"/>
          <w:lang w:val="en-US" w:eastAsia="zh-CN"/>
        </w:rPr>
        <w:t>开封市政务服务移动端</w:t>
      </w:r>
      <w:r>
        <w:rPr>
          <w:rFonts w:hint="eastAsia" w:ascii="宋体" w:hAnsi="宋体" w:eastAsia="宋体" w:cs="Times New Roman"/>
          <w:szCs w:val="21"/>
          <w:highlight w:val="none"/>
          <w:lang w:val="zh-CN" w:eastAsia="zh-CN"/>
        </w:rPr>
        <w:t>在服务覆盖广度与功能深度上，与郑州市“郑好办”仍存在一定差距。“郑好办”已构建起较为完善的“掌上办事”体系，接入事项丰富、服务链条完整；而开封市政务服务移动端现有可办事项相对有限，尤其在跨城通办、线下统一预约、智能排队叫号、智能引导及高频事项集成等方面短板较为突出，尚难满足郑开同城化背景下群众与企业日益增长的“异地办、就近办、快速办”等实际需求。</w:t>
      </w:r>
    </w:p>
    <w:p w14:paraId="5A778EF0">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zh-CN"/>
        </w:rPr>
      </w:pPr>
      <w:r>
        <w:rPr>
          <w:rFonts w:hint="eastAsia" w:ascii="宋体" w:hAnsi="宋体" w:eastAsia="宋体" w:cs="Times New Roman"/>
          <w:szCs w:val="21"/>
          <w:highlight w:val="none"/>
          <w:lang w:val="zh-CN" w:eastAsia="zh-CN"/>
        </w:rPr>
        <w:t>推动郑州与开封两市政务服务一体化发展，是对标“郑好办”、打通两市政务服务体系的重要路径，旨在构建标准统一、服务同质、业务协同、安全可靠的郑开同城政务服务新格局。这既是落实省委、省政府关于郑开同城化发展战略的关键举措，也是提升两地群众获得感、优化营商环境的现实需要。</w:t>
      </w:r>
    </w:p>
    <w:p w14:paraId="5633E53B">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（二）建设目标</w:t>
      </w:r>
    </w:p>
    <w:p w14:paraId="765D68B8">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zh-CN" w:eastAsia="zh-CN"/>
        </w:rPr>
      </w:pPr>
      <w:r>
        <w:rPr>
          <w:rFonts w:hint="eastAsia" w:ascii="宋体" w:hAnsi="宋体" w:eastAsia="宋体" w:cs="Times New Roman"/>
          <w:szCs w:val="21"/>
          <w:highlight w:val="none"/>
          <w:lang w:val="zh-CN" w:eastAsia="zh-CN"/>
        </w:rPr>
        <w:t>打造覆盖郑开两地的统一、便捷、高效的线上政务服务移动端及线下统一预约平台，推动两市政务服务实现“无感换乘、一体通办”。</w:t>
      </w:r>
    </w:p>
    <w:p w14:paraId="5222ACA2">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zh-CN" w:eastAsia="zh-CN"/>
        </w:rPr>
      </w:pPr>
      <w:r>
        <w:rPr>
          <w:rFonts w:hint="eastAsia" w:ascii="宋体" w:hAnsi="宋体" w:eastAsia="宋体" w:cs="Times New Roman"/>
          <w:szCs w:val="21"/>
          <w:highlight w:val="none"/>
          <w:lang w:val="zh-CN" w:eastAsia="zh-CN"/>
        </w:rPr>
        <w:t>将实现与“郑好办”用户体系的统一认证互认，上线一批高频跨域通办服务，并同步升级基础支撑能力、拓展便民服务功能，力求逐步缩小与“郑好办”的服务体验差距。同时，引入AI智能引导技术，构建线上预约与线下排队叫号协同机制，致力于有效压减办事材料、大幅缩短办理时间。此外，还将结合开封本地资源，打造具有文旅、金融等特色的专属服务专区，丰富平台服务生态，提升群众和企业获得感。</w:t>
      </w:r>
    </w:p>
    <w:p w14:paraId="5AFAA5FA">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（三）建设内容</w:t>
      </w:r>
    </w:p>
    <w:p w14:paraId="548ACA57">
      <w:pPr>
        <w:keepNext w:val="0"/>
        <w:keepLines w:val="0"/>
        <w:pageBreakBefore w:val="0"/>
        <w:widowControl w:val="0"/>
        <w:kinsoku/>
        <w:wordWrap/>
        <w:overflowPunct/>
        <w:topLinePunct w:val="0"/>
        <w:autoSpaceDE/>
        <w:autoSpaceDN/>
        <w:bidi w:val="0"/>
        <w:adjustRightInd/>
        <w:snapToGrid/>
        <w:spacing w:line="560" w:lineRule="exact"/>
        <w:ind w:firstLine="420"/>
        <w:jc w:val="left"/>
        <w:textAlignment w:val="auto"/>
        <w:rPr>
          <w:rFonts w:hint="eastAsia" w:ascii="宋体" w:hAnsi="宋体" w:eastAsia="宋体" w:cs="Times New Roman"/>
          <w:szCs w:val="21"/>
          <w:highlight w:val="none"/>
          <w:lang w:val="zh-CN" w:eastAsia="zh-CN"/>
        </w:rPr>
      </w:pPr>
      <w:r>
        <w:rPr>
          <w:rFonts w:hint="eastAsia" w:ascii="宋体" w:hAnsi="宋体" w:eastAsia="宋体" w:cs="Times New Roman"/>
          <w:szCs w:val="21"/>
          <w:highlight w:val="none"/>
          <w:lang w:val="zh-CN" w:eastAsia="zh-CN"/>
        </w:rPr>
        <w:t>本项目旨在构建郑开同城政务服务线上线下一体化快捷办理体系，以</w:t>
      </w:r>
      <w:r>
        <w:rPr>
          <w:rFonts w:hint="eastAsia" w:ascii="宋体" w:hAnsi="宋体" w:eastAsia="宋体" w:cs="Times New Roman"/>
          <w:szCs w:val="21"/>
          <w:highlight w:val="none"/>
          <w:lang w:val="en-US" w:eastAsia="zh-CN"/>
        </w:rPr>
        <w:t>政务服务</w:t>
      </w:r>
      <w:r>
        <w:rPr>
          <w:rFonts w:hint="eastAsia" w:ascii="宋体" w:hAnsi="宋体" w:eastAsia="宋体" w:cs="Times New Roman"/>
          <w:szCs w:val="21"/>
          <w:highlight w:val="none"/>
          <w:lang w:val="zh-CN" w:eastAsia="zh-CN"/>
        </w:rPr>
        <w:t>线上</w:t>
      </w:r>
      <w:r>
        <w:rPr>
          <w:rFonts w:hint="eastAsia" w:ascii="宋体" w:hAnsi="宋体" w:eastAsia="宋体" w:cs="Times New Roman"/>
          <w:szCs w:val="21"/>
          <w:highlight w:val="none"/>
          <w:lang w:val="en-US" w:eastAsia="zh-CN"/>
        </w:rPr>
        <w:t>移动</w:t>
      </w:r>
      <w:r>
        <w:rPr>
          <w:rFonts w:hint="eastAsia" w:ascii="宋体" w:hAnsi="宋体" w:eastAsia="宋体" w:cs="Times New Roman"/>
          <w:szCs w:val="21"/>
          <w:highlight w:val="none"/>
          <w:lang w:val="zh-CN" w:eastAsia="zh-CN"/>
        </w:rPr>
        <w:t>服务平台和线下统一预约平台为核心载体，重点推进四大板块建设：郑开同城政务服务专区、便民服务专区、基础支撑能力及统一预约平台。</w:t>
      </w:r>
    </w:p>
    <w:p w14:paraId="7B8BCAD1">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zh-CN" w:eastAsia="zh-CN"/>
        </w:rPr>
        <w:t>聚焦高频事项异地通办，与各业务部门深度对接，通过接口对接实现多项服务事项接入，并对现有功能进行优化提升，同时自主开发一批新功能。政务服务专区将新增一批高频政务服务事项；便民服务专区拓展文旅、金融等多类便民服务内容；基础支撑能力实现郑开两地用户体系互通、统一服务接入及AI智能引导功能；统一预约平台全面整合线上预约与线下叫号功能，打造线上线下无缝衔接的服务闭环。</w:t>
      </w:r>
    </w:p>
    <w:p w14:paraId="4EA00766">
      <w:pPr>
        <w:keepNext w:val="0"/>
        <w:keepLines w:val="0"/>
        <w:pageBreakBefore w:val="0"/>
        <w:widowControl w:val="0"/>
        <w:kinsoku/>
        <w:wordWrap/>
        <w:overflowPunct/>
        <w:topLinePunct w:val="0"/>
        <w:autoSpaceDE/>
        <w:autoSpaceDN/>
        <w:bidi w:val="0"/>
        <w:adjustRightInd/>
        <w:snapToGrid w:val="0"/>
        <w:spacing w:before="313" w:beforeLines="100" w:after="313" w:afterLines="100" w:line="560" w:lineRule="exact"/>
        <w:textAlignment w:val="auto"/>
        <w:outlineLvl w:val="9"/>
        <w:rPr>
          <w:rFonts w:hint="eastAsia" w:ascii="宋体" w:hAnsi="宋体" w:eastAsia="宋体" w:cs="Times New Roman"/>
          <w:b/>
          <w:sz w:val="32"/>
          <w:szCs w:val="32"/>
          <w:highlight w:val="none"/>
        </w:rPr>
      </w:pPr>
      <w:r>
        <w:rPr>
          <w:rFonts w:hint="eastAsia" w:ascii="宋体" w:hAnsi="宋体" w:eastAsia="宋体" w:cs="Times New Roman"/>
          <w:b/>
          <w:sz w:val="32"/>
          <w:szCs w:val="32"/>
          <w:highlight w:val="none"/>
        </w:rPr>
        <w:t>二、商务要求</w:t>
      </w:r>
    </w:p>
    <w:p w14:paraId="056A5A1F">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ascii="宋体" w:hAnsi="宋体"/>
          <w:szCs w:val="21"/>
          <w:highlight w:val="none"/>
        </w:rPr>
      </w:pPr>
      <w:r>
        <w:rPr>
          <w:rFonts w:hint="eastAsia" w:ascii="宋体" w:hAnsi="宋体"/>
          <w:szCs w:val="21"/>
          <w:highlight w:val="none"/>
        </w:rPr>
        <w:t>1、合同履行地点：见供应商须知前附表</w:t>
      </w:r>
    </w:p>
    <w:p w14:paraId="7AD3EA2A">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ascii="宋体" w:hAnsi="宋体"/>
          <w:szCs w:val="21"/>
          <w:highlight w:val="none"/>
        </w:rPr>
      </w:pPr>
      <w:r>
        <w:rPr>
          <w:rFonts w:hint="eastAsia" w:ascii="宋体" w:hAnsi="宋体"/>
          <w:szCs w:val="21"/>
          <w:highlight w:val="none"/>
        </w:rPr>
        <w:t>2、合同履行期限：见供应商须知前附表</w:t>
      </w:r>
    </w:p>
    <w:p w14:paraId="65F45EEB">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ascii="宋体" w:hAnsi="宋体"/>
          <w:szCs w:val="21"/>
          <w:highlight w:val="none"/>
        </w:rPr>
      </w:pPr>
      <w:r>
        <w:rPr>
          <w:rFonts w:hint="eastAsia" w:ascii="宋体" w:hAnsi="宋体"/>
          <w:szCs w:val="21"/>
          <w:highlight w:val="none"/>
        </w:rPr>
        <w:t>3、质量要求：见供应商须知前附表</w:t>
      </w:r>
    </w:p>
    <w:p w14:paraId="50A2788C">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ascii="宋体" w:hAnsi="宋体"/>
          <w:szCs w:val="21"/>
          <w:highlight w:val="none"/>
        </w:rPr>
      </w:pPr>
      <w:r>
        <w:rPr>
          <w:rFonts w:hint="eastAsia" w:ascii="宋体" w:hAnsi="宋体"/>
          <w:szCs w:val="21"/>
          <w:highlight w:val="none"/>
        </w:rPr>
        <w:t>4、</w:t>
      </w:r>
      <w:r>
        <w:rPr>
          <w:rFonts w:hint="eastAsia" w:ascii="宋体" w:hAnsi="宋体"/>
          <w:szCs w:val="21"/>
          <w:highlight w:val="none"/>
          <w:lang w:val="en-US" w:eastAsia="zh-CN"/>
        </w:rPr>
        <w:t>运维期限</w:t>
      </w:r>
      <w:r>
        <w:rPr>
          <w:rFonts w:hint="eastAsia" w:ascii="宋体" w:hAnsi="宋体"/>
          <w:szCs w:val="21"/>
          <w:highlight w:val="none"/>
        </w:rPr>
        <w:t>：见供应商须知前附表</w:t>
      </w:r>
    </w:p>
    <w:p w14:paraId="7CCC0FD3">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ascii="宋体" w:hAnsi="宋体"/>
          <w:szCs w:val="21"/>
          <w:highlight w:val="none"/>
        </w:rPr>
      </w:pPr>
      <w:r>
        <w:rPr>
          <w:rFonts w:hint="eastAsia" w:ascii="宋体" w:hAnsi="宋体"/>
          <w:szCs w:val="21"/>
          <w:highlight w:val="none"/>
        </w:rPr>
        <w:t>5、付款方式：见供应商须知前附表</w:t>
      </w:r>
    </w:p>
    <w:p w14:paraId="659CF0E9">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default" w:ascii="宋体" w:hAnsi="宋体" w:eastAsia="宋体"/>
          <w:szCs w:val="21"/>
          <w:highlight w:val="none"/>
          <w:lang w:val="en-US" w:eastAsia="zh-CN"/>
        </w:rPr>
      </w:pPr>
      <w:r>
        <w:rPr>
          <w:rFonts w:hint="eastAsia" w:ascii="宋体" w:hAnsi="宋体"/>
          <w:szCs w:val="21"/>
          <w:highlight w:val="none"/>
        </w:rPr>
        <w:t>6、</w:t>
      </w:r>
      <w:r>
        <w:rPr>
          <w:rFonts w:hint="eastAsia" w:ascii="宋体" w:hAnsi="宋体"/>
          <w:szCs w:val="21"/>
          <w:highlight w:val="none"/>
          <w:lang w:val="en-US" w:eastAsia="zh-CN"/>
        </w:rPr>
        <w:t>其他要求：无</w:t>
      </w:r>
    </w:p>
    <w:p w14:paraId="65CC80B1">
      <w:pPr>
        <w:rPr>
          <w:rFonts w:hint="eastAsia" w:ascii="宋体" w:hAnsi="宋体" w:eastAsia="宋体" w:cs="Times New Roman"/>
          <w:b/>
          <w:sz w:val="32"/>
          <w:szCs w:val="32"/>
          <w:highlight w:val="none"/>
        </w:rPr>
      </w:pPr>
      <w:r>
        <w:rPr>
          <w:rFonts w:hint="eastAsia" w:ascii="宋体" w:hAnsi="宋体" w:eastAsia="宋体" w:cs="Times New Roman"/>
          <w:b/>
          <w:sz w:val="32"/>
          <w:szCs w:val="32"/>
          <w:highlight w:val="none"/>
        </w:rPr>
        <w:br w:type="page"/>
      </w:r>
    </w:p>
    <w:p w14:paraId="1CDEF295">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sz w:val="32"/>
          <w:szCs w:val="32"/>
          <w:highlight w:val="none"/>
        </w:rPr>
      </w:pPr>
      <w:r>
        <w:rPr>
          <w:rFonts w:hint="eastAsia" w:ascii="宋体" w:hAnsi="宋体" w:eastAsia="宋体" w:cs="Times New Roman"/>
          <w:b/>
          <w:sz w:val="32"/>
          <w:szCs w:val="32"/>
          <w:highlight w:val="none"/>
        </w:rPr>
        <w:t>三、招标内容及技术要求</w:t>
      </w:r>
      <w:bookmarkStart w:id="739" w:name="_Toc247085866"/>
      <w:bookmarkStart w:id="740" w:name="_Toc246996350"/>
      <w:bookmarkStart w:id="741" w:name="_Toc152045782"/>
      <w:bookmarkStart w:id="742" w:name="_Toc246997093"/>
      <w:bookmarkStart w:id="743" w:name="_Toc144974851"/>
      <w:bookmarkStart w:id="744" w:name="_Toc247096438"/>
      <w:bookmarkStart w:id="745" w:name="_Toc179632800"/>
      <w:bookmarkStart w:id="746" w:name="_Toc152042571"/>
    </w:p>
    <w:p w14:paraId="41021F58">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宋体"/>
          <w:b/>
          <w:bCs/>
          <w:sz w:val="24"/>
          <w:szCs w:val="24"/>
          <w:highlight w:val="none"/>
          <w:lang w:val="en-US" w:eastAsia="zh-CN"/>
        </w:rPr>
      </w:pPr>
      <w:bookmarkStart w:id="747" w:name="_Toc5477"/>
      <w:r>
        <w:rPr>
          <w:rFonts w:hint="eastAsia" w:ascii="宋体" w:hAnsi="宋体" w:eastAsia="宋体" w:cs="宋体"/>
          <w:b/>
          <w:bCs/>
          <w:sz w:val="24"/>
          <w:szCs w:val="24"/>
          <w:highlight w:val="none"/>
          <w:lang w:val="en-US" w:eastAsia="zh-CN"/>
        </w:rPr>
        <w:t>（一）项目清单</w:t>
      </w:r>
      <w:bookmarkEnd w:id="747"/>
    </w:p>
    <w:tbl>
      <w:tblPr>
        <w:tblStyle w:val="34"/>
        <w:tblW w:w="486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88"/>
        <w:gridCol w:w="1476"/>
        <w:gridCol w:w="3351"/>
        <w:gridCol w:w="1067"/>
        <w:gridCol w:w="1298"/>
      </w:tblGrid>
      <w:tr w14:paraId="51DF6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C0DC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序号</w:t>
            </w:r>
          </w:p>
        </w:tc>
        <w:tc>
          <w:tcPr>
            <w:tcW w:w="29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5CCC0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建设内容</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479A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数量</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8AE5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单位</w:t>
            </w:r>
          </w:p>
        </w:tc>
      </w:tr>
      <w:tr w14:paraId="4AD0E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55F7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1</w:t>
            </w:r>
          </w:p>
        </w:tc>
        <w:tc>
          <w:tcPr>
            <w:tcW w:w="913" w:type="pct"/>
            <w:vMerge w:val="restart"/>
            <w:tcBorders>
              <w:top w:val="single" w:color="000000" w:sz="4" w:space="0"/>
              <w:left w:val="single" w:color="000000" w:sz="4" w:space="0"/>
              <w:right w:val="single" w:color="000000" w:sz="4" w:space="0"/>
            </w:tcBorders>
            <w:shd w:val="clear" w:color="auto" w:fill="auto"/>
            <w:vAlign w:val="center"/>
          </w:tcPr>
          <w:p w14:paraId="38D80F7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Times New Roman"/>
                <w:szCs w:val="21"/>
                <w:highlight w:val="none"/>
                <w:lang w:val="en-US" w:eastAsia="zh-CN"/>
              </w:rPr>
            </w:pPr>
            <w:bookmarkStart w:id="748" w:name="_Toc32482"/>
            <w:bookmarkStart w:id="749" w:name="_Toc14542"/>
            <w:bookmarkStart w:id="750" w:name="_Toc5333"/>
            <w:r>
              <w:rPr>
                <w:rFonts w:hint="eastAsia" w:ascii="宋体" w:hAnsi="宋体" w:eastAsia="宋体" w:cs="Times New Roman"/>
                <w:szCs w:val="21"/>
                <w:highlight w:val="none"/>
                <w:lang w:val="en-US" w:eastAsia="zh-CN"/>
              </w:rPr>
              <w:t>郑开同城政务服务</w:t>
            </w:r>
            <w:bookmarkEnd w:id="748"/>
            <w:bookmarkEnd w:id="749"/>
            <w:bookmarkEnd w:id="750"/>
            <w:r>
              <w:rPr>
                <w:rFonts w:hint="eastAsia" w:ascii="宋体" w:hAnsi="宋体" w:eastAsia="宋体" w:cs="Times New Roman"/>
                <w:szCs w:val="21"/>
                <w:highlight w:val="none"/>
                <w:lang w:val="en-US" w:eastAsia="zh-CN"/>
              </w:rPr>
              <w:t>项目</w:t>
            </w:r>
          </w:p>
        </w:tc>
        <w:tc>
          <w:tcPr>
            <w:tcW w:w="20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B895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郑开同城政务服务专区</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1813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1</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E719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套</w:t>
            </w:r>
          </w:p>
        </w:tc>
      </w:tr>
      <w:tr w14:paraId="775F4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2F97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2</w:t>
            </w:r>
          </w:p>
        </w:tc>
        <w:tc>
          <w:tcPr>
            <w:tcW w:w="913" w:type="pct"/>
            <w:vMerge w:val="continue"/>
            <w:tcBorders>
              <w:left w:val="single" w:color="000000" w:sz="4" w:space="0"/>
              <w:right w:val="single" w:color="000000" w:sz="4" w:space="0"/>
            </w:tcBorders>
            <w:shd w:val="clear" w:color="auto" w:fill="auto"/>
            <w:vAlign w:val="center"/>
          </w:tcPr>
          <w:p w14:paraId="3D28AD4C">
            <w:pPr>
              <w:keepNext w:val="0"/>
              <w:keepLines w:val="0"/>
              <w:pageBreakBefore w:val="0"/>
              <w:widowControl w:val="0"/>
              <w:kinsoku/>
              <w:wordWrap/>
              <w:overflowPunct/>
              <w:topLinePunct w:val="0"/>
              <w:autoSpaceDE/>
              <w:autoSpaceDN/>
              <w:bidi w:val="0"/>
              <w:adjustRightInd/>
              <w:snapToGrid/>
              <w:spacing w:line="560" w:lineRule="exact"/>
              <w:ind w:firstLine="420"/>
              <w:jc w:val="center"/>
              <w:textAlignment w:val="auto"/>
              <w:rPr>
                <w:rFonts w:hint="eastAsia" w:ascii="宋体" w:hAnsi="宋体" w:eastAsia="宋体" w:cs="Times New Roman"/>
                <w:szCs w:val="21"/>
                <w:highlight w:val="none"/>
                <w:lang w:val="en-US" w:eastAsia="zh-CN"/>
              </w:rPr>
            </w:pPr>
          </w:p>
        </w:tc>
        <w:tc>
          <w:tcPr>
            <w:tcW w:w="20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C259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郑开同城便民服务模块</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F095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1</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F9AB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套</w:t>
            </w:r>
          </w:p>
        </w:tc>
      </w:tr>
      <w:tr w14:paraId="70A1A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7708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3</w:t>
            </w:r>
          </w:p>
        </w:tc>
        <w:tc>
          <w:tcPr>
            <w:tcW w:w="913" w:type="pct"/>
            <w:vMerge w:val="continue"/>
            <w:tcBorders>
              <w:left w:val="single" w:color="000000" w:sz="4" w:space="0"/>
              <w:right w:val="single" w:color="000000" w:sz="4" w:space="0"/>
            </w:tcBorders>
            <w:shd w:val="clear" w:color="auto" w:fill="auto"/>
            <w:vAlign w:val="center"/>
          </w:tcPr>
          <w:p w14:paraId="72F9ECA4">
            <w:pPr>
              <w:keepNext w:val="0"/>
              <w:keepLines w:val="0"/>
              <w:pageBreakBefore w:val="0"/>
              <w:widowControl w:val="0"/>
              <w:kinsoku/>
              <w:wordWrap/>
              <w:overflowPunct/>
              <w:topLinePunct w:val="0"/>
              <w:autoSpaceDE/>
              <w:autoSpaceDN/>
              <w:bidi w:val="0"/>
              <w:adjustRightInd/>
              <w:snapToGrid/>
              <w:spacing w:line="560" w:lineRule="exact"/>
              <w:ind w:firstLine="420"/>
              <w:jc w:val="center"/>
              <w:textAlignment w:val="auto"/>
              <w:rPr>
                <w:rFonts w:hint="eastAsia" w:ascii="宋体" w:hAnsi="宋体" w:eastAsia="宋体" w:cs="Times New Roman"/>
                <w:szCs w:val="21"/>
                <w:highlight w:val="none"/>
                <w:lang w:val="en-US" w:eastAsia="zh-CN"/>
              </w:rPr>
            </w:pPr>
          </w:p>
        </w:tc>
        <w:tc>
          <w:tcPr>
            <w:tcW w:w="20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919E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Times New Roman"/>
                <w:szCs w:val="21"/>
                <w:highlight w:val="none"/>
                <w:lang w:val="en-US" w:eastAsia="zh-CN"/>
              </w:rPr>
            </w:pPr>
            <w:bookmarkStart w:id="751" w:name="_Toc25378"/>
            <w:bookmarkStart w:id="752" w:name="_Toc17501"/>
            <w:r>
              <w:rPr>
                <w:rFonts w:hint="eastAsia" w:ascii="宋体" w:hAnsi="宋体" w:eastAsia="宋体" w:cs="Times New Roman"/>
                <w:szCs w:val="21"/>
                <w:highlight w:val="none"/>
                <w:lang w:val="en-US" w:eastAsia="zh-CN"/>
              </w:rPr>
              <w:t>郑开同城基础支撑能力模块</w:t>
            </w:r>
            <w:bookmarkEnd w:id="751"/>
            <w:bookmarkEnd w:id="752"/>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8F3B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1</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E7AC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套</w:t>
            </w:r>
          </w:p>
        </w:tc>
      </w:tr>
      <w:tr w14:paraId="797F2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DF02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4</w:t>
            </w:r>
          </w:p>
        </w:tc>
        <w:tc>
          <w:tcPr>
            <w:tcW w:w="913" w:type="pct"/>
            <w:vMerge w:val="continue"/>
            <w:tcBorders>
              <w:left w:val="single" w:color="000000" w:sz="4" w:space="0"/>
              <w:right w:val="single" w:color="000000" w:sz="4" w:space="0"/>
            </w:tcBorders>
            <w:shd w:val="clear" w:color="auto" w:fill="auto"/>
            <w:vAlign w:val="center"/>
          </w:tcPr>
          <w:p w14:paraId="632AD6FE">
            <w:pPr>
              <w:keepNext w:val="0"/>
              <w:keepLines w:val="0"/>
              <w:pageBreakBefore w:val="0"/>
              <w:widowControl w:val="0"/>
              <w:kinsoku/>
              <w:wordWrap/>
              <w:overflowPunct/>
              <w:topLinePunct w:val="0"/>
              <w:autoSpaceDE/>
              <w:autoSpaceDN/>
              <w:bidi w:val="0"/>
              <w:adjustRightInd/>
              <w:snapToGrid/>
              <w:spacing w:line="560" w:lineRule="exact"/>
              <w:ind w:firstLine="420"/>
              <w:jc w:val="center"/>
              <w:textAlignment w:val="auto"/>
              <w:rPr>
                <w:rFonts w:hint="eastAsia" w:ascii="宋体" w:hAnsi="宋体" w:eastAsia="宋体" w:cs="Times New Roman"/>
                <w:szCs w:val="21"/>
                <w:highlight w:val="none"/>
                <w:lang w:val="en-US" w:eastAsia="zh-CN"/>
              </w:rPr>
            </w:pPr>
          </w:p>
        </w:tc>
        <w:tc>
          <w:tcPr>
            <w:tcW w:w="20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016B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Times New Roman"/>
                <w:szCs w:val="21"/>
                <w:highlight w:val="none"/>
                <w:lang w:val="en-US" w:eastAsia="zh-CN"/>
              </w:rPr>
            </w:pPr>
            <w:bookmarkStart w:id="753" w:name="_Toc2333"/>
            <w:bookmarkStart w:id="754" w:name="_Toc9595"/>
            <w:r>
              <w:rPr>
                <w:rFonts w:hint="eastAsia" w:ascii="宋体" w:hAnsi="宋体" w:eastAsia="宋体" w:cs="Times New Roman"/>
                <w:szCs w:val="21"/>
                <w:highlight w:val="none"/>
                <w:lang w:val="en-US" w:eastAsia="zh-CN"/>
              </w:rPr>
              <w:t>郑开同城统一预约平台</w:t>
            </w:r>
            <w:bookmarkEnd w:id="753"/>
            <w:bookmarkEnd w:id="754"/>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3D37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1</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6025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套</w:t>
            </w:r>
          </w:p>
        </w:tc>
      </w:tr>
      <w:tr w14:paraId="648B7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D095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5</w:t>
            </w:r>
          </w:p>
        </w:tc>
        <w:tc>
          <w:tcPr>
            <w:tcW w:w="9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E46E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项目运维服务</w:t>
            </w:r>
          </w:p>
        </w:tc>
        <w:tc>
          <w:tcPr>
            <w:tcW w:w="20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E9BF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提供项目运维服务</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F816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2</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310F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年</w:t>
            </w:r>
          </w:p>
        </w:tc>
      </w:tr>
    </w:tbl>
    <w:p w14:paraId="124B507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bCs/>
          <w:sz w:val="24"/>
          <w:szCs w:val="24"/>
          <w:highlight w:val="none"/>
          <w:lang w:val="en-US" w:eastAsia="zh-CN"/>
        </w:rPr>
      </w:pPr>
      <w:bookmarkStart w:id="755" w:name="_Toc32040"/>
    </w:p>
    <w:p w14:paraId="2586627A">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宋体"/>
          <w:b/>
          <w:bCs/>
          <w:sz w:val="24"/>
          <w:szCs w:val="24"/>
          <w:highlight w:val="none"/>
          <w:lang w:val="zh-CN" w:eastAsia="zh-CN"/>
        </w:rPr>
      </w:pPr>
      <w:r>
        <w:rPr>
          <w:rFonts w:hint="eastAsia" w:ascii="宋体" w:hAnsi="宋体" w:eastAsia="宋体" w:cs="宋体"/>
          <w:b/>
          <w:bCs/>
          <w:sz w:val="24"/>
          <w:szCs w:val="24"/>
          <w:highlight w:val="none"/>
          <w:lang w:val="en-US" w:eastAsia="zh-CN"/>
        </w:rPr>
        <w:t>（二）总体设计</w:t>
      </w:r>
      <w:r>
        <w:rPr>
          <w:rFonts w:hint="eastAsia" w:ascii="宋体" w:hAnsi="宋体" w:eastAsia="宋体" w:cs="宋体"/>
          <w:b/>
          <w:bCs/>
          <w:sz w:val="24"/>
          <w:szCs w:val="24"/>
          <w:highlight w:val="none"/>
          <w:lang w:val="zh-CN" w:eastAsia="zh-CN"/>
        </w:rPr>
        <w:t>要求</w:t>
      </w:r>
      <w:bookmarkEnd w:id="755"/>
    </w:p>
    <w:p w14:paraId="27201682">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zh-CN" w:eastAsia="zh-CN"/>
        </w:rPr>
      </w:pPr>
      <w:r>
        <w:rPr>
          <w:rFonts w:hint="eastAsia" w:ascii="宋体" w:hAnsi="宋体" w:eastAsia="宋体" w:cs="Times New Roman"/>
          <w:b/>
          <w:bCs/>
          <w:szCs w:val="21"/>
          <w:highlight w:val="none"/>
          <w:lang w:val="en-US" w:eastAsia="zh-CN"/>
        </w:rPr>
        <w:t>建设原则要求</w:t>
      </w:r>
    </w:p>
    <w:p w14:paraId="20443F86">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本项目遵循以下核心设计原则，构建集约高效、安全便捷的郑开同城政务服务平台。聚焦郑开两地用户的高频办事需求，简化跨城业务流程，优化界面与操作指引，实现“指尖可办、一看就懂”，提升“同城化”服务感知。</w:t>
      </w:r>
    </w:p>
    <w:p w14:paraId="46536B23">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eastAsia="zh-CN"/>
        </w:rPr>
      </w:pPr>
      <w:r>
        <w:rPr>
          <w:rFonts w:hint="eastAsia" w:ascii="宋体" w:hAnsi="宋体" w:eastAsia="宋体" w:cs="Times New Roman"/>
          <w:b/>
          <w:bCs/>
          <w:szCs w:val="21"/>
          <w:highlight w:val="none"/>
          <w:lang w:val="en-US" w:eastAsia="zh-CN"/>
        </w:rPr>
        <w:t>集约整合，标准统一</w:t>
      </w:r>
    </w:p>
    <w:p w14:paraId="654AF001">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统一服务入口，汇聚分散于两市的政务能力至“郑开同城”专区，依托数据共享实现“一次认证、双城通办”，遵循统一技术和服务接入规范，确保体验一致。</w:t>
      </w:r>
    </w:p>
    <w:p w14:paraId="036EED64">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eastAsia="zh-CN"/>
        </w:rPr>
      </w:pPr>
      <w:r>
        <w:rPr>
          <w:rFonts w:hint="eastAsia" w:ascii="宋体" w:hAnsi="宋体" w:eastAsia="宋体" w:cs="Times New Roman"/>
          <w:b/>
          <w:bCs/>
          <w:szCs w:val="21"/>
          <w:highlight w:val="none"/>
          <w:lang w:val="en-US" w:eastAsia="zh-CN"/>
        </w:rPr>
        <w:t>安全可信，互认互通</w:t>
      </w:r>
    </w:p>
    <w:p w14:paraId="5F472572">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构建统一身份认证体系，支持人脸识别等多方式安全验证，保障用户身份可信与数据流通安全，实现跨市业务互信互认。</w:t>
      </w:r>
    </w:p>
    <w:p w14:paraId="639BCDF3">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eastAsia="zh-CN"/>
        </w:rPr>
      </w:pPr>
      <w:r>
        <w:rPr>
          <w:rFonts w:hint="eastAsia" w:ascii="宋体" w:hAnsi="宋体" w:eastAsia="宋体" w:cs="Times New Roman"/>
          <w:b/>
          <w:bCs/>
          <w:szCs w:val="21"/>
          <w:highlight w:val="none"/>
          <w:lang w:val="en-US" w:eastAsia="zh-CN"/>
        </w:rPr>
        <w:t>开放兼容，持续演进</w:t>
      </w:r>
    </w:p>
    <w:p w14:paraId="7B7868D0">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zh-CN" w:eastAsia="zh-CN"/>
        </w:rPr>
      </w:pPr>
      <w:r>
        <w:rPr>
          <w:rFonts w:hint="eastAsia" w:ascii="宋体" w:hAnsi="宋体" w:eastAsia="宋体" w:cs="Times New Roman"/>
          <w:szCs w:val="21"/>
          <w:highlight w:val="none"/>
          <w:lang w:val="en-US" w:eastAsia="zh-CN"/>
        </w:rPr>
        <w:t>采用开放平台架构，支持未来服务灵活接入，具备良好的扩展性与兼容性，建立用户反馈与运营分析机制，推动平台持续优化迭代</w:t>
      </w:r>
      <w:r>
        <w:rPr>
          <w:rFonts w:hint="eastAsia" w:ascii="宋体" w:hAnsi="宋体" w:eastAsia="宋体" w:cs="Times New Roman"/>
          <w:szCs w:val="21"/>
          <w:highlight w:val="none"/>
          <w:lang w:val="zh-CN" w:eastAsia="zh-CN"/>
        </w:rPr>
        <w:t>。</w:t>
      </w:r>
      <w:bookmarkStart w:id="756" w:name="_Toc618"/>
    </w:p>
    <w:bookmarkEnd w:id="756"/>
    <w:p w14:paraId="68237DBE">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宋体"/>
          <w:b/>
          <w:bCs/>
          <w:sz w:val="24"/>
          <w:szCs w:val="24"/>
          <w:highlight w:val="none"/>
          <w:lang w:val="en-US" w:eastAsia="zh-CN"/>
        </w:rPr>
      </w:pPr>
    </w:p>
    <w:p w14:paraId="11FB3EE1">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（三）功能性要求</w:t>
      </w:r>
    </w:p>
    <w:p w14:paraId="5E303449">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eastAsia="zh-CN"/>
        </w:rPr>
      </w:pPr>
      <w:r>
        <w:rPr>
          <w:rFonts w:hint="eastAsia" w:ascii="宋体" w:hAnsi="宋体" w:eastAsia="宋体" w:cs="Times New Roman"/>
          <w:b/>
          <w:bCs/>
          <w:szCs w:val="21"/>
          <w:highlight w:val="none"/>
          <w:lang w:val="en-US" w:eastAsia="zh-CN"/>
        </w:rPr>
        <w:t>1.郑开同城政务服务专区建设需求</w:t>
      </w:r>
    </w:p>
    <w:p w14:paraId="138D7FEC">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zh-CN" w:eastAsia="zh-CN"/>
        </w:rPr>
      </w:pPr>
      <w:r>
        <w:rPr>
          <w:rFonts w:hint="eastAsia" w:ascii="宋体" w:hAnsi="宋体" w:eastAsia="宋体" w:cs="Times New Roman"/>
          <w:szCs w:val="21"/>
          <w:highlight w:val="none"/>
          <w:lang w:val="zh-CN" w:eastAsia="zh-CN"/>
        </w:rPr>
        <w:t>作为本项目的核心载体，郑开同城政务服务专区需全面实现郑开两地政务服务标准统一与流程再造，所有功能模块开发完成并通过测试后，同步上线至双方平台的郑开同城专区，确保两地用户在任意一端均可无差别办理所有同城化服务事项。</w:t>
      </w:r>
    </w:p>
    <w:p w14:paraId="4A2C6A54">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eastAsia="zh-CN"/>
        </w:rPr>
      </w:pPr>
      <w:r>
        <w:rPr>
          <w:rFonts w:hint="eastAsia" w:ascii="宋体" w:hAnsi="宋体" w:eastAsia="宋体" w:cs="Times New Roman"/>
          <w:b/>
          <w:bCs/>
          <w:szCs w:val="21"/>
          <w:highlight w:val="none"/>
          <w:lang w:val="en-US" w:eastAsia="zh-CN"/>
        </w:rPr>
        <w:t>1.1.</w:t>
      </w:r>
      <w:r>
        <w:rPr>
          <w:rFonts w:hint="eastAsia" w:ascii="宋体" w:hAnsi="宋体" w:eastAsia="宋体" w:cs="Times New Roman"/>
          <w:b/>
          <w:bCs/>
          <w:szCs w:val="21"/>
          <w:highlight w:val="none"/>
          <w:lang w:val="zh-CN" w:eastAsia="zh-CN"/>
        </w:rPr>
        <w:t>“</w:t>
      </w:r>
      <w:r>
        <w:rPr>
          <w:rFonts w:hint="eastAsia" w:ascii="宋体" w:hAnsi="宋体" w:eastAsia="宋体" w:cs="Times New Roman"/>
          <w:b/>
          <w:bCs/>
          <w:szCs w:val="21"/>
          <w:highlight w:val="none"/>
          <w:lang w:val="en-US" w:eastAsia="zh-CN"/>
        </w:rPr>
        <w:t>一件事</w:t>
      </w:r>
      <w:r>
        <w:rPr>
          <w:rFonts w:hint="eastAsia" w:ascii="宋体" w:hAnsi="宋体" w:eastAsia="宋体" w:cs="Times New Roman"/>
          <w:b/>
          <w:bCs/>
          <w:szCs w:val="21"/>
          <w:highlight w:val="none"/>
          <w:lang w:val="zh-CN" w:eastAsia="zh-CN"/>
        </w:rPr>
        <w:t>”</w:t>
      </w:r>
      <w:r>
        <w:rPr>
          <w:rFonts w:hint="eastAsia" w:ascii="宋体" w:hAnsi="宋体" w:eastAsia="宋体" w:cs="Times New Roman"/>
          <w:b/>
          <w:bCs/>
          <w:szCs w:val="21"/>
          <w:highlight w:val="none"/>
          <w:lang w:val="en-US" w:eastAsia="zh-CN"/>
        </w:rPr>
        <w:t>集成服务</w:t>
      </w:r>
    </w:p>
    <w:p w14:paraId="672E2445">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zh-CN" w:eastAsia="zh-CN"/>
        </w:rPr>
      </w:pPr>
      <w:r>
        <w:rPr>
          <w:rFonts w:hint="eastAsia" w:ascii="宋体" w:hAnsi="宋体" w:eastAsia="宋体" w:cs="Times New Roman"/>
          <w:szCs w:val="21"/>
          <w:highlight w:val="none"/>
          <w:lang w:val="zh-CN" w:eastAsia="zh-CN"/>
        </w:rPr>
        <w:t>针对企业群众跨部门、跨层级联办痛点，通过业务流程重构，整合分散政务事项，构建“一件事”。</w:t>
      </w:r>
    </w:p>
    <w:p w14:paraId="6C32E3A2">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zh-CN" w:eastAsia="zh-CN"/>
        </w:rPr>
      </w:pPr>
      <w:r>
        <w:rPr>
          <w:rFonts w:hint="eastAsia" w:ascii="宋体" w:hAnsi="宋体" w:eastAsia="宋体" w:cs="Times New Roman"/>
          <w:szCs w:val="21"/>
          <w:highlight w:val="none"/>
          <w:lang w:val="en-US" w:eastAsia="zh-CN"/>
        </w:rPr>
        <w:t>1）</w:t>
      </w:r>
      <w:r>
        <w:rPr>
          <w:rFonts w:hint="eastAsia" w:ascii="宋体" w:hAnsi="宋体" w:eastAsia="宋体" w:cs="Times New Roman"/>
          <w:szCs w:val="21"/>
          <w:highlight w:val="none"/>
          <w:lang w:val="en-US"/>
        </w:rPr>
        <w:t>▲</w:t>
      </w:r>
      <w:r>
        <w:rPr>
          <w:rFonts w:hint="eastAsia" w:ascii="宋体" w:hAnsi="宋体" w:eastAsia="宋体" w:cs="Times New Roman"/>
          <w:szCs w:val="21"/>
          <w:highlight w:val="none"/>
          <w:lang w:val="zh-CN" w:eastAsia="zh-CN"/>
        </w:rPr>
        <w:t>集成办理模式，实现咨询、申报、材料上传、线上核验、进度查询、结果推送全链条一网通办。</w:t>
      </w:r>
      <w:r>
        <w:rPr>
          <w:rFonts w:hint="eastAsia" w:ascii="宋体" w:hAnsi="宋体" w:eastAsia="宋体" w:cs="Times New Roman"/>
          <w:szCs w:val="21"/>
          <w:highlight w:val="none"/>
          <w:lang w:val="en-US" w:eastAsia="zh-CN"/>
        </w:rPr>
        <w:t>（需提供类似功能截图）。</w:t>
      </w:r>
    </w:p>
    <w:p w14:paraId="14326F0C">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zh-CN" w:eastAsia="zh-CN"/>
        </w:rPr>
      </w:pPr>
      <w:r>
        <w:rPr>
          <w:rFonts w:hint="eastAsia" w:ascii="宋体" w:hAnsi="宋体" w:eastAsia="宋体" w:cs="Times New Roman"/>
          <w:szCs w:val="21"/>
          <w:highlight w:val="none"/>
          <w:lang w:val="en-US" w:eastAsia="zh-CN"/>
        </w:rPr>
        <w:t>2）</w:t>
      </w:r>
      <w:r>
        <w:rPr>
          <w:rFonts w:hint="eastAsia" w:ascii="宋体" w:hAnsi="宋体" w:eastAsia="宋体" w:cs="Times New Roman"/>
          <w:szCs w:val="21"/>
          <w:highlight w:val="none"/>
          <w:lang w:val="zh-CN" w:eastAsia="zh-CN"/>
        </w:rPr>
        <w:t>落地特色食品、驾驶员从业资格、景区演出</w:t>
      </w:r>
      <w:r>
        <w:rPr>
          <w:rFonts w:hint="eastAsia" w:ascii="宋体" w:hAnsi="宋体" w:eastAsia="宋体" w:cs="Times New Roman"/>
          <w:szCs w:val="21"/>
          <w:highlight w:val="none"/>
          <w:lang w:val="en-US" w:eastAsia="zh-CN"/>
        </w:rPr>
        <w:t>等</w:t>
      </w:r>
      <w:r>
        <w:rPr>
          <w:rFonts w:hint="eastAsia" w:ascii="宋体" w:hAnsi="宋体" w:eastAsia="宋体" w:cs="Times New Roman"/>
          <w:szCs w:val="21"/>
          <w:highlight w:val="none"/>
          <w:lang w:val="zh-CN" w:eastAsia="zh-CN"/>
        </w:rPr>
        <w:t>“一件事”业务，覆盖文旅、餐饮、</w:t>
      </w:r>
      <w:r>
        <w:rPr>
          <w:rFonts w:hint="eastAsia" w:ascii="宋体" w:hAnsi="宋体" w:eastAsia="宋体" w:cs="Times New Roman"/>
          <w:szCs w:val="21"/>
          <w:highlight w:val="none"/>
          <w:lang w:val="en-US" w:eastAsia="zh-CN"/>
        </w:rPr>
        <w:t>就业等</w:t>
      </w:r>
      <w:r>
        <w:rPr>
          <w:rFonts w:hint="eastAsia" w:ascii="宋体" w:hAnsi="宋体" w:eastAsia="宋体" w:cs="Times New Roman"/>
          <w:szCs w:val="21"/>
          <w:highlight w:val="none"/>
          <w:lang w:val="zh-CN" w:eastAsia="zh-CN"/>
        </w:rPr>
        <w:t>重点领域。</w:t>
      </w:r>
    </w:p>
    <w:p w14:paraId="200280C9">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eastAsia="zh-CN"/>
        </w:rPr>
      </w:pPr>
      <w:r>
        <w:rPr>
          <w:rFonts w:hint="eastAsia" w:ascii="宋体" w:hAnsi="宋体" w:eastAsia="宋体" w:cs="Times New Roman"/>
          <w:b/>
          <w:bCs/>
          <w:szCs w:val="21"/>
          <w:highlight w:val="none"/>
          <w:lang w:val="en-US" w:eastAsia="zh-CN"/>
        </w:rPr>
        <w:t>1.2.不动产服务</w:t>
      </w:r>
    </w:p>
    <w:p w14:paraId="63A2CAD9">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zh-CN" w:eastAsia="zh-CN"/>
        </w:rPr>
      </w:pPr>
      <w:r>
        <w:rPr>
          <w:rFonts w:hint="eastAsia" w:ascii="宋体" w:hAnsi="宋体" w:eastAsia="宋体" w:cs="Times New Roman"/>
          <w:szCs w:val="21"/>
          <w:highlight w:val="none"/>
          <w:lang w:val="zh-CN" w:eastAsia="zh-CN"/>
        </w:rPr>
        <w:t>对接开封市不动产登记中心业务系统，构建线上线下一体化不动产数字化服务，面向郑开两地企业、群众提供全流程不动产线上服务。</w:t>
      </w:r>
    </w:p>
    <w:p w14:paraId="2397DD25">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1）</w:t>
      </w:r>
      <w:r>
        <w:rPr>
          <w:rFonts w:hint="eastAsia" w:ascii="宋体" w:hAnsi="宋体" w:eastAsia="宋体" w:cs="Times New Roman"/>
          <w:szCs w:val="21"/>
          <w:highlight w:val="none"/>
          <w:lang w:val="zh-CN" w:eastAsia="zh-CN"/>
        </w:rPr>
        <w:t>不动产查询证明支持依据坐落、单元号等信息查询</w:t>
      </w:r>
      <w:r>
        <w:rPr>
          <w:rFonts w:hint="eastAsia" w:ascii="宋体" w:hAnsi="宋体" w:eastAsia="宋体" w:cs="Times New Roman"/>
          <w:szCs w:val="21"/>
          <w:highlight w:val="none"/>
          <w:lang w:val="en-US" w:eastAsia="zh-CN"/>
        </w:rPr>
        <w:t>不动产相关信息，支持</w:t>
      </w:r>
      <w:r>
        <w:rPr>
          <w:rFonts w:hint="eastAsia" w:ascii="宋体" w:hAnsi="宋体" w:eastAsia="宋体" w:cs="Times New Roman"/>
          <w:szCs w:val="21"/>
          <w:highlight w:val="none"/>
          <w:lang w:val="zh-CN" w:eastAsia="zh-CN"/>
        </w:rPr>
        <w:t>在线预览电子</w:t>
      </w:r>
      <w:r>
        <w:rPr>
          <w:rFonts w:hint="eastAsia" w:ascii="宋体" w:hAnsi="宋体" w:eastAsia="宋体" w:cs="Times New Roman"/>
          <w:szCs w:val="21"/>
          <w:highlight w:val="none"/>
          <w:lang w:val="en-US" w:eastAsia="zh-CN"/>
        </w:rPr>
        <w:t>证明材料</w:t>
      </w:r>
    </w:p>
    <w:p w14:paraId="34E03E72">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zh-CN" w:eastAsia="zh-CN"/>
        </w:rPr>
      </w:pPr>
      <w:r>
        <w:rPr>
          <w:rFonts w:hint="eastAsia" w:ascii="宋体" w:hAnsi="宋体" w:eastAsia="宋体" w:cs="Times New Roman"/>
          <w:szCs w:val="21"/>
          <w:highlight w:val="none"/>
          <w:lang w:val="en-US" w:eastAsia="zh-CN"/>
        </w:rPr>
        <w:t>2）支持</w:t>
      </w:r>
      <w:r>
        <w:rPr>
          <w:rFonts w:hint="eastAsia" w:ascii="宋体" w:hAnsi="宋体" w:eastAsia="宋体" w:cs="Times New Roman"/>
          <w:szCs w:val="21"/>
          <w:highlight w:val="none"/>
          <w:lang w:val="zh-CN" w:eastAsia="zh-CN"/>
        </w:rPr>
        <w:t>实名认证后可汇总查询个人全市房产信息。</w:t>
      </w:r>
    </w:p>
    <w:p w14:paraId="3D1A6A54">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zh-CN" w:eastAsia="zh-CN"/>
        </w:rPr>
      </w:pPr>
      <w:r>
        <w:rPr>
          <w:rFonts w:hint="eastAsia" w:ascii="宋体" w:hAnsi="宋体" w:eastAsia="宋体" w:cs="Times New Roman"/>
          <w:szCs w:val="21"/>
          <w:highlight w:val="none"/>
          <w:lang w:val="en-US" w:eastAsia="zh-CN"/>
        </w:rPr>
        <w:t>3）</w:t>
      </w:r>
      <w:r>
        <w:rPr>
          <w:rFonts w:hint="eastAsia" w:ascii="宋体" w:hAnsi="宋体" w:eastAsia="宋体" w:cs="Times New Roman"/>
          <w:szCs w:val="21"/>
          <w:highlight w:val="none"/>
          <w:lang w:val="zh-CN" w:eastAsia="zh-CN"/>
        </w:rPr>
        <w:t>登记业务覆盖首次、转移、变更等类型，支持线上填报、材料上传、电子签名</w:t>
      </w:r>
      <w:r>
        <w:rPr>
          <w:rFonts w:hint="eastAsia" w:ascii="宋体" w:hAnsi="宋体" w:eastAsia="宋体" w:cs="Times New Roman"/>
          <w:szCs w:val="21"/>
          <w:highlight w:val="none"/>
          <w:lang w:val="en-US" w:eastAsia="zh-CN"/>
        </w:rPr>
        <w:t>等</w:t>
      </w:r>
      <w:r>
        <w:rPr>
          <w:rFonts w:hint="eastAsia" w:ascii="宋体" w:hAnsi="宋体" w:eastAsia="宋体" w:cs="Times New Roman"/>
          <w:szCs w:val="21"/>
          <w:highlight w:val="none"/>
          <w:lang w:val="zh-CN" w:eastAsia="zh-CN"/>
        </w:rPr>
        <w:t>。</w:t>
      </w:r>
    </w:p>
    <w:p w14:paraId="686521BB">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eastAsia="zh-CN"/>
        </w:rPr>
      </w:pPr>
      <w:r>
        <w:rPr>
          <w:rFonts w:hint="eastAsia" w:ascii="宋体" w:hAnsi="宋体" w:eastAsia="宋体" w:cs="Times New Roman"/>
          <w:b/>
          <w:bCs/>
          <w:szCs w:val="21"/>
          <w:highlight w:val="none"/>
          <w:lang w:val="en-US" w:eastAsia="zh-CN"/>
        </w:rPr>
        <w:t>1.3.公租房服务</w:t>
      </w:r>
    </w:p>
    <w:p w14:paraId="386981E3">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对接开封市住房保障服务中心业务系统，推进公租房业务数字化透明办理。</w:t>
      </w:r>
    </w:p>
    <w:p w14:paraId="7999CF3C">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1）提供在线申请服务，通过打通各业务部门数据，对申请人信息进行自动预填核验，减少填报内容与纸质材料。</w:t>
      </w:r>
    </w:p>
    <w:p w14:paraId="2B1588E2">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zh-CN" w:eastAsia="zh-CN"/>
        </w:rPr>
      </w:pPr>
      <w:r>
        <w:rPr>
          <w:rFonts w:hint="eastAsia" w:ascii="宋体" w:hAnsi="宋体" w:eastAsia="宋体" w:cs="Times New Roman"/>
          <w:szCs w:val="21"/>
          <w:highlight w:val="none"/>
          <w:lang w:val="en-US" w:eastAsia="zh-CN"/>
        </w:rPr>
        <w:t>2）向办事对象开放审核进度查询，同步公租房房源位置、户型、租金、配租时间等公开信息。</w:t>
      </w:r>
    </w:p>
    <w:p w14:paraId="49C65F24">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eastAsia="zh-CN"/>
        </w:rPr>
      </w:pPr>
      <w:r>
        <w:rPr>
          <w:rFonts w:hint="eastAsia" w:ascii="宋体" w:hAnsi="宋体" w:eastAsia="宋体" w:cs="Times New Roman"/>
          <w:b/>
          <w:bCs/>
          <w:szCs w:val="21"/>
          <w:highlight w:val="none"/>
          <w:lang w:val="en-US" w:eastAsia="zh-CN"/>
        </w:rPr>
        <w:t>1.4.居住证服务</w:t>
      </w:r>
    </w:p>
    <w:p w14:paraId="10681169">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zh-CN" w:eastAsia="zh-CN"/>
        </w:rPr>
      </w:pPr>
      <w:r>
        <w:rPr>
          <w:rFonts w:hint="eastAsia" w:ascii="宋体" w:hAnsi="宋体" w:eastAsia="宋体" w:cs="Times New Roman"/>
          <w:szCs w:val="21"/>
          <w:highlight w:val="none"/>
          <w:lang w:val="zh-CN" w:eastAsia="zh-CN"/>
        </w:rPr>
        <w:t>对接开封市公安业务系统，为来汴务工、居住、就读流动人口提供居住证全流程线上服务，实现掌上办理。</w:t>
      </w:r>
    </w:p>
    <w:p w14:paraId="0ADEC48A">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zh-CN" w:eastAsia="zh-CN"/>
        </w:rPr>
      </w:pPr>
      <w:r>
        <w:rPr>
          <w:rFonts w:hint="eastAsia" w:ascii="宋体" w:hAnsi="宋体" w:eastAsia="宋体" w:cs="Times New Roman"/>
          <w:szCs w:val="21"/>
          <w:highlight w:val="none"/>
          <w:lang w:val="en-US" w:eastAsia="zh-CN"/>
        </w:rPr>
        <w:t>1）</w:t>
      </w:r>
      <w:r>
        <w:rPr>
          <w:rFonts w:hint="eastAsia" w:ascii="宋体" w:hAnsi="宋体" w:eastAsia="宋体" w:cs="Times New Roman"/>
          <w:szCs w:val="21"/>
          <w:highlight w:val="none"/>
          <w:lang w:val="en-US"/>
        </w:rPr>
        <w:t>▲</w:t>
      </w:r>
      <w:r>
        <w:rPr>
          <w:rFonts w:hint="eastAsia" w:ascii="宋体" w:hAnsi="宋体" w:eastAsia="宋体" w:cs="Times New Roman"/>
          <w:szCs w:val="21"/>
          <w:highlight w:val="none"/>
          <w:lang w:val="zh-CN" w:eastAsia="zh-CN"/>
        </w:rPr>
        <w:t>支持多种快速核发情形，根据申请人不同条件自动匹配适用通道，有效解决传统居住证办理周期长、跑腿多等突出问题。</w:t>
      </w:r>
      <w:r>
        <w:rPr>
          <w:rFonts w:hint="eastAsia" w:ascii="宋体" w:hAnsi="宋体" w:eastAsia="宋体" w:cs="Times New Roman"/>
          <w:szCs w:val="21"/>
          <w:highlight w:val="none"/>
          <w:lang w:val="en-US" w:eastAsia="zh-CN"/>
        </w:rPr>
        <w:t>（需提供类似功能截图）。</w:t>
      </w:r>
    </w:p>
    <w:p w14:paraId="72144E77">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zh-CN" w:eastAsia="zh-CN"/>
        </w:rPr>
      </w:pPr>
      <w:r>
        <w:rPr>
          <w:rFonts w:hint="eastAsia" w:ascii="宋体" w:hAnsi="宋体" w:eastAsia="宋体" w:cs="Times New Roman"/>
          <w:szCs w:val="21"/>
          <w:highlight w:val="none"/>
          <w:lang w:val="en-US" w:eastAsia="zh-CN"/>
        </w:rPr>
        <w:t>2）</w:t>
      </w:r>
      <w:r>
        <w:rPr>
          <w:rFonts w:hint="eastAsia" w:ascii="宋体" w:hAnsi="宋体" w:eastAsia="宋体" w:cs="Times New Roman"/>
          <w:szCs w:val="21"/>
          <w:highlight w:val="none"/>
          <w:lang w:val="en-US"/>
        </w:rPr>
        <w:t>▲</w:t>
      </w:r>
      <w:r>
        <w:rPr>
          <w:rFonts w:hint="eastAsia" w:ascii="宋体" w:hAnsi="宋体" w:eastAsia="宋体" w:cs="Times New Roman"/>
          <w:szCs w:val="21"/>
          <w:highlight w:val="none"/>
          <w:lang w:val="zh-CN" w:eastAsia="zh-CN"/>
        </w:rPr>
        <w:t>通过数据共享自动核验申请人资格，核验通过后无需提交纸质材料，实现全流程线上办理，大幅压缩办证时间。</w:t>
      </w:r>
      <w:r>
        <w:rPr>
          <w:rFonts w:hint="eastAsia" w:ascii="宋体" w:hAnsi="宋体" w:eastAsia="宋体" w:cs="Times New Roman"/>
          <w:szCs w:val="21"/>
          <w:highlight w:val="none"/>
          <w:lang w:val="en-US" w:eastAsia="zh-CN"/>
        </w:rPr>
        <w:t>（需提供类似功能截图）。</w:t>
      </w:r>
    </w:p>
    <w:p w14:paraId="70413D84">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zh-CN" w:eastAsia="zh-CN"/>
        </w:rPr>
      </w:pPr>
      <w:r>
        <w:rPr>
          <w:rFonts w:hint="eastAsia" w:ascii="宋体" w:hAnsi="宋体" w:eastAsia="宋体" w:cs="Times New Roman"/>
          <w:szCs w:val="21"/>
          <w:highlight w:val="none"/>
          <w:lang w:val="en-US" w:eastAsia="zh-CN"/>
        </w:rPr>
        <w:t>3）</w:t>
      </w:r>
      <w:r>
        <w:rPr>
          <w:rFonts w:hint="eastAsia" w:ascii="宋体" w:hAnsi="宋体" w:eastAsia="宋体" w:cs="Times New Roman"/>
          <w:szCs w:val="21"/>
          <w:highlight w:val="none"/>
          <w:lang w:val="zh-CN" w:eastAsia="zh-CN"/>
        </w:rPr>
        <w:t>对接后台审批系统，实现申请数据自动推送与审批结果实时回传，保障业务流转顺畅，提升跨部门协同效率。</w:t>
      </w:r>
    </w:p>
    <w:p w14:paraId="74125101">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zh-CN" w:eastAsia="zh-CN"/>
        </w:rPr>
      </w:pPr>
      <w:r>
        <w:rPr>
          <w:rFonts w:hint="eastAsia" w:ascii="宋体" w:hAnsi="宋体" w:eastAsia="宋体" w:cs="Times New Roman"/>
          <w:szCs w:val="21"/>
          <w:highlight w:val="none"/>
          <w:lang w:val="en-US" w:eastAsia="zh-CN"/>
        </w:rPr>
        <w:t>4）</w:t>
      </w:r>
      <w:r>
        <w:rPr>
          <w:rFonts w:hint="eastAsia" w:ascii="宋体" w:hAnsi="宋体" w:eastAsia="宋体" w:cs="Times New Roman"/>
          <w:szCs w:val="21"/>
          <w:highlight w:val="none"/>
          <w:lang w:val="zh-CN" w:eastAsia="zh-CN"/>
        </w:rPr>
        <w:t>提供办理进度查询与结果反馈功能，确保证件办理全流程公开透明、可追溯。</w:t>
      </w:r>
    </w:p>
    <w:p w14:paraId="1C07BCE8">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eastAsia="zh-CN"/>
        </w:rPr>
      </w:pPr>
      <w:r>
        <w:rPr>
          <w:rFonts w:hint="eastAsia" w:ascii="宋体" w:hAnsi="宋体" w:eastAsia="宋体" w:cs="Times New Roman"/>
          <w:b/>
          <w:bCs/>
          <w:szCs w:val="21"/>
          <w:highlight w:val="none"/>
          <w:lang w:val="en-US" w:eastAsia="zh-CN"/>
        </w:rPr>
        <w:t>1.5.劳动仲裁服务</w:t>
      </w:r>
    </w:p>
    <w:p w14:paraId="693EC7AA">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zh-CN" w:eastAsia="zh-CN"/>
        </w:rPr>
      </w:pPr>
      <w:r>
        <w:rPr>
          <w:rFonts w:hint="eastAsia" w:ascii="宋体" w:hAnsi="宋体" w:eastAsia="宋体" w:cs="Times New Roman"/>
          <w:szCs w:val="21"/>
          <w:highlight w:val="none"/>
          <w:lang w:val="zh-CN" w:eastAsia="zh-CN"/>
        </w:rPr>
        <w:t>对接“汴易裁”公众号及本市劳动人事争议仲裁系统，面向郑开两地劳资主体提供线上维权渠道。</w:t>
      </w:r>
    </w:p>
    <w:p w14:paraId="16851570">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zh-CN" w:eastAsia="zh-CN"/>
        </w:rPr>
      </w:pPr>
      <w:r>
        <w:rPr>
          <w:rFonts w:hint="eastAsia" w:ascii="宋体" w:hAnsi="宋体" w:eastAsia="宋体" w:cs="Times New Roman"/>
          <w:szCs w:val="21"/>
          <w:highlight w:val="none"/>
          <w:lang w:val="en-US" w:eastAsia="zh-CN"/>
        </w:rPr>
        <w:t>1）</w:t>
      </w:r>
      <w:r>
        <w:rPr>
          <w:rFonts w:hint="eastAsia" w:ascii="宋体" w:hAnsi="宋体" w:eastAsia="宋体" w:cs="Times New Roman"/>
          <w:szCs w:val="21"/>
          <w:highlight w:val="none"/>
          <w:lang w:val="zh-CN" w:eastAsia="zh-CN"/>
        </w:rPr>
        <w:t>支持仲裁申请书填报、证据上传、线上提交立案申请，实现立案申报线上闭环。</w:t>
      </w:r>
    </w:p>
    <w:p w14:paraId="1F588163">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zh-CN" w:eastAsia="zh-CN"/>
        </w:rPr>
      </w:pPr>
      <w:r>
        <w:rPr>
          <w:rFonts w:hint="eastAsia" w:ascii="宋体" w:hAnsi="宋体" w:eastAsia="宋体" w:cs="Times New Roman"/>
          <w:szCs w:val="21"/>
          <w:highlight w:val="none"/>
          <w:lang w:val="en-US" w:eastAsia="zh-CN"/>
        </w:rPr>
        <w:t>2）</w:t>
      </w:r>
      <w:r>
        <w:rPr>
          <w:rFonts w:hint="eastAsia" w:ascii="宋体" w:hAnsi="宋体" w:eastAsia="宋体" w:cs="Times New Roman"/>
          <w:szCs w:val="21"/>
          <w:highlight w:val="none"/>
          <w:lang w:val="zh-CN" w:eastAsia="zh-CN"/>
        </w:rPr>
        <w:t>开放案件全流程节点查询，可实时查看受理、举证、审核状态。</w:t>
      </w:r>
    </w:p>
    <w:p w14:paraId="5AC4BD0D">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eastAsia="zh-CN"/>
        </w:rPr>
      </w:pPr>
      <w:r>
        <w:rPr>
          <w:rFonts w:hint="eastAsia" w:ascii="宋体" w:hAnsi="宋体" w:eastAsia="宋体" w:cs="Times New Roman"/>
          <w:b/>
          <w:bCs/>
          <w:szCs w:val="21"/>
          <w:highlight w:val="none"/>
          <w:lang w:val="en-US" w:eastAsia="zh-CN"/>
        </w:rPr>
        <w:t>1.6.税务服务</w:t>
      </w:r>
    </w:p>
    <w:p w14:paraId="46CBD9A1">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对接开封市政务数据共享平台与税务核心系统，为郑开两地个人及企业提供一站式线上办税服务。</w:t>
      </w:r>
    </w:p>
    <w:p w14:paraId="2A092FB5">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1）用户实名认证后，可查询个税、房产税、车船税等各类税费。</w:t>
      </w:r>
    </w:p>
    <w:p w14:paraId="4E0B50CA">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2）针对跨城办税需求，开通车辆购置税线上申报功能，支持自动带出车辆信息、智能计税、生成电子完税凭证。</w:t>
      </w:r>
    </w:p>
    <w:p w14:paraId="056D6D77">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zh-CN" w:eastAsia="zh-CN"/>
        </w:rPr>
      </w:pPr>
      <w:r>
        <w:rPr>
          <w:rFonts w:hint="eastAsia" w:ascii="宋体" w:hAnsi="宋体" w:eastAsia="宋体" w:cs="Times New Roman"/>
          <w:szCs w:val="21"/>
          <w:highlight w:val="none"/>
          <w:lang w:val="en-US" w:eastAsia="zh-CN"/>
        </w:rPr>
        <w:t>3）房产交易办税覆盖增量房契税、存量房交易税费申报，依托数据获取房产信息、智能核算税费，支持线上办理等</w:t>
      </w:r>
      <w:r>
        <w:rPr>
          <w:rFonts w:hint="eastAsia" w:ascii="宋体" w:hAnsi="宋体" w:eastAsia="宋体" w:cs="Times New Roman"/>
          <w:szCs w:val="21"/>
          <w:highlight w:val="none"/>
          <w:lang w:val="zh-CN" w:eastAsia="zh-CN"/>
        </w:rPr>
        <w:t>。</w:t>
      </w:r>
    </w:p>
    <w:p w14:paraId="3FDD439A">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eastAsia="zh-CN"/>
        </w:rPr>
      </w:pPr>
      <w:r>
        <w:rPr>
          <w:rFonts w:hint="eastAsia" w:ascii="宋体" w:hAnsi="宋体" w:eastAsia="宋体" w:cs="Times New Roman"/>
          <w:b/>
          <w:bCs/>
          <w:szCs w:val="21"/>
          <w:highlight w:val="none"/>
          <w:lang w:val="en-US" w:eastAsia="zh-CN"/>
        </w:rPr>
        <w:t>1.7.社保服务</w:t>
      </w:r>
    </w:p>
    <w:p w14:paraId="3177380E">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对接开封市社保业务系统，搭建覆盖社保卡全生命周期及社保待遇申领的线上服务体系，服务郑开两地市民。</w:t>
      </w:r>
    </w:p>
    <w:p w14:paraId="49D34D31">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1）</w:t>
      </w:r>
      <w:r>
        <w:rPr>
          <w:rFonts w:hint="eastAsia" w:ascii="宋体" w:hAnsi="宋体" w:eastAsia="宋体" w:cs="Times New Roman"/>
          <w:szCs w:val="21"/>
          <w:highlight w:val="none"/>
          <w:lang w:val="en-US"/>
        </w:rPr>
        <w:t>▲</w:t>
      </w:r>
      <w:r>
        <w:rPr>
          <w:rFonts w:hint="eastAsia" w:ascii="宋体" w:hAnsi="宋体" w:eastAsia="宋体" w:cs="Times New Roman"/>
          <w:szCs w:val="21"/>
          <w:highlight w:val="none"/>
          <w:lang w:val="en-US" w:eastAsia="zh-CN"/>
        </w:rPr>
        <w:t>社保卡申领支持用户在线填报信息、上传标准电子照片，自主选择网点自取或邮寄领卡，实时查询办卡进度。（需提供类似功能截图）</w:t>
      </w:r>
      <w:r>
        <w:rPr>
          <w:rFonts w:hint="eastAsia" w:ascii="宋体" w:hAnsi="宋体" w:eastAsia="宋体" w:cs="Times New Roman"/>
          <w:szCs w:val="21"/>
          <w:highlight w:val="none"/>
          <w:lang w:val="zh-CN" w:eastAsia="zh-CN"/>
        </w:rPr>
        <w:t>。</w:t>
      </w:r>
    </w:p>
    <w:p w14:paraId="140AD672">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2）</w:t>
      </w:r>
      <w:r>
        <w:rPr>
          <w:rFonts w:hint="eastAsia" w:ascii="宋体" w:hAnsi="宋体" w:eastAsia="宋体" w:cs="Times New Roman"/>
          <w:szCs w:val="21"/>
          <w:highlight w:val="none"/>
          <w:lang w:val="en-US"/>
        </w:rPr>
        <w:t>▲</w:t>
      </w:r>
      <w:r>
        <w:rPr>
          <w:rFonts w:hint="eastAsia" w:ascii="宋体" w:hAnsi="宋体" w:eastAsia="宋体" w:cs="Times New Roman"/>
          <w:szCs w:val="21"/>
          <w:highlight w:val="none"/>
          <w:lang w:val="en-US" w:eastAsia="zh-CN"/>
        </w:rPr>
        <w:t>社保卡管理集成线上激活、挂失、解挂等功能，用户完成高级实名认证后，可在线启用社保功能、挂失冻结账户。（需提供类似功能截图）</w:t>
      </w:r>
      <w:r>
        <w:rPr>
          <w:rFonts w:hint="eastAsia" w:ascii="宋体" w:hAnsi="宋体" w:eastAsia="宋体" w:cs="Times New Roman"/>
          <w:szCs w:val="21"/>
          <w:highlight w:val="none"/>
          <w:lang w:val="zh-CN" w:eastAsia="zh-CN"/>
        </w:rPr>
        <w:t>。</w:t>
      </w:r>
    </w:p>
    <w:p w14:paraId="5692880C">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zh-CN" w:eastAsia="zh-CN"/>
        </w:rPr>
      </w:pPr>
      <w:r>
        <w:rPr>
          <w:rFonts w:hint="eastAsia" w:ascii="宋体" w:hAnsi="宋体" w:eastAsia="宋体" w:cs="Times New Roman"/>
          <w:szCs w:val="21"/>
          <w:highlight w:val="none"/>
          <w:lang w:val="en-US" w:eastAsia="zh-CN"/>
        </w:rPr>
        <w:t>3）失业保险金申领可校验用户资质、预填申报信息，支持线上传材提交、进度实时查询等</w:t>
      </w:r>
      <w:r>
        <w:rPr>
          <w:rFonts w:hint="eastAsia" w:ascii="宋体" w:hAnsi="宋体" w:eastAsia="宋体" w:cs="Times New Roman"/>
          <w:szCs w:val="21"/>
          <w:highlight w:val="none"/>
          <w:lang w:val="zh-CN" w:eastAsia="zh-CN"/>
        </w:rPr>
        <w:t>。</w:t>
      </w:r>
    </w:p>
    <w:p w14:paraId="3DD2DEEF">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eastAsia="zh-CN"/>
        </w:rPr>
      </w:pPr>
      <w:r>
        <w:rPr>
          <w:rFonts w:hint="eastAsia" w:ascii="宋体" w:hAnsi="宋体" w:eastAsia="宋体" w:cs="Times New Roman"/>
          <w:b/>
          <w:bCs/>
          <w:szCs w:val="21"/>
          <w:highlight w:val="none"/>
          <w:lang w:val="en-US" w:eastAsia="zh-CN"/>
        </w:rPr>
        <w:t>1.8.医保服务</w:t>
      </w:r>
    </w:p>
    <w:p w14:paraId="61F7DAF2">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对接开封市医保局业务系统，为参保人员提供便捷高效的线上医保服务。</w:t>
      </w:r>
    </w:p>
    <w:p w14:paraId="5D298B57">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1）灵活就业人员可在线办理职工医保参保登记、停保业务，系统自动核验参保资格，审核通过即时生效。</w:t>
      </w:r>
    </w:p>
    <w:p w14:paraId="6A354D64">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2）提供职工信息变更服务，支持线上提交变更申请及佐证材料，经部门审核后完成更新。</w:t>
      </w:r>
    </w:p>
    <w:p w14:paraId="4A51E282">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zh-CN" w:eastAsia="zh-CN"/>
        </w:rPr>
      </w:pPr>
      <w:r>
        <w:rPr>
          <w:rFonts w:hint="eastAsia" w:ascii="宋体" w:hAnsi="宋体" w:eastAsia="宋体" w:cs="Times New Roman"/>
          <w:szCs w:val="21"/>
          <w:highlight w:val="none"/>
          <w:lang w:val="en-US" w:eastAsia="zh-CN"/>
        </w:rPr>
        <w:t>3）整合郑开及全国医保定点医院、药店资源，为参保人员提供就近就医购药查询服务</w:t>
      </w:r>
      <w:r>
        <w:rPr>
          <w:rFonts w:hint="eastAsia" w:ascii="宋体" w:hAnsi="宋体" w:eastAsia="宋体" w:cs="Times New Roman"/>
          <w:szCs w:val="21"/>
          <w:highlight w:val="none"/>
          <w:lang w:val="zh-CN" w:eastAsia="zh-CN"/>
        </w:rPr>
        <w:t>。</w:t>
      </w:r>
    </w:p>
    <w:p w14:paraId="12B4E68E">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eastAsia="zh-CN"/>
        </w:rPr>
      </w:pPr>
      <w:r>
        <w:rPr>
          <w:rFonts w:hint="eastAsia" w:ascii="宋体" w:hAnsi="宋体" w:eastAsia="宋体" w:cs="Times New Roman"/>
          <w:b/>
          <w:bCs/>
          <w:szCs w:val="21"/>
          <w:highlight w:val="none"/>
          <w:lang w:val="en-US" w:eastAsia="zh-CN"/>
        </w:rPr>
        <w:t>1.9.公积金服务</w:t>
      </w:r>
    </w:p>
    <w:p w14:paraId="43BB563A">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对接开封市公积金管理中心业务系统，实现公积金提取、贷款查询全流程线上办理，打造零材料掌上服务。</w:t>
      </w:r>
    </w:p>
    <w:p w14:paraId="5969BBA5">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1）</w:t>
      </w:r>
      <w:r>
        <w:rPr>
          <w:rFonts w:hint="eastAsia" w:ascii="宋体" w:hAnsi="宋体" w:eastAsia="宋体" w:cs="Times New Roman"/>
          <w:szCs w:val="21"/>
          <w:highlight w:val="none"/>
          <w:lang w:val="en-US"/>
        </w:rPr>
        <w:t>▲</w:t>
      </w:r>
      <w:r>
        <w:rPr>
          <w:rFonts w:hint="eastAsia" w:ascii="宋体" w:hAnsi="宋体" w:eastAsia="宋体" w:cs="Times New Roman"/>
          <w:szCs w:val="21"/>
          <w:highlight w:val="none"/>
          <w:lang w:val="en-US" w:eastAsia="zh-CN"/>
        </w:rPr>
        <w:t>支持查询个人公积金账户基本信息、余额、状态、缴存信息等。（需提供类似功能截图）</w:t>
      </w:r>
      <w:r>
        <w:rPr>
          <w:rFonts w:hint="eastAsia" w:ascii="宋体" w:hAnsi="宋体" w:eastAsia="宋体" w:cs="Times New Roman"/>
          <w:szCs w:val="21"/>
          <w:highlight w:val="none"/>
          <w:lang w:val="zh-CN" w:eastAsia="zh-CN"/>
        </w:rPr>
        <w:t>。</w:t>
      </w:r>
    </w:p>
    <w:p w14:paraId="11C7D276">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2）提取业务覆盖租房、购房、离职、退休等高频场景，支持核验用户资格、支持材料上报等业务功能。</w:t>
      </w:r>
    </w:p>
    <w:p w14:paraId="2E276765">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zh-CN" w:eastAsia="zh-CN"/>
        </w:rPr>
      </w:pPr>
      <w:r>
        <w:rPr>
          <w:rFonts w:hint="eastAsia" w:ascii="宋体" w:hAnsi="宋体" w:eastAsia="宋体" w:cs="Times New Roman"/>
          <w:szCs w:val="21"/>
          <w:highlight w:val="none"/>
          <w:lang w:val="en-US" w:eastAsia="zh-CN"/>
        </w:rPr>
        <w:t>3）</w:t>
      </w:r>
      <w:r>
        <w:rPr>
          <w:rFonts w:hint="eastAsia" w:ascii="宋体" w:hAnsi="宋体" w:eastAsia="宋体" w:cs="Times New Roman"/>
          <w:szCs w:val="21"/>
          <w:highlight w:val="none"/>
          <w:lang w:val="en-US"/>
        </w:rPr>
        <w:t>▲</w:t>
      </w:r>
      <w:r>
        <w:rPr>
          <w:rFonts w:hint="eastAsia" w:ascii="宋体" w:hAnsi="宋体" w:eastAsia="宋体" w:cs="Times New Roman"/>
          <w:szCs w:val="21"/>
          <w:highlight w:val="none"/>
          <w:lang w:val="en-US" w:eastAsia="zh-CN"/>
        </w:rPr>
        <w:t>贷款查询模块为借款人提供贷款查询服务，可实时查询贷款余额、剩余期数、还款计划及历史还款记录等</w:t>
      </w:r>
      <w:r>
        <w:rPr>
          <w:rFonts w:hint="eastAsia" w:ascii="宋体" w:hAnsi="宋体" w:eastAsia="宋体" w:cs="Times New Roman"/>
          <w:szCs w:val="21"/>
          <w:highlight w:val="none"/>
          <w:lang w:val="zh-CN" w:eastAsia="zh-CN"/>
        </w:rPr>
        <w:t>。</w:t>
      </w:r>
      <w:r>
        <w:rPr>
          <w:rFonts w:hint="eastAsia" w:ascii="宋体" w:hAnsi="宋体" w:eastAsia="宋体" w:cs="Times New Roman"/>
          <w:szCs w:val="21"/>
          <w:highlight w:val="none"/>
          <w:lang w:val="en-US" w:eastAsia="zh-CN"/>
        </w:rPr>
        <w:t>（需提供类似功能截图）</w:t>
      </w:r>
      <w:r>
        <w:rPr>
          <w:rFonts w:hint="eastAsia" w:ascii="宋体" w:hAnsi="宋体" w:eastAsia="宋体" w:cs="Times New Roman"/>
          <w:szCs w:val="21"/>
          <w:highlight w:val="none"/>
          <w:lang w:val="zh-CN" w:eastAsia="zh-CN"/>
        </w:rPr>
        <w:t>。</w:t>
      </w:r>
    </w:p>
    <w:p w14:paraId="78C3045C">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1.10县区分厅建设</w:t>
      </w:r>
    </w:p>
    <w:p w14:paraId="1C325877">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为开封市所有县区打造专属政务服务分厅，结合区域特色实现差异化、定制化政务服务。</w:t>
      </w:r>
    </w:p>
    <w:p w14:paraId="74721142">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1）依托各县区产业与民生特点，开发专属政务事项、助农惠企特色服务，适配杞县大蒜、通许酸辣粉、尉氏物流等本土产业，同时上线红色文旅线上服务等功能。</w:t>
      </w:r>
    </w:p>
    <w:p w14:paraId="30E59F96">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2）</w:t>
      </w:r>
      <w:r>
        <w:rPr>
          <w:rFonts w:hint="eastAsia" w:ascii="宋体" w:hAnsi="宋体" w:eastAsia="宋体" w:cs="Times New Roman"/>
          <w:szCs w:val="21"/>
          <w:highlight w:val="none"/>
          <w:lang w:val="en-US"/>
        </w:rPr>
        <w:t>▲</w:t>
      </w:r>
      <w:r>
        <w:rPr>
          <w:rFonts w:hint="eastAsia" w:ascii="宋体" w:hAnsi="宋体" w:eastAsia="宋体" w:cs="Times New Roman"/>
          <w:szCs w:val="21"/>
          <w:highlight w:val="none"/>
          <w:lang w:val="en-US" w:eastAsia="zh-CN"/>
        </w:rPr>
        <w:t>搭载可视化配置平台，配备丰富组件，县区运营人员可自主完成页面布局、图文及链接配置，快速搭建专属分厅。（需提供类似功能截图）</w:t>
      </w:r>
      <w:r>
        <w:rPr>
          <w:rFonts w:hint="eastAsia" w:ascii="宋体" w:hAnsi="宋体" w:eastAsia="宋体" w:cs="Times New Roman"/>
          <w:szCs w:val="21"/>
          <w:highlight w:val="none"/>
          <w:lang w:val="zh-CN" w:eastAsia="zh-CN"/>
        </w:rPr>
        <w:t>。</w:t>
      </w:r>
    </w:p>
    <w:p w14:paraId="1AFA0623">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zh-CN" w:eastAsia="zh-CN"/>
        </w:rPr>
      </w:pPr>
      <w:r>
        <w:rPr>
          <w:rFonts w:hint="eastAsia" w:ascii="宋体" w:hAnsi="宋体" w:eastAsia="宋体" w:cs="Times New Roman"/>
          <w:szCs w:val="21"/>
          <w:highlight w:val="none"/>
          <w:lang w:val="en-US" w:eastAsia="zh-CN"/>
        </w:rPr>
        <w:t>3）</w:t>
      </w:r>
      <w:r>
        <w:rPr>
          <w:rFonts w:hint="eastAsia" w:ascii="宋体" w:hAnsi="宋体" w:eastAsia="宋体" w:cs="Times New Roman"/>
          <w:szCs w:val="21"/>
          <w:highlight w:val="none"/>
          <w:lang w:val="en-US"/>
        </w:rPr>
        <w:t>▲</w:t>
      </w:r>
      <w:r>
        <w:rPr>
          <w:rFonts w:hint="eastAsia" w:ascii="宋体" w:hAnsi="宋体" w:eastAsia="宋体" w:cs="Times New Roman"/>
          <w:szCs w:val="21"/>
          <w:highlight w:val="none"/>
          <w:lang w:val="en-US" w:eastAsia="zh-CN"/>
        </w:rPr>
        <w:t>提供后台管理模块，支持服务上下架、分类排序、权限管控等功能，保障各县区分厅独立、安全、规范化运营</w:t>
      </w:r>
      <w:r>
        <w:rPr>
          <w:rFonts w:hint="eastAsia" w:ascii="宋体" w:hAnsi="宋体" w:eastAsia="宋体" w:cs="Times New Roman"/>
          <w:szCs w:val="21"/>
          <w:highlight w:val="none"/>
          <w:lang w:val="zh-CN" w:eastAsia="zh-CN"/>
        </w:rPr>
        <w:t>。</w:t>
      </w:r>
      <w:r>
        <w:rPr>
          <w:rFonts w:hint="eastAsia" w:ascii="宋体" w:hAnsi="宋体" w:eastAsia="宋体" w:cs="Times New Roman"/>
          <w:szCs w:val="21"/>
          <w:highlight w:val="none"/>
          <w:lang w:val="en-US" w:eastAsia="zh-CN"/>
        </w:rPr>
        <w:t>（需提供类似功能截图）。</w:t>
      </w:r>
    </w:p>
    <w:p w14:paraId="7A738F3C">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eastAsia="zh-CN"/>
        </w:rPr>
      </w:pPr>
      <w:r>
        <w:rPr>
          <w:rFonts w:hint="eastAsia" w:ascii="宋体" w:hAnsi="宋体" w:eastAsia="宋体" w:cs="Times New Roman"/>
          <w:b/>
          <w:bCs/>
          <w:szCs w:val="21"/>
          <w:highlight w:val="none"/>
          <w:lang w:val="en-US" w:eastAsia="zh-CN"/>
        </w:rPr>
        <w:t>2.郑开同城便民服务模块建设需求</w:t>
      </w:r>
    </w:p>
    <w:p w14:paraId="66CC078D">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zh-CN" w:eastAsia="zh-CN"/>
        </w:rPr>
      </w:pPr>
      <w:r>
        <w:rPr>
          <w:rFonts w:hint="eastAsia" w:ascii="宋体" w:hAnsi="宋体" w:eastAsia="宋体" w:cs="Times New Roman"/>
          <w:szCs w:val="21"/>
          <w:highlight w:val="none"/>
          <w:lang w:val="zh-CN" w:eastAsia="zh-CN"/>
        </w:rPr>
        <w:t>拓展政务服务边界，打造覆盖出行、文化、旅游、金融等多个领域的便民服务生态，为郑开两地居民提供全方位、高品质的城市生活服务。</w:t>
      </w:r>
    </w:p>
    <w:p w14:paraId="4FB44CE1">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eastAsia="zh-CN"/>
        </w:rPr>
      </w:pPr>
      <w:r>
        <w:rPr>
          <w:rFonts w:hint="eastAsia" w:ascii="宋体" w:hAnsi="宋体" w:eastAsia="宋体" w:cs="Times New Roman"/>
          <w:b/>
          <w:bCs/>
          <w:szCs w:val="21"/>
          <w:highlight w:val="none"/>
          <w:lang w:val="en-US" w:eastAsia="zh-CN"/>
        </w:rPr>
        <w:t>2.1.实时公交服务</w:t>
      </w:r>
    </w:p>
    <w:p w14:paraId="62E0D6DD">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zh-CN" w:eastAsia="zh-CN"/>
        </w:rPr>
      </w:pPr>
      <w:r>
        <w:rPr>
          <w:rFonts w:hint="eastAsia" w:ascii="宋体" w:hAnsi="宋体" w:eastAsia="宋体" w:cs="Times New Roman"/>
          <w:szCs w:val="21"/>
          <w:highlight w:val="none"/>
          <w:lang w:val="zh-CN" w:eastAsia="zh-CN"/>
        </w:rPr>
        <w:t>对接开封市公交公司业务系统，为用户提供精准、实时的公共交通出行服务。</w:t>
      </w:r>
    </w:p>
    <w:p w14:paraId="6A44169C">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zh-CN" w:eastAsia="zh-CN"/>
        </w:rPr>
      </w:pPr>
      <w:r>
        <w:rPr>
          <w:rFonts w:hint="eastAsia" w:ascii="宋体" w:hAnsi="宋体" w:eastAsia="宋体" w:cs="Times New Roman"/>
          <w:szCs w:val="21"/>
          <w:highlight w:val="none"/>
          <w:lang w:val="en-US" w:eastAsia="zh-CN"/>
        </w:rPr>
        <w:t>1）</w:t>
      </w:r>
      <w:r>
        <w:rPr>
          <w:rFonts w:hint="eastAsia" w:ascii="宋体" w:hAnsi="宋体" w:eastAsia="宋体" w:cs="Times New Roman"/>
          <w:szCs w:val="21"/>
          <w:highlight w:val="none"/>
          <w:lang w:val="zh-CN" w:eastAsia="zh-CN"/>
        </w:rPr>
        <w:t>支持实时查看公交车辆的运行轨迹、预计到站时间，同时提供周边公交站点查询、公交线路规划与换乘指引功能。</w:t>
      </w:r>
    </w:p>
    <w:p w14:paraId="659AA848">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eastAsia="zh-CN"/>
        </w:rPr>
      </w:pPr>
      <w:r>
        <w:rPr>
          <w:rFonts w:hint="eastAsia" w:ascii="宋体" w:hAnsi="宋体" w:eastAsia="宋体" w:cs="Times New Roman"/>
          <w:b/>
          <w:bCs/>
          <w:szCs w:val="21"/>
          <w:highlight w:val="none"/>
          <w:lang w:val="en-US" w:eastAsia="zh-CN"/>
        </w:rPr>
        <w:t>2.2.民生地图服务</w:t>
      </w:r>
    </w:p>
    <w:p w14:paraId="0286605F">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zh-CN" w:eastAsia="zh-CN"/>
        </w:rPr>
      </w:pPr>
      <w:r>
        <w:rPr>
          <w:rFonts w:hint="eastAsia" w:ascii="宋体" w:hAnsi="宋体" w:eastAsia="宋体" w:cs="Times New Roman"/>
          <w:szCs w:val="21"/>
          <w:highlight w:val="none"/>
          <w:lang w:val="zh-CN" w:eastAsia="zh-CN"/>
        </w:rPr>
        <w:t>对接</w:t>
      </w:r>
      <w:r>
        <w:rPr>
          <w:rFonts w:hint="eastAsia" w:ascii="宋体" w:hAnsi="宋体" w:eastAsia="宋体" w:cs="Times New Roman"/>
          <w:szCs w:val="21"/>
          <w:highlight w:val="none"/>
          <w:lang w:val="en-US" w:eastAsia="zh-CN"/>
        </w:rPr>
        <w:t>主流地图</w:t>
      </w:r>
      <w:r>
        <w:rPr>
          <w:rFonts w:hint="eastAsia" w:ascii="宋体" w:hAnsi="宋体" w:eastAsia="宋体" w:cs="Times New Roman"/>
          <w:szCs w:val="21"/>
          <w:highlight w:val="none"/>
          <w:lang w:val="zh-CN" w:eastAsia="zh-CN"/>
        </w:rPr>
        <w:t>开放平台，构建全面、准确的民生服务地图。</w:t>
      </w:r>
    </w:p>
    <w:p w14:paraId="25AC6255">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zh-CN" w:eastAsia="zh-CN"/>
        </w:rPr>
      </w:pPr>
      <w:r>
        <w:rPr>
          <w:rFonts w:hint="eastAsia" w:ascii="宋体" w:hAnsi="宋体" w:eastAsia="宋体" w:cs="Times New Roman"/>
          <w:szCs w:val="21"/>
          <w:highlight w:val="none"/>
          <w:lang w:val="en-US" w:eastAsia="zh-CN"/>
        </w:rPr>
        <w:t>1）</w:t>
      </w:r>
      <w:r>
        <w:rPr>
          <w:rFonts w:hint="eastAsia" w:ascii="宋体" w:hAnsi="宋体" w:eastAsia="宋体" w:cs="Times New Roman"/>
          <w:szCs w:val="21"/>
          <w:highlight w:val="none"/>
          <w:lang w:val="en-US"/>
        </w:rPr>
        <w:t>▲</w:t>
      </w:r>
      <w:r>
        <w:rPr>
          <w:rFonts w:hint="eastAsia" w:ascii="宋体" w:hAnsi="宋体" w:eastAsia="宋体" w:cs="Times New Roman"/>
          <w:szCs w:val="21"/>
          <w:highlight w:val="none"/>
          <w:lang w:val="en-US" w:eastAsia="zh-CN"/>
        </w:rPr>
        <w:t>通过地图对接，</w:t>
      </w:r>
      <w:r>
        <w:rPr>
          <w:rFonts w:hint="eastAsia" w:ascii="宋体" w:hAnsi="宋体" w:eastAsia="宋体" w:cs="Times New Roman"/>
          <w:szCs w:val="21"/>
          <w:highlight w:val="none"/>
          <w:lang w:val="zh-CN" w:eastAsia="zh-CN"/>
        </w:rPr>
        <w:t>将政务大厅、养老机构、医院、药店、派出所等各类民生服务点按类别进行标记，支持用户按服务类型筛选查询，方便用户快速查找并使用各类民生服务。</w:t>
      </w:r>
      <w:r>
        <w:rPr>
          <w:rFonts w:hint="eastAsia" w:ascii="宋体" w:hAnsi="宋体" w:eastAsia="宋体" w:cs="Times New Roman"/>
          <w:szCs w:val="21"/>
          <w:highlight w:val="none"/>
          <w:lang w:val="en-US" w:eastAsia="zh-CN"/>
        </w:rPr>
        <w:t>（需提供类似功能截图）。</w:t>
      </w:r>
    </w:p>
    <w:p w14:paraId="20011C0C">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eastAsia="zh-CN"/>
        </w:rPr>
      </w:pPr>
      <w:r>
        <w:rPr>
          <w:rFonts w:hint="eastAsia" w:ascii="宋体" w:hAnsi="宋体" w:eastAsia="宋体" w:cs="Times New Roman"/>
          <w:b/>
          <w:bCs/>
          <w:szCs w:val="21"/>
          <w:highlight w:val="none"/>
          <w:lang w:val="en-US" w:eastAsia="zh-CN"/>
        </w:rPr>
        <w:t>2.3.城市书房服务</w:t>
      </w:r>
    </w:p>
    <w:p w14:paraId="4B6A46AC">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整合开封博物馆、图书馆、美术馆、文化馆等公共文化资源，搭建线上线下融合的一体化公共文化服务平台。</w:t>
      </w:r>
    </w:p>
    <w:p w14:paraId="0BB8F896">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1）场馆预约模块支持用户查询各场馆开放时间、场馆信息及票务余量，可在线预约、系统生成电子凭证，实现一码入馆。</w:t>
      </w:r>
    </w:p>
    <w:p w14:paraId="11865369">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2）数字文化模块为各场馆搭建专属数字名片，展示场馆概况、发展历程、核心馆藏等信息；整合讲座、纪录片、电子读物等多元资源。</w:t>
      </w:r>
    </w:p>
    <w:p w14:paraId="37F56CC8">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eastAsia="zh-CN"/>
        </w:rPr>
      </w:pPr>
      <w:r>
        <w:rPr>
          <w:rFonts w:hint="eastAsia" w:ascii="宋体" w:hAnsi="宋体" w:eastAsia="宋体" w:cs="Times New Roman"/>
          <w:b/>
          <w:bCs/>
          <w:szCs w:val="21"/>
          <w:highlight w:val="none"/>
          <w:lang w:val="en-US" w:eastAsia="zh-CN"/>
        </w:rPr>
        <w:t>2.4.旅游年票服务</w:t>
      </w:r>
    </w:p>
    <w:p w14:paraId="4B5E492D">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搭建全流程数字化旅游年票体系，优化用户体验、提升文旅管理效能。</w:t>
      </w:r>
    </w:p>
    <w:p w14:paraId="106A3A31">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1）</w:t>
      </w:r>
      <w:r>
        <w:rPr>
          <w:rFonts w:hint="eastAsia" w:ascii="宋体" w:hAnsi="宋体" w:eastAsia="宋体" w:cs="Times New Roman"/>
          <w:szCs w:val="21"/>
          <w:highlight w:val="none"/>
          <w:lang w:val="en-US"/>
        </w:rPr>
        <w:t>▲</w:t>
      </w:r>
      <w:r>
        <w:rPr>
          <w:rFonts w:hint="eastAsia" w:ascii="宋体" w:hAnsi="宋体" w:eastAsia="宋体" w:cs="Times New Roman"/>
          <w:szCs w:val="21"/>
          <w:highlight w:val="none"/>
          <w:lang w:val="en-US" w:eastAsia="zh-CN"/>
        </w:rPr>
        <w:t>在线交易模块支持年票下单、线上支付和票码生成，用户可查看订单与退款进度。（需提供类似功能截图）</w:t>
      </w:r>
      <w:r>
        <w:rPr>
          <w:rFonts w:hint="eastAsia" w:ascii="宋体" w:hAnsi="宋体" w:eastAsia="宋体" w:cs="Times New Roman"/>
          <w:szCs w:val="21"/>
          <w:highlight w:val="none"/>
          <w:lang w:val="zh-CN" w:eastAsia="zh-CN"/>
        </w:rPr>
        <w:t>。</w:t>
      </w:r>
    </w:p>
    <w:p w14:paraId="35169D2E">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2）</w:t>
      </w:r>
      <w:r>
        <w:rPr>
          <w:rFonts w:hint="eastAsia" w:ascii="宋体" w:hAnsi="宋体" w:eastAsia="宋体" w:cs="Times New Roman"/>
          <w:szCs w:val="21"/>
          <w:highlight w:val="none"/>
          <w:lang w:val="en-US"/>
        </w:rPr>
        <w:t>▲</w:t>
      </w:r>
      <w:r>
        <w:rPr>
          <w:rFonts w:hint="eastAsia" w:ascii="宋体" w:hAnsi="宋体" w:eastAsia="宋体" w:cs="Times New Roman"/>
          <w:szCs w:val="21"/>
          <w:highlight w:val="none"/>
          <w:lang w:val="en-US" w:eastAsia="zh-CN"/>
        </w:rPr>
        <w:t>兑换激活模块支持票码核销、实名激活及人脸绑定，用户可通过刷脸、扫码以及实体卡入园。（需提供类似功能截图）</w:t>
      </w:r>
      <w:r>
        <w:rPr>
          <w:rFonts w:hint="eastAsia" w:ascii="宋体" w:hAnsi="宋体" w:eastAsia="宋体" w:cs="Times New Roman"/>
          <w:szCs w:val="21"/>
          <w:highlight w:val="none"/>
          <w:lang w:val="zh-CN" w:eastAsia="zh-CN"/>
        </w:rPr>
        <w:t>。</w:t>
      </w:r>
    </w:p>
    <w:p w14:paraId="34CD8FAA">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zh-CN" w:eastAsia="zh-CN"/>
        </w:rPr>
      </w:pPr>
      <w:r>
        <w:rPr>
          <w:rFonts w:hint="eastAsia" w:ascii="宋体" w:hAnsi="宋体" w:eastAsia="宋体" w:cs="Times New Roman"/>
          <w:szCs w:val="21"/>
          <w:highlight w:val="none"/>
          <w:lang w:val="en-US" w:eastAsia="zh-CN"/>
        </w:rPr>
        <w:t>3）后台管理模块实现年票入库、出库、退库、库存追踪全链路管控，配套网点查询、公告资讯等服务指引；支持用户查询年票信息、在线续费、查看可用景区</w:t>
      </w:r>
      <w:r>
        <w:rPr>
          <w:rFonts w:hint="eastAsia" w:ascii="宋体" w:hAnsi="宋体" w:eastAsia="宋体" w:cs="Times New Roman"/>
          <w:szCs w:val="21"/>
          <w:highlight w:val="none"/>
          <w:lang w:val="zh-CN" w:eastAsia="zh-CN"/>
        </w:rPr>
        <w:t>。</w:t>
      </w:r>
    </w:p>
    <w:p w14:paraId="340F817D">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eastAsia="zh-CN"/>
        </w:rPr>
      </w:pPr>
      <w:r>
        <w:rPr>
          <w:rFonts w:hint="eastAsia" w:ascii="宋体" w:hAnsi="宋体" w:eastAsia="宋体" w:cs="Times New Roman"/>
          <w:b/>
          <w:bCs/>
          <w:szCs w:val="21"/>
          <w:highlight w:val="none"/>
          <w:lang w:val="en-US" w:eastAsia="zh-CN"/>
        </w:rPr>
        <w:t>3.郑开同城基础支撑能力</w:t>
      </w:r>
      <w:r>
        <w:rPr>
          <w:rFonts w:hint="eastAsia" w:ascii="宋体" w:hAnsi="宋体" w:cs="Times New Roman"/>
          <w:b/>
          <w:bCs/>
          <w:szCs w:val="21"/>
          <w:highlight w:val="none"/>
          <w:lang w:val="en-US" w:eastAsia="zh-CN"/>
        </w:rPr>
        <w:t>模块</w:t>
      </w:r>
      <w:r>
        <w:rPr>
          <w:rFonts w:hint="eastAsia" w:ascii="宋体" w:hAnsi="宋体" w:eastAsia="宋体" w:cs="Times New Roman"/>
          <w:b/>
          <w:bCs/>
          <w:szCs w:val="21"/>
          <w:highlight w:val="none"/>
          <w:lang w:val="en-US" w:eastAsia="zh-CN"/>
        </w:rPr>
        <w:t>建设需求</w:t>
      </w:r>
    </w:p>
    <w:p w14:paraId="29D7BF24">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zh-CN" w:eastAsia="zh-CN"/>
        </w:rPr>
      </w:pPr>
      <w:r>
        <w:rPr>
          <w:rFonts w:hint="eastAsia" w:ascii="宋体" w:hAnsi="宋体" w:eastAsia="宋体" w:cs="Times New Roman"/>
          <w:szCs w:val="21"/>
          <w:highlight w:val="none"/>
          <w:lang w:val="zh-CN" w:eastAsia="zh-CN"/>
        </w:rPr>
        <w:t>夯实技术底座，为郑开同城政务服务提供安全、稳定、高效的基础支撑，保障系统互联互通与数据安全共享。</w:t>
      </w:r>
    </w:p>
    <w:p w14:paraId="0A1F014A">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eastAsia="zh-CN"/>
        </w:rPr>
      </w:pPr>
      <w:r>
        <w:rPr>
          <w:rFonts w:hint="eastAsia" w:ascii="宋体" w:hAnsi="宋体" w:eastAsia="宋体" w:cs="Times New Roman"/>
          <w:b/>
          <w:bCs/>
          <w:szCs w:val="21"/>
          <w:highlight w:val="none"/>
          <w:lang w:val="en-US" w:eastAsia="zh-CN"/>
        </w:rPr>
        <w:t>3.1.统一用户中心</w:t>
      </w:r>
    </w:p>
    <w:p w14:paraId="1D40FAC5">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实现郑开两地用户身份互通、单点登录，解决重复注册、多次登录的办事痛点。</w:t>
      </w:r>
    </w:p>
    <w:p w14:paraId="47206324">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1）对接“郑好办”认证体系，打通开封市政务服务移动端与“郑好办”用户数据，实现个人、法人身份双向互认、授权互通，用户单次登录即可跨端使用同城所有服务。</w:t>
      </w:r>
    </w:p>
    <w:p w14:paraId="5BBC2905">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2）</w:t>
      </w:r>
      <w:r>
        <w:rPr>
          <w:rFonts w:hint="eastAsia" w:ascii="宋体" w:hAnsi="宋体" w:eastAsia="宋体" w:cs="Times New Roman"/>
          <w:szCs w:val="21"/>
          <w:highlight w:val="none"/>
          <w:lang w:val="en-US"/>
        </w:rPr>
        <w:t>▲</w:t>
      </w:r>
      <w:r>
        <w:rPr>
          <w:rFonts w:hint="eastAsia" w:ascii="宋体" w:hAnsi="宋体" w:eastAsia="宋体" w:cs="Times New Roman"/>
          <w:szCs w:val="21"/>
          <w:highlight w:val="none"/>
          <w:lang w:val="en-US" w:eastAsia="zh-CN"/>
        </w:rPr>
        <w:t>平台统一管控登录密码规则、失败锁定、会话时效、异常监测等安全策略，全面强化账户防护能力。支持企业账号绑定、多方式登录、经办人管理、人工审核及数据统计，实现企业办事一次认证、全网通办。（需提供类似功能截图）。</w:t>
      </w:r>
    </w:p>
    <w:p w14:paraId="5B4B20C0">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zh-CN" w:eastAsia="zh-CN"/>
        </w:rPr>
      </w:pPr>
      <w:r>
        <w:rPr>
          <w:rFonts w:hint="eastAsia" w:ascii="宋体" w:hAnsi="宋体" w:eastAsia="宋体" w:cs="Times New Roman"/>
          <w:szCs w:val="21"/>
          <w:highlight w:val="none"/>
          <w:lang w:val="en-US" w:eastAsia="zh-CN"/>
        </w:rPr>
        <w:t>3）</w:t>
      </w:r>
      <w:r>
        <w:rPr>
          <w:rFonts w:hint="eastAsia" w:ascii="宋体" w:hAnsi="宋体" w:eastAsia="宋体" w:cs="Times New Roman"/>
          <w:szCs w:val="21"/>
          <w:highlight w:val="none"/>
          <w:lang w:val="en-US"/>
        </w:rPr>
        <w:t>▲</w:t>
      </w:r>
      <w:r>
        <w:rPr>
          <w:rFonts w:hint="eastAsia" w:ascii="宋体" w:hAnsi="宋体" w:eastAsia="宋体" w:cs="Times New Roman"/>
          <w:szCs w:val="21"/>
          <w:highlight w:val="none"/>
          <w:lang w:val="en-US" w:eastAsia="zh-CN"/>
        </w:rPr>
        <w:t>完善个人账号全生命周期管理，涵盖信息同步、冲突处理、安全实名认证等功能，保障用户账号安全规范运营</w:t>
      </w:r>
      <w:r>
        <w:rPr>
          <w:rFonts w:hint="eastAsia" w:ascii="宋体" w:hAnsi="宋体" w:eastAsia="宋体" w:cs="Times New Roman"/>
          <w:szCs w:val="21"/>
          <w:highlight w:val="none"/>
          <w:lang w:val="zh-CN" w:eastAsia="zh-CN"/>
        </w:rPr>
        <w:t>。</w:t>
      </w:r>
      <w:r>
        <w:rPr>
          <w:rFonts w:hint="eastAsia" w:ascii="宋体" w:hAnsi="宋体" w:eastAsia="宋体" w:cs="Times New Roman"/>
          <w:szCs w:val="21"/>
          <w:highlight w:val="none"/>
          <w:lang w:val="en-US" w:eastAsia="zh-CN"/>
        </w:rPr>
        <w:t>（需提供类似功能截图）</w:t>
      </w:r>
      <w:r>
        <w:rPr>
          <w:rFonts w:hint="eastAsia" w:ascii="宋体" w:hAnsi="宋体" w:eastAsia="宋体" w:cs="Times New Roman"/>
          <w:szCs w:val="21"/>
          <w:highlight w:val="none"/>
          <w:lang w:val="zh-CN" w:eastAsia="zh-CN"/>
        </w:rPr>
        <w:t>。</w:t>
      </w:r>
    </w:p>
    <w:p w14:paraId="3562F760">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eastAsia="zh-CN"/>
        </w:rPr>
      </w:pPr>
      <w:r>
        <w:rPr>
          <w:rFonts w:hint="eastAsia" w:ascii="宋体" w:hAnsi="宋体" w:eastAsia="宋体" w:cs="Times New Roman"/>
          <w:b/>
          <w:bCs/>
          <w:szCs w:val="21"/>
          <w:highlight w:val="none"/>
          <w:lang w:val="en-US" w:eastAsia="zh-CN"/>
        </w:rPr>
        <w:t>3.2.人工智能AI应用</w:t>
      </w:r>
    </w:p>
    <w:p w14:paraId="0DF19196">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依托AI技术升级平台服务能力，打造精准、智能、便捷的政务服务体验。</w:t>
      </w:r>
    </w:p>
    <w:p w14:paraId="1D804A4E">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1）搭建多维检索与个性化推荐引擎，支持郑开两地事项全文、关键词检索，结合用户行为数据智能推送适配服务与办事指引。</w:t>
      </w:r>
    </w:p>
    <w:p w14:paraId="5C15CBBA">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2）集成大语言模型与专属政务知识库，打造智能问答助手，支持文本、语音交互，精准解答政策咨询、办事指南问题，并自动跳转对应办事入口。</w:t>
      </w:r>
    </w:p>
    <w:p w14:paraId="79652C09">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zh-CN" w:eastAsia="zh-CN"/>
        </w:rPr>
      </w:pPr>
      <w:r>
        <w:rPr>
          <w:rFonts w:hint="eastAsia" w:ascii="宋体" w:hAnsi="宋体" w:eastAsia="宋体" w:cs="Times New Roman"/>
          <w:szCs w:val="21"/>
          <w:highlight w:val="none"/>
          <w:lang w:val="en-US" w:eastAsia="zh-CN"/>
        </w:rPr>
        <w:t>3）建立多源知识更新机制，支持API自动同步或手动录入知识源。支持版本管理</w:t>
      </w:r>
      <w:r>
        <w:rPr>
          <w:rFonts w:hint="eastAsia" w:ascii="宋体" w:hAnsi="宋体" w:eastAsia="宋体" w:cs="Times New Roman"/>
          <w:szCs w:val="21"/>
          <w:highlight w:val="none"/>
          <w:lang w:val="zh-CN" w:eastAsia="zh-CN"/>
        </w:rPr>
        <w:t>。</w:t>
      </w:r>
    </w:p>
    <w:p w14:paraId="4AE8E5A7">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eastAsia="zh-CN"/>
        </w:rPr>
      </w:pPr>
      <w:r>
        <w:rPr>
          <w:rFonts w:hint="eastAsia" w:ascii="宋体" w:hAnsi="宋体" w:eastAsia="宋体" w:cs="Times New Roman"/>
          <w:b/>
          <w:bCs/>
          <w:szCs w:val="21"/>
          <w:highlight w:val="none"/>
          <w:lang w:val="en-US" w:eastAsia="zh-CN"/>
        </w:rPr>
        <w:t>3.3.基础能力管理</w:t>
      </w:r>
    </w:p>
    <w:p w14:paraId="60FC273F">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统一管控平台核心基础能力，保障系统稳定运行、安全接入与精细化运维。</w:t>
      </w:r>
    </w:p>
    <w:p w14:paraId="69E48CEE">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1）人脸核验服务按郑好办标准升级，实现郑开双向核验能力，接入多算法服务商，支持故障自动切换，依托静默活体检测技术，提升核验安全性与用户体验。</w:t>
      </w:r>
    </w:p>
    <w:p w14:paraId="027FAD72">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2）</w:t>
      </w:r>
      <w:r>
        <w:rPr>
          <w:rFonts w:hint="eastAsia" w:ascii="宋体" w:hAnsi="宋体" w:eastAsia="宋体" w:cs="Times New Roman"/>
          <w:szCs w:val="21"/>
          <w:highlight w:val="none"/>
          <w:lang w:val="en-US"/>
        </w:rPr>
        <w:t>▲</w:t>
      </w:r>
      <w:r>
        <w:rPr>
          <w:rFonts w:hint="eastAsia" w:ascii="宋体" w:hAnsi="宋体" w:eastAsia="宋体" w:cs="Times New Roman"/>
          <w:szCs w:val="21"/>
          <w:highlight w:val="none"/>
          <w:lang w:val="en-US" w:eastAsia="zh-CN"/>
        </w:rPr>
        <w:t>对短信、认证、用户信息获取等基础接口实行全生命周期管理，覆盖开发、测试、上下架与版本管控，实时监测接口运行状态，配套权限管控与数据分析能力。（需提供类似功能截图）</w:t>
      </w:r>
      <w:r>
        <w:rPr>
          <w:rFonts w:hint="eastAsia" w:ascii="宋体" w:hAnsi="宋体" w:eastAsia="宋体" w:cs="Times New Roman"/>
          <w:szCs w:val="21"/>
          <w:highlight w:val="none"/>
          <w:lang w:val="zh-CN" w:eastAsia="zh-CN"/>
        </w:rPr>
        <w:t>。</w:t>
      </w:r>
    </w:p>
    <w:p w14:paraId="655DB1EB">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zh-CN" w:eastAsia="zh-CN"/>
        </w:rPr>
      </w:pPr>
      <w:r>
        <w:rPr>
          <w:rFonts w:hint="eastAsia" w:ascii="宋体" w:hAnsi="宋体" w:eastAsia="宋体" w:cs="Times New Roman"/>
          <w:szCs w:val="21"/>
          <w:highlight w:val="none"/>
          <w:lang w:val="en-US" w:eastAsia="zh-CN"/>
        </w:rPr>
        <w:t>3）面向“郑好办”等外部应用提供统一接入服务，包含应用注册、接入审核、密钥管理、日志留存功能，筑牢平台接入安全防线</w:t>
      </w:r>
      <w:r>
        <w:rPr>
          <w:rFonts w:hint="eastAsia" w:ascii="宋体" w:hAnsi="宋体" w:eastAsia="宋体" w:cs="Times New Roman"/>
          <w:szCs w:val="21"/>
          <w:highlight w:val="none"/>
          <w:lang w:val="zh-CN" w:eastAsia="zh-CN"/>
        </w:rPr>
        <w:t>。</w:t>
      </w:r>
    </w:p>
    <w:p w14:paraId="6A0C588E">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eastAsia="zh-CN"/>
        </w:rPr>
      </w:pPr>
      <w:r>
        <w:rPr>
          <w:rFonts w:hint="eastAsia" w:ascii="宋体" w:hAnsi="宋体" w:eastAsia="宋体" w:cs="Times New Roman"/>
          <w:b/>
          <w:bCs/>
          <w:szCs w:val="21"/>
          <w:highlight w:val="none"/>
          <w:lang w:val="en-US" w:eastAsia="zh-CN"/>
        </w:rPr>
        <w:t>3.4.四电服务</w:t>
      </w:r>
    </w:p>
    <w:p w14:paraId="693C5DB3">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深化电子政务落地，推进政务服务全程无纸化，大幅提升办事效率。</w:t>
      </w:r>
    </w:p>
    <w:p w14:paraId="0DC39491">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1）对接统一电子签章、电子签名平台，用户经人脸或短信核验后，可在线完成电子文件签署，签署效力等同于实体签章与手写签名。</w:t>
      </w:r>
    </w:p>
    <w:p w14:paraId="6550102F">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2）覆盖身份证、社保卡、营业执照等高频电子证照，支持用户办事时一键授权亮证、调取证照，替代传统纸质材料。</w:t>
      </w:r>
      <w:r>
        <w:rPr>
          <w:rFonts w:hint="eastAsia" w:ascii="宋体" w:hAnsi="宋体" w:eastAsia="宋体" w:cs="Times New Roman"/>
          <w:szCs w:val="21"/>
          <w:highlight w:val="none"/>
          <w:lang w:val="en-US" w:eastAsia="zh-CN"/>
        </w:rPr>
        <w:tab/>
      </w:r>
    </w:p>
    <w:p w14:paraId="45599F74">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zh-CN" w:eastAsia="zh-CN"/>
        </w:rPr>
      </w:pPr>
      <w:r>
        <w:rPr>
          <w:rFonts w:hint="eastAsia" w:ascii="宋体" w:hAnsi="宋体" w:eastAsia="宋体" w:cs="Times New Roman"/>
          <w:szCs w:val="21"/>
          <w:highlight w:val="none"/>
          <w:lang w:val="en-US" w:eastAsia="zh-CN"/>
        </w:rPr>
        <w:t>3）实现电子材料在线生成、统一管理、跨部门共享复用，彻底解决群众企业办事重复交材的痛点</w:t>
      </w:r>
      <w:r>
        <w:rPr>
          <w:rFonts w:hint="eastAsia" w:ascii="宋体" w:hAnsi="宋体" w:eastAsia="宋体" w:cs="Times New Roman"/>
          <w:szCs w:val="21"/>
          <w:highlight w:val="none"/>
          <w:lang w:val="zh-CN" w:eastAsia="zh-CN"/>
        </w:rPr>
        <w:t>。</w:t>
      </w:r>
    </w:p>
    <w:p w14:paraId="7CC70CF3">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p>
    <w:p w14:paraId="32DAD5A5">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rPr>
      </w:pPr>
      <w:r>
        <w:rPr>
          <w:rFonts w:hint="eastAsia" w:ascii="宋体" w:hAnsi="宋体" w:eastAsia="宋体" w:cs="Times New Roman"/>
          <w:b/>
          <w:bCs/>
          <w:szCs w:val="21"/>
          <w:highlight w:val="none"/>
          <w:lang w:val="en-US"/>
        </w:rPr>
        <w:t>4</w:t>
      </w:r>
      <w:r>
        <w:rPr>
          <w:rFonts w:hint="eastAsia" w:ascii="宋体" w:hAnsi="宋体" w:eastAsia="宋体" w:cs="Times New Roman"/>
          <w:b/>
          <w:bCs/>
          <w:szCs w:val="21"/>
          <w:highlight w:val="none"/>
          <w:lang w:val="en-US" w:eastAsia="zh-CN"/>
        </w:rPr>
        <w:t>.郑开同城</w:t>
      </w:r>
      <w:r>
        <w:rPr>
          <w:rFonts w:hint="eastAsia" w:ascii="宋体" w:hAnsi="宋体" w:eastAsia="宋体" w:cs="Times New Roman"/>
          <w:b/>
          <w:bCs/>
          <w:szCs w:val="21"/>
          <w:highlight w:val="none"/>
          <w:lang w:val="en-US"/>
        </w:rPr>
        <w:t>统一预约</w:t>
      </w:r>
      <w:r>
        <w:rPr>
          <w:rFonts w:hint="eastAsia" w:ascii="宋体" w:hAnsi="宋体" w:cs="Times New Roman"/>
          <w:b/>
          <w:bCs/>
          <w:szCs w:val="21"/>
          <w:highlight w:val="none"/>
          <w:lang w:val="en-US" w:eastAsia="zh-CN"/>
        </w:rPr>
        <w:t>平台</w:t>
      </w:r>
      <w:r>
        <w:rPr>
          <w:rFonts w:hint="eastAsia" w:ascii="宋体" w:hAnsi="宋体" w:eastAsia="宋体" w:cs="Times New Roman"/>
          <w:b/>
          <w:bCs/>
          <w:szCs w:val="21"/>
          <w:highlight w:val="none"/>
          <w:lang w:val="en-US"/>
        </w:rPr>
        <w:t>建设需求</w:t>
      </w:r>
    </w:p>
    <w:p w14:paraId="1C8F2376">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rPr>
      </w:pPr>
      <w:r>
        <w:rPr>
          <w:rFonts w:hint="eastAsia" w:ascii="宋体" w:hAnsi="宋体" w:eastAsia="宋体" w:cs="Times New Roman"/>
          <w:szCs w:val="21"/>
          <w:highlight w:val="none"/>
          <w:lang w:val="en-US" w:eastAsia="zh-CN"/>
        </w:rPr>
        <w:t>旨在打通线上线下政务服务渠道，实现政务服务大厅精细化、数字化、智能化管理，全面提升政务办事效率与群众办事体验。系统构建全流程线上预约、线下智能核验、排队调度、可视化展示、语音播报、数据治理一体化服务体系，有效引导群众错峰办事，压缩大厅排队等待时长，实现郑开同城政务预约服务标准化、规范化、智慧化落地。所有线下场景能力均通过配套智能化技术服务实现，系统服务能力需满足以下技术指标要求。</w:t>
      </w:r>
    </w:p>
    <w:p w14:paraId="7C72A845">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rPr>
      </w:pPr>
      <w:r>
        <w:rPr>
          <w:rFonts w:hint="eastAsia" w:ascii="宋体" w:hAnsi="宋体" w:eastAsia="宋体" w:cs="Times New Roman"/>
          <w:b/>
          <w:bCs/>
          <w:szCs w:val="21"/>
          <w:highlight w:val="none"/>
          <w:lang w:val="en-US"/>
        </w:rPr>
        <w:t>4.1</w:t>
      </w:r>
      <w:r>
        <w:rPr>
          <w:rFonts w:hint="eastAsia" w:ascii="宋体" w:hAnsi="宋体" w:eastAsia="宋体" w:cs="Times New Roman"/>
          <w:b/>
          <w:bCs/>
          <w:szCs w:val="21"/>
          <w:highlight w:val="none"/>
          <w:lang w:val="en-US" w:eastAsia="zh-CN"/>
        </w:rPr>
        <w:t>.</w:t>
      </w:r>
      <w:r>
        <w:rPr>
          <w:rFonts w:hint="eastAsia" w:ascii="宋体" w:hAnsi="宋体" w:eastAsia="宋体" w:cs="Times New Roman"/>
          <w:b/>
          <w:bCs/>
          <w:szCs w:val="21"/>
          <w:highlight w:val="none"/>
          <w:lang w:val="en-US"/>
        </w:rPr>
        <w:t>政务服务预约地图与网点列表服务</w:t>
      </w:r>
    </w:p>
    <w:p w14:paraId="0216A5EF">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rPr>
      </w:pPr>
      <w:r>
        <w:rPr>
          <w:rFonts w:hint="eastAsia" w:ascii="宋体" w:hAnsi="宋体" w:eastAsia="宋体" w:cs="Times New Roman"/>
          <w:szCs w:val="21"/>
          <w:highlight w:val="none"/>
          <w:lang w:val="en-US"/>
        </w:rPr>
        <w:t>1)</w:t>
      </w:r>
      <w:r>
        <w:rPr>
          <w:rFonts w:hint="eastAsia" w:ascii="宋体" w:hAnsi="宋体" w:eastAsia="宋体" w:cs="Times New Roman"/>
          <w:szCs w:val="21"/>
          <w:highlight w:val="none"/>
        </w:rPr>
        <w:t>推动政务线上线下服务融合，对接主流地图位置服务能力</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包括但不限于高德、腾讯、百度等</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，精准标记可预约政务网点、自助办事网点坐标，提供导航能力，支撑群众快速定位办事场所。</w:t>
      </w:r>
    </w:p>
    <w:p w14:paraId="67519B1F">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rPr>
      </w:pPr>
      <w:r>
        <w:rPr>
          <w:rFonts w:hint="eastAsia" w:ascii="宋体" w:hAnsi="宋体" w:eastAsia="宋体" w:cs="Times New Roman"/>
          <w:szCs w:val="21"/>
          <w:highlight w:val="none"/>
          <w:lang w:val="en-US"/>
        </w:rPr>
        <w:t>2</w:t>
      </w:r>
      <w:r>
        <w:rPr>
          <w:rFonts w:hint="eastAsia" w:ascii="宋体" w:hAnsi="宋体" w:eastAsia="宋体" w:cs="Times New Roman"/>
          <w:szCs w:val="21"/>
          <w:highlight w:val="none"/>
          <w:lang w:val="en-US" w:eastAsia="zh-CN"/>
        </w:rPr>
        <w:t>)</w:t>
      </w:r>
      <w:r>
        <w:rPr>
          <w:rFonts w:hint="eastAsia" w:ascii="宋体" w:hAnsi="宋体" w:eastAsia="宋体" w:cs="Times New Roman"/>
          <w:szCs w:val="21"/>
          <w:highlight w:val="none"/>
        </w:rPr>
        <w:t>基于地理位置实现网点就近自动排序，支持办事主体自主选择目标办理网点。</w:t>
      </w:r>
    </w:p>
    <w:p w14:paraId="199367ED">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rPr>
      </w:pPr>
      <w:r>
        <w:rPr>
          <w:rFonts w:hint="eastAsia" w:ascii="宋体" w:hAnsi="宋体" w:eastAsia="宋体" w:cs="Times New Roman"/>
          <w:b/>
          <w:bCs/>
          <w:szCs w:val="21"/>
          <w:highlight w:val="none"/>
          <w:lang w:val="en-US"/>
        </w:rPr>
        <w:t>4.2</w:t>
      </w:r>
      <w:r>
        <w:rPr>
          <w:rFonts w:hint="eastAsia" w:ascii="宋体" w:hAnsi="宋体" w:eastAsia="宋体" w:cs="Times New Roman"/>
          <w:b/>
          <w:bCs/>
          <w:szCs w:val="21"/>
          <w:highlight w:val="none"/>
          <w:lang w:val="en-US" w:eastAsia="zh-CN"/>
        </w:rPr>
        <w:t>.</w:t>
      </w:r>
      <w:r>
        <w:rPr>
          <w:rFonts w:hint="eastAsia" w:ascii="宋体" w:hAnsi="宋体" w:eastAsia="宋体" w:cs="Times New Roman"/>
          <w:b/>
          <w:bCs/>
          <w:szCs w:val="21"/>
          <w:highlight w:val="none"/>
          <w:lang w:val="en-US"/>
        </w:rPr>
        <w:t>现场取号与预约取号与刷脸取号服务</w:t>
      </w:r>
    </w:p>
    <w:p w14:paraId="7015DC3E">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eastAsia="zh-CN"/>
        </w:rPr>
      </w:pPr>
      <w:r>
        <w:rPr>
          <w:rFonts w:hint="eastAsia" w:ascii="宋体" w:hAnsi="宋体" w:eastAsia="宋体" w:cs="Times New Roman"/>
          <w:b/>
          <w:bCs/>
          <w:szCs w:val="21"/>
          <w:highlight w:val="none"/>
          <w:lang w:val="en-US" w:eastAsia="zh-CN"/>
        </w:rPr>
        <w:t>平台软件功能</w:t>
      </w:r>
    </w:p>
    <w:p w14:paraId="3B951F09">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rPr>
      </w:pPr>
      <w:r>
        <w:rPr>
          <w:rFonts w:hint="eastAsia" w:ascii="宋体" w:hAnsi="宋体" w:eastAsia="宋体" w:cs="Times New Roman"/>
          <w:szCs w:val="21"/>
          <w:highlight w:val="none"/>
          <w:lang w:val="en-US"/>
        </w:rPr>
        <w:t>1)▲支持大厅现场取号、预约取号</w:t>
      </w:r>
      <w:r>
        <w:rPr>
          <w:rFonts w:hint="eastAsia" w:ascii="宋体" w:hAnsi="宋体" w:eastAsia="宋体" w:cs="Times New Roman"/>
          <w:szCs w:val="21"/>
          <w:highlight w:val="none"/>
          <w:lang w:val="en-US" w:eastAsia="zh-CN"/>
        </w:rPr>
        <w:t>等</w:t>
      </w:r>
      <w:r>
        <w:rPr>
          <w:rFonts w:hint="eastAsia" w:ascii="宋体" w:hAnsi="宋体" w:eastAsia="宋体" w:cs="Times New Roman"/>
          <w:szCs w:val="21"/>
          <w:highlight w:val="none"/>
          <w:lang w:val="en-US"/>
        </w:rPr>
        <w:t>多种办事报到模式。联动预约系统实现线上预约-线下签到闭环</w:t>
      </w:r>
      <w:r>
        <w:rPr>
          <w:rFonts w:hint="eastAsia" w:ascii="宋体" w:hAnsi="宋体" w:eastAsia="宋体" w:cs="Times New Roman"/>
          <w:szCs w:val="21"/>
          <w:highlight w:val="none"/>
          <w:lang w:val="en-US" w:eastAsia="zh-CN"/>
        </w:rPr>
        <w:t>。</w:t>
      </w:r>
      <w:r>
        <w:rPr>
          <w:rFonts w:hint="eastAsia" w:ascii="宋体" w:hAnsi="宋体" w:eastAsia="宋体" w:cs="Times New Roman"/>
          <w:szCs w:val="21"/>
          <w:highlight w:val="none"/>
          <w:lang w:val="en-US"/>
        </w:rPr>
        <w:t>具备历史信息自动回填功能，自动识别并回填姓名、手机号等信息，提升取号效率。</w:t>
      </w:r>
      <w:r>
        <w:rPr>
          <w:rFonts w:hint="eastAsia" w:ascii="宋体" w:hAnsi="宋体" w:eastAsia="宋体" w:cs="Times New Roman"/>
          <w:szCs w:val="21"/>
          <w:highlight w:val="none"/>
          <w:lang w:val="en-US" w:eastAsia="zh-CN"/>
        </w:rPr>
        <w:t>（需提供类似功能截图并加盖公章）</w:t>
      </w:r>
      <w:r>
        <w:rPr>
          <w:rFonts w:hint="eastAsia" w:ascii="宋体" w:hAnsi="宋体" w:eastAsia="宋体" w:cs="Times New Roman"/>
          <w:szCs w:val="21"/>
          <w:highlight w:val="none"/>
          <w:lang w:val="zh-CN" w:eastAsia="zh-CN"/>
        </w:rPr>
        <w:t>。</w:t>
      </w:r>
    </w:p>
    <w:p w14:paraId="47A4022B">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rPr>
      </w:pPr>
      <w:r>
        <w:rPr>
          <w:rFonts w:hint="eastAsia" w:ascii="宋体" w:hAnsi="宋体" w:eastAsia="宋体" w:cs="Times New Roman"/>
          <w:szCs w:val="21"/>
          <w:highlight w:val="none"/>
          <w:lang w:val="en-US"/>
        </w:rPr>
        <w:t>2)刷脸取号：取号终端采集用户动态人脸图像，与证照库比对核验，核验通过方可完成取号。</w:t>
      </w:r>
    </w:p>
    <w:p w14:paraId="25348533">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eastAsia="zh-CN"/>
        </w:rPr>
      </w:pPr>
      <w:r>
        <w:rPr>
          <w:rFonts w:hint="eastAsia" w:ascii="宋体" w:hAnsi="宋体" w:eastAsia="宋体" w:cs="Times New Roman"/>
          <w:b/>
          <w:bCs/>
          <w:szCs w:val="21"/>
          <w:highlight w:val="none"/>
          <w:lang w:val="en-US" w:eastAsia="zh-CN"/>
        </w:rPr>
        <w:t>服务所需产品</w:t>
      </w:r>
    </w:p>
    <w:p w14:paraId="3097CB5A">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rPr>
      </w:pPr>
      <w:r>
        <w:rPr>
          <w:rFonts w:hint="eastAsia" w:ascii="宋体" w:hAnsi="宋体" w:eastAsia="宋体" w:cs="Times New Roman"/>
          <w:b/>
          <w:bCs/>
          <w:szCs w:val="21"/>
          <w:highlight w:val="none"/>
          <w:lang w:val="en-US"/>
        </w:rPr>
        <w:t>为满足以上服务</w:t>
      </w:r>
      <w:r>
        <w:rPr>
          <w:rFonts w:hint="eastAsia" w:ascii="宋体" w:hAnsi="宋体" w:eastAsia="宋体" w:cs="Times New Roman"/>
          <w:b/>
          <w:bCs/>
          <w:szCs w:val="21"/>
          <w:highlight w:val="none"/>
          <w:lang w:val="en-US" w:eastAsia="zh-CN"/>
        </w:rPr>
        <w:t>能力</w:t>
      </w:r>
      <w:r>
        <w:rPr>
          <w:rFonts w:hint="eastAsia" w:ascii="宋体" w:hAnsi="宋体" w:eastAsia="宋体" w:cs="Times New Roman"/>
          <w:b/>
          <w:bCs/>
          <w:szCs w:val="21"/>
          <w:highlight w:val="none"/>
          <w:lang w:val="en-US"/>
        </w:rPr>
        <w:t>，</w:t>
      </w:r>
      <w:r>
        <w:rPr>
          <w:rFonts w:hint="eastAsia" w:ascii="宋体" w:hAnsi="宋体" w:eastAsia="宋体" w:cs="Times New Roman"/>
          <w:b/>
          <w:bCs/>
          <w:szCs w:val="21"/>
          <w:highlight w:val="none"/>
          <w:lang w:val="en-US" w:eastAsia="zh-CN"/>
        </w:rPr>
        <w:t>供应商应</w:t>
      </w:r>
      <w:r>
        <w:rPr>
          <w:rFonts w:hint="eastAsia" w:ascii="宋体" w:hAnsi="宋体" w:cs="Times New Roman"/>
          <w:b/>
          <w:bCs/>
          <w:szCs w:val="21"/>
          <w:highlight w:val="none"/>
          <w:lang w:val="en-US" w:eastAsia="zh-CN"/>
        </w:rPr>
        <w:t>为本项目配备</w:t>
      </w:r>
      <w:r>
        <w:rPr>
          <w:rFonts w:hint="eastAsia" w:ascii="宋体" w:hAnsi="宋体" w:eastAsia="宋体" w:cs="Times New Roman"/>
          <w:b/>
          <w:bCs/>
          <w:szCs w:val="21"/>
          <w:highlight w:val="none"/>
          <w:lang w:val="en-US"/>
        </w:rPr>
        <w:t>以下产品:</w:t>
      </w:r>
    </w:p>
    <w:p w14:paraId="570BF534">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rPr>
      </w:pPr>
      <w:r>
        <w:rPr>
          <w:rFonts w:hint="eastAsia" w:ascii="宋体" w:hAnsi="宋体" w:eastAsia="宋体" w:cs="Times New Roman"/>
          <w:b/>
          <w:bCs/>
          <w:szCs w:val="21"/>
          <w:highlight w:val="none"/>
          <w:lang w:val="en-US"/>
        </w:rPr>
        <w:t>智能排队取号终端</w:t>
      </w:r>
    </w:p>
    <w:p w14:paraId="1049E37F">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1）根据开封市政务服务大厅现场情况，建议配备不低于32寸显示屏;主机处理器性能不低于四核心；内存不低于2G；摄像头需采用双目，</w:t>
      </w:r>
      <w:r>
        <w:rPr>
          <w:rFonts w:hint="eastAsia" w:ascii="宋体" w:hAnsi="宋体" w:eastAsia="宋体" w:cs="Times New Roman"/>
          <w:szCs w:val="21"/>
          <w:highlight w:val="none"/>
          <w:lang w:val="en-US"/>
        </w:rPr>
        <w:t>不低于200万像素</w:t>
      </w:r>
      <w:r>
        <w:rPr>
          <w:rFonts w:hint="eastAsia" w:ascii="宋体" w:hAnsi="宋体" w:eastAsia="宋体" w:cs="Times New Roman"/>
          <w:szCs w:val="21"/>
          <w:highlight w:val="none"/>
          <w:lang w:val="en-US" w:eastAsia="zh-CN"/>
        </w:rPr>
        <w:t>。便于不同年龄段群众操作，屏幕显示清晰、触控灵敏</w:t>
      </w:r>
      <w:r>
        <w:rPr>
          <w:rFonts w:hint="eastAsia" w:ascii="宋体" w:hAnsi="宋体" w:eastAsia="宋体" w:cs="Times New Roman"/>
          <w:szCs w:val="21"/>
          <w:highlight w:val="none"/>
          <w:lang w:val="zh-CN" w:eastAsia="zh-CN"/>
        </w:rPr>
        <w:t>。</w:t>
      </w:r>
    </w:p>
    <w:p w14:paraId="246EC313">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2）产品应具备身份证信息读取、热敏票据打印、二维码扫描、动态人脸采集比对等能力，满足线上线下融合取号需求。</w:t>
      </w:r>
    </w:p>
    <w:p w14:paraId="37D4D269">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3）支持定时开关机与网络唤醒功能，可作为无人值守自助服务终端运行;支持开放SDK集成能力，便于系统对接。</w:t>
      </w:r>
    </w:p>
    <w:p w14:paraId="2E4A45E8">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rPr>
      </w:pPr>
      <w:r>
        <w:rPr>
          <w:rFonts w:hint="eastAsia" w:ascii="宋体" w:hAnsi="宋体" w:eastAsia="宋体" w:cs="Times New Roman"/>
          <w:b/>
          <w:bCs/>
          <w:szCs w:val="21"/>
          <w:highlight w:val="none"/>
          <w:lang w:val="en-US"/>
        </w:rPr>
        <w:t>4.3</w:t>
      </w:r>
      <w:r>
        <w:rPr>
          <w:rFonts w:hint="eastAsia" w:ascii="宋体" w:hAnsi="宋体" w:eastAsia="宋体" w:cs="Times New Roman"/>
          <w:b/>
          <w:bCs/>
          <w:szCs w:val="21"/>
          <w:highlight w:val="none"/>
          <w:lang w:val="en-US" w:eastAsia="zh-CN"/>
        </w:rPr>
        <w:t>.</w:t>
      </w:r>
      <w:r>
        <w:rPr>
          <w:rFonts w:hint="eastAsia" w:ascii="宋体" w:hAnsi="宋体" w:eastAsia="宋体" w:cs="Times New Roman"/>
          <w:b/>
          <w:bCs/>
          <w:szCs w:val="21"/>
          <w:highlight w:val="none"/>
          <w:lang w:val="en-US"/>
        </w:rPr>
        <w:t>预约规则分配与网点事项服务</w:t>
      </w:r>
    </w:p>
    <w:p w14:paraId="50C7B238">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rPr>
      </w:pPr>
      <w:r>
        <w:rPr>
          <w:rFonts w:hint="eastAsia" w:ascii="宋体" w:hAnsi="宋体" w:eastAsia="宋体" w:cs="Times New Roman"/>
          <w:szCs w:val="21"/>
          <w:highlight w:val="none"/>
          <w:lang w:val="en-US"/>
        </w:rPr>
        <w:t>1)</w:t>
      </w:r>
      <w:r>
        <w:rPr>
          <w:rFonts w:hint="eastAsia" w:ascii="宋体" w:hAnsi="宋体" w:eastAsia="宋体" w:cs="Times New Roman"/>
          <w:szCs w:val="21"/>
          <w:highlight w:val="none"/>
          <w:lang w:val="en-US" w:eastAsia="zh-CN"/>
        </w:rPr>
        <w:t>支持业务与预约规则绑定，支持开启或关闭某项业务在线预约功能。</w:t>
      </w:r>
      <w:r>
        <w:rPr>
          <w:rFonts w:hint="eastAsia" w:ascii="宋体" w:hAnsi="宋体" w:eastAsia="宋体" w:cs="Times New Roman"/>
          <w:szCs w:val="21"/>
          <w:highlight w:val="none"/>
          <w:lang w:val="en-US"/>
        </w:rPr>
        <w:t>预约规则支持同一规则不重复放号</w:t>
      </w:r>
      <w:r>
        <w:rPr>
          <w:rFonts w:hint="eastAsia" w:ascii="宋体" w:hAnsi="宋体" w:eastAsia="宋体" w:cs="Times New Roman"/>
          <w:szCs w:val="21"/>
          <w:highlight w:val="none"/>
          <w:lang w:val="en-US" w:eastAsia="zh-CN"/>
        </w:rPr>
        <w:t>、可</w:t>
      </w:r>
      <w:r>
        <w:rPr>
          <w:rFonts w:hint="eastAsia" w:ascii="宋体" w:hAnsi="宋体" w:eastAsia="宋体" w:cs="Times New Roman"/>
          <w:szCs w:val="21"/>
          <w:highlight w:val="none"/>
          <w:lang w:val="en-US"/>
        </w:rPr>
        <w:t>配置规则生效、失效时间，实现预约策略灵活分配。</w:t>
      </w:r>
    </w:p>
    <w:p w14:paraId="24FB11E1">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rPr>
      </w:pPr>
      <w:r>
        <w:rPr>
          <w:rFonts w:hint="eastAsia" w:ascii="宋体" w:hAnsi="宋体" w:eastAsia="宋体" w:cs="Times New Roman"/>
          <w:szCs w:val="21"/>
          <w:highlight w:val="none"/>
          <w:lang w:val="en-US"/>
        </w:rPr>
        <w:t>2)▲</w:t>
      </w:r>
      <w:r>
        <w:rPr>
          <w:rFonts w:hint="eastAsia" w:ascii="宋体" w:hAnsi="宋体" w:eastAsia="宋体" w:cs="Times New Roman"/>
          <w:szCs w:val="21"/>
          <w:highlight w:val="none"/>
          <w:lang w:val="en-US" w:eastAsia="zh-CN"/>
        </w:rPr>
        <w:t>支持</w:t>
      </w:r>
      <w:r>
        <w:rPr>
          <w:rFonts w:hint="eastAsia" w:ascii="宋体" w:hAnsi="宋体" w:eastAsia="宋体" w:cs="Times New Roman"/>
          <w:szCs w:val="21"/>
          <w:highlight w:val="none"/>
          <w:lang w:val="en-US"/>
        </w:rPr>
        <w:t>网点事项维护，支持预约状态、预约时段、预约规则等预约数据的查询统计与信息展示。</w:t>
      </w:r>
      <w:r>
        <w:rPr>
          <w:rFonts w:hint="eastAsia" w:ascii="宋体" w:hAnsi="宋体" w:eastAsia="宋体" w:cs="Times New Roman"/>
          <w:szCs w:val="21"/>
          <w:highlight w:val="none"/>
          <w:lang w:val="en-US" w:eastAsia="zh-CN"/>
        </w:rPr>
        <w:t>（需提供类似功能截图）</w:t>
      </w:r>
      <w:r>
        <w:rPr>
          <w:rFonts w:hint="eastAsia" w:ascii="宋体" w:hAnsi="宋体" w:eastAsia="宋体" w:cs="Times New Roman"/>
          <w:szCs w:val="21"/>
          <w:highlight w:val="none"/>
          <w:lang w:val="zh-CN" w:eastAsia="zh-CN"/>
        </w:rPr>
        <w:t>。</w:t>
      </w:r>
    </w:p>
    <w:p w14:paraId="2A237216">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rPr>
      </w:pPr>
      <w:r>
        <w:rPr>
          <w:rFonts w:hint="eastAsia" w:ascii="宋体" w:hAnsi="宋体" w:eastAsia="宋体" w:cs="Times New Roman"/>
          <w:b/>
          <w:bCs/>
          <w:szCs w:val="21"/>
          <w:highlight w:val="none"/>
          <w:lang w:val="en-US"/>
        </w:rPr>
        <w:t>4.4</w:t>
      </w:r>
      <w:r>
        <w:rPr>
          <w:rFonts w:hint="eastAsia" w:ascii="宋体" w:hAnsi="宋体" w:eastAsia="宋体" w:cs="Times New Roman"/>
          <w:b/>
          <w:bCs/>
          <w:szCs w:val="21"/>
          <w:highlight w:val="none"/>
          <w:lang w:val="en-US" w:eastAsia="zh-CN"/>
        </w:rPr>
        <w:t>.</w:t>
      </w:r>
      <w:r>
        <w:rPr>
          <w:rFonts w:hint="eastAsia" w:ascii="宋体" w:hAnsi="宋体" w:eastAsia="宋体" w:cs="Times New Roman"/>
          <w:b/>
          <w:bCs/>
          <w:szCs w:val="21"/>
          <w:highlight w:val="none"/>
        </w:rPr>
        <w:t>预约数据治理与</w:t>
      </w:r>
      <w:r>
        <w:rPr>
          <w:rFonts w:hint="eastAsia" w:ascii="宋体" w:hAnsi="宋体" w:eastAsia="宋体" w:cs="Times New Roman"/>
          <w:b/>
          <w:bCs/>
          <w:szCs w:val="21"/>
          <w:highlight w:val="none"/>
          <w:lang w:val="en-US"/>
        </w:rPr>
        <w:t>token</w:t>
      </w:r>
      <w:r>
        <w:rPr>
          <w:rFonts w:hint="eastAsia" w:ascii="宋体" w:hAnsi="宋体" w:eastAsia="宋体" w:cs="Times New Roman"/>
          <w:b/>
          <w:bCs/>
          <w:szCs w:val="21"/>
          <w:highlight w:val="none"/>
        </w:rPr>
        <w:t>管理</w:t>
      </w:r>
      <w:r>
        <w:rPr>
          <w:rFonts w:hint="eastAsia" w:ascii="宋体" w:hAnsi="宋体" w:eastAsia="宋体" w:cs="Times New Roman"/>
          <w:b/>
          <w:bCs/>
          <w:szCs w:val="21"/>
          <w:highlight w:val="none"/>
          <w:lang w:val="en-US"/>
        </w:rPr>
        <w:t>服务</w:t>
      </w:r>
    </w:p>
    <w:p w14:paraId="64C2C814">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rPr>
      </w:pPr>
      <w:r>
        <w:rPr>
          <w:rFonts w:hint="eastAsia" w:ascii="宋体" w:hAnsi="宋体" w:eastAsia="宋体" w:cs="Times New Roman"/>
          <w:szCs w:val="21"/>
          <w:highlight w:val="none"/>
          <w:lang w:val="en-US"/>
        </w:rPr>
        <w:t>1)实现预约业务数据归集、校验、台账记录；</w:t>
      </w:r>
      <w:r>
        <w:rPr>
          <w:rFonts w:hint="eastAsia" w:ascii="宋体" w:hAnsi="宋体" w:eastAsia="宋体" w:cs="Times New Roman"/>
          <w:szCs w:val="21"/>
          <w:highlight w:val="none"/>
          <w:lang w:val="en-US" w:eastAsia="zh-CN"/>
        </w:rPr>
        <w:t>支持</w:t>
      </w:r>
      <w:r>
        <w:rPr>
          <w:rFonts w:hint="eastAsia" w:ascii="宋体" w:hAnsi="宋体" w:eastAsia="宋体" w:cs="Times New Roman"/>
          <w:szCs w:val="21"/>
          <w:highlight w:val="none"/>
          <w:lang w:val="en-US"/>
        </w:rPr>
        <w:t>省-市-县三级纵向数据贯通通道，</w:t>
      </w:r>
      <w:r>
        <w:rPr>
          <w:rFonts w:hint="eastAsia" w:ascii="宋体" w:hAnsi="宋体" w:eastAsia="宋体" w:cs="Times New Roman"/>
          <w:szCs w:val="21"/>
          <w:highlight w:val="none"/>
          <w:lang w:val="en-US" w:eastAsia="zh-CN"/>
        </w:rPr>
        <w:t>支持</w:t>
      </w:r>
      <w:r>
        <w:rPr>
          <w:rFonts w:hint="eastAsia" w:ascii="宋体" w:hAnsi="宋体" w:eastAsia="宋体" w:cs="Times New Roman"/>
          <w:szCs w:val="21"/>
          <w:highlight w:val="none"/>
          <w:lang w:val="en-US"/>
        </w:rPr>
        <w:t>与全省政务服务大厅运行数据归集系统对接</w:t>
      </w:r>
      <w:r>
        <w:rPr>
          <w:rFonts w:hint="eastAsia" w:ascii="宋体" w:hAnsi="宋体" w:eastAsia="宋体" w:cs="Times New Roman"/>
          <w:szCs w:val="21"/>
          <w:highlight w:val="none"/>
          <w:lang w:val="en-US" w:eastAsia="zh-CN"/>
        </w:rPr>
        <w:t>、同步</w:t>
      </w:r>
      <w:r>
        <w:rPr>
          <w:rFonts w:hint="eastAsia" w:ascii="宋体" w:hAnsi="宋体" w:eastAsia="宋体" w:cs="Times New Roman"/>
          <w:szCs w:val="21"/>
          <w:highlight w:val="none"/>
          <w:lang w:val="en-US"/>
        </w:rPr>
        <w:t xml:space="preserve">。数据上报须严格遵循省级数据归集规范，支持字段级映射配置与报文格式动态适配。 </w:t>
      </w:r>
      <w:r>
        <w:rPr>
          <w:rFonts w:hint="eastAsia" w:ascii="宋体" w:hAnsi="宋体" w:eastAsia="宋体" w:cs="Times New Roman"/>
          <w:szCs w:val="21"/>
          <w:highlight w:val="none"/>
          <w:lang w:val="en-US"/>
        </w:rPr>
        <w:tab/>
      </w:r>
    </w:p>
    <w:p w14:paraId="0AC4FA1E">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rPr>
      </w:pPr>
      <w:r>
        <w:rPr>
          <w:rFonts w:hint="eastAsia" w:ascii="宋体" w:hAnsi="宋体" w:eastAsia="宋体" w:cs="Times New Roman"/>
          <w:szCs w:val="21"/>
          <w:highlight w:val="none"/>
          <w:lang w:val="en-US"/>
        </w:rPr>
        <w:t>2)数据 token 管理：对数据交互凭证进行生命周期管理，记录凭证创建、失效时间。</w:t>
      </w:r>
    </w:p>
    <w:p w14:paraId="66FF27F0">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rPr>
      </w:pPr>
      <w:r>
        <w:rPr>
          <w:rFonts w:hint="eastAsia" w:ascii="宋体" w:hAnsi="宋体" w:eastAsia="宋体" w:cs="Times New Roman"/>
          <w:b/>
          <w:bCs/>
          <w:szCs w:val="21"/>
          <w:highlight w:val="none"/>
          <w:lang w:val="en-US"/>
        </w:rPr>
        <w:t>4.5</w:t>
      </w:r>
      <w:r>
        <w:rPr>
          <w:rFonts w:hint="eastAsia" w:ascii="宋体" w:hAnsi="宋体" w:eastAsia="宋体" w:cs="Times New Roman"/>
          <w:b/>
          <w:bCs/>
          <w:szCs w:val="21"/>
          <w:highlight w:val="none"/>
          <w:lang w:val="en-US" w:eastAsia="zh-CN"/>
        </w:rPr>
        <w:t>.</w:t>
      </w:r>
      <w:r>
        <w:rPr>
          <w:rFonts w:hint="eastAsia" w:ascii="宋体" w:hAnsi="宋体" w:eastAsia="宋体" w:cs="Times New Roman"/>
          <w:b/>
          <w:bCs/>
          <w:szCs w:val="21"/>
          <w:highlight w:val="none"/>
          <w:lang w:val="en-US"/>
        </w:rPr>
        <w:t>网点信息与咨询服务</w:t>
      </w:r>
    </w:p>
    <w:p w14:paraId="7F351870">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rPr>
      </w:pPr>
      <w:r>
        <w:rPr>
          <w:rFonts w:hint="eastAsia" w:ascii="宋体" w:hAnsi="宋体" w:eastAsia="宋体" w:cs="Times New Roman"/>
          <w:szCs w:val="21"/>
          <w:highlight w:val="none"/>
          <w:lang w:val="en-US"/>
        </w:rPr>
        <w:t>1</w:t>
      </w:r>
      <w:r>
        <w:rPr>
          <w:rFonts w:hint="eastAsia" w:ascii="宋体" w:hAnsi="宋体" w:eastAsia="宋体" w:cs="Times New Roman"/>
          <w:szCs w:val="21"/>
          <w:highlight w:val="none"/>
          <w:lang w:val="en-US" w:eastAsia="zh-CN"/>
        </w:rPr>
        <w:t>)</w:t>
      </w:r>
      <w:r>
        <w:rPr>
          <w:rFonts w:hint="eastAsia" w:ascii="宋体" w:hAnsi="宋体" w:eastAsia="宋体" w:cs="Times New Roman"/>
          <w:szCs w:val="21"/>
          <w:highlight w:val="none"/>
          <w:lang w:val="en-US"/>
        </w:rPr>
        <w:t>网点详情展示大厅简介、可办事项、办公时间等基础信息，便于办事主体掌握网点情况。支持调取网点对外联系电话，方便群众咨询办理时间、流程、申请材料等业务问题。</w:t>
      </w:r>
    </w:p>
    <w:p w14:paraId="75E50274">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rPr>
      </w:pPr>
      <w:r>
        <w:rPr>
          <w:rFonts w:hint="eastAsia" w:ascii="宋体" w:hAnsi="宋体" w:eastAsia="宋体" w:cs="Times New Roman"/>
          <w:b/>
          <w:bCs/>
          <w:szCs w:val="21"/>
          <w:highlight w:val="none"/>
          <w:lang w:val="en-US"/>
        </w:rPr>
        <w:t>4.6</w:t>
      </w:r>
      <w:r>
        <w:rPr>
          <w:rFonts w:hint="eastAsia" w:ascii="宋体" w:hAnsi="宋体" w:eastAsia="宋体" w:cs="Times New Roman"/>
          <w:b/>
          <w:bCs/>
          <w:szCs w:val="21"/>
          <w:highlight w:val="none"/>
          <w:lang w:val="en-US" w:eastAsia="zh-CN"/>
        </w:rPr>
        <w:t>.</w:t>
      </w:r>
      <w:r>
        <w:rPr>
          <w:rFonts w:hint="eastAsia" w:ascii="宋体" w:hAnsi="宋体" w:eastAsia="宋体" w:cs="Times New Roman"/>
          <w:b/>
          <w:bCs/>
          <w:szCs w:val="21"/>
          <w:highlight w:val="none"/>
          <w:lang w:val="en-US"/>
        </w:rPr>
        <w:t>网上预约与办事指南服务</w:t>
      </w:r>
    </w:p>
    <w:p w14:paraId="05462F88">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rPr>
      </w:pPr>
      <w:r>
        <w:rPr>
          <w:rFonts w:hint="eastAsia" w:ascii="宋体" w:hAnsi="宋体" w:eastAsia="宋体" w:cs="Times New Roman"/>
          <w:szCs w:val="21"/>
          <w:highlight w:val="none"/>
          <w:lang w:val="en-US"/>
        </w:rPr>
        <w:t>1</w:t>
      </w:r>
      <w:r>
        <w:rPr>
          <w:rFonts w:hint="eastAsia" w:ascii="宋体" w:hAnsi="宋体" w:eastAsia="宋体" w:cs="Times New Roman"/>
          <w:szCs w:val="21"/>
          <w:highlight w:val="none"/>
          <w:lang w:val="en-US" w:eastAsia="zh-CN"/>
        </w:rPr>
        <w:t>)</w:t>
      </w:r>
      <w:r>
        <w:rPr>
          <w:rFonts w:hint="eastAsia" w:ascii="宋体" w:hAnsi="宋体" w:eastAsia="宋体" w:cs="Times New Roman"/>
          <w:szCs w:val="21"/>
          <w:highlight w:val="none"/>
          <w:lang w:val="en-US"/>
        </w:rPr>
        <w:t>网上预约：企业群众选定办理事项，系统按距离优先级展示可用网点列表，用户自主选择网点办理，支持预约记录查询</w:t>
      </w:r>
      <w:r>
        <w:rPr>
          <w:rFonts w:hint="eastAsia" w:ascii="宋体" w:hAnsi="宋体" w:eastAsia="宋体" w:cs="Times New Roman"/>
          <w:szCs w:val="21"/>
          <w:highlight w:val="none"/>
          <w:lang w:val="en-US" w:eastAsia="zh-CN"/>
        </w:rPr>
        <w:t>;提供</w:t>
      </w:r>
      <w:r>
        <w:rPr>
          <w:rFonts w:hint="eastAsia" w:ascii="宋体" w:hAnsi="宋体" w:eastAsia="宋体" w:cs="Times New Roman"/>
          <w:szCs w:val="21"/>
          <w:highlight w:val="none"/>
          <w:lang w:val="en-US"/>
        </w:rPr>
        <w:t>办事指南</w:t>
      </w:r>
      <w:r>
        <w:rPr>
          <w:rFonts w:hint="eastAsia" w:ascii="宋体" w:hAnsi="宋体" w:eastAsia="宋体" w:cs="Times New Roman"/>
          <w:szCs w:val="21"/>
          <w:highlight w:val="none"/>
          <w:lang w:val="en-US" w:eastAsia="zh-CN"/>
        </w:rPr>
        <w:t>服务，</w:t>
      </w:r>
      <w:r>
        <w:rPr>
          <w:rFonts w:hint="eastAsia" w:ascii="宋体" w:hAnsi="宋体" w:eastAsia="宋体" w:cs="Times New Roman"/>
          <w:szCs w:val="21"/>
          <w:highlight w:val="none"/>
          <w:lang w:val="en-US"/>
        </w:rPr>
        <w:t>向办事对象提供事项办理基础说明，方便办理前查阅业务相关要求。</w:t>
      </w:r>
    </w:p>
    <w:p w14:paraId="2543C5B7">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rPr>
      </w:pPr>
      <w:r>
        <w:rPr>
          <w:rFonts w:hint="eastAsia" w:ascii="宋体" w:hAnsi="宋体" w:eastAsia="宋体" w:cs="Times New Roman"/>
          <w:b/>
          <w:bCs/>
          <w:szCs w:val="21"/>
          <w:highlight w:val="none"/>
          <w:lang w:val="en-US"/>
        </w:rPr>
        <w:t>4.7</w:t>
      </w:r>
      <w:r>
        <w:rPr>
          <w:rFonts w:hint="eastAsia" w:ascii="宋体" w:hAnsi="宋体" w:eastAsia="宋体" w:cs="Times New Roman"/>
          <w:b/>
          <w:bCs/>
          <w:szCs w:val="21"/>
          <w:highlight w:val="none"/>
          <w:lang w:val="en-US" w:eastAsia="zh-CN"/>
        </w:rPr>
        <w:t>.</w:t>
      </w:r>
      <w:r>
        <w:rPr>
          <w:rFonts w:hint="eastAsia" w:ascii="宋体" w:hAnsi="宋体" w:eastAsia="宋体" w:cs="Times New Roman"/>
          <w:b/>
          <w:bCs/>
          <w:szCs w:val="21"/>
          <w:highlight w:val="none"/>
          <w:lang w:val="en-US"/>
        </w:rPr>
        <w:t>我的预约与大厅网点配置服务</w:t>
      </w:r>
    </w:p>
    <w:p w14:paraId="2E35840D">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rPr>
      </w:pPr>
      <w:r>
        <w:rPr>
          <w:rFonts w:hint="eastAsia" w:ascii="宋体" w:hAnsi="宋体" w:eastAsia="宋体" w:cs="Times New Roman"/>
          <w:szCs w:val="21"/>
          <w:highlight w:val="none"/>
          <w:lang w:val="en-US"/>
        </w:rPr>
        <w:t>1</w:t>
      </w:r>
      <w:r>
        <w:rPr>
          <w:rFonts w:hint="eastAsia" w:ascii="宋体" w:hAnsi="宋体" w:eastAsia="宋体" w:cs="Times New Roman"/>
          <w:szCs w:val="21"/>
          <w:highlight w:val="none"/>
          <w:lang w:val="en-US" w:eastAsia="zh-CN"/>
        </w:rPr>
        <w:t>)</w:t>
      </w:r>
      <w:r>
        <w:rPr>
          <w:rFonts w:hint="eastAsia" w:ascii="宋体" w:hAnsi="宋体" w:eastAsia="宋体" w:cs="Times New Roman"/>
          <w:szCs w:val="21"/>
          <w:highlight w:val="none"/>
          <w:lang w:val="en-US"/>
        </w:rPr>
        <w:t>▲我的预约：展示个人全部预约记录，区分已预约、已取消、变更预约、已办理等业务状态。</w:t>
      </w:r>
      <w:r>
        <w:rPr>
          <w:rFonts w:hint="eastAsia" w:ascii="宋体" w:hAnsi="宋体" w:eastAsia="宋体" w:cs="Times New Roman"/>
          <w:szCs w:val="21"/>
          <w:highlight w:val="none"/>
          <w:lang w:val="en-US" w:eastAsia="zh-CN"/>
        </w:rPr>
        <w:t>（需提供类似功能截图）</w:t>
      </w:r>
      <w:r>
        <w:rPr>
          <w:rFonts w:hint="eastAsia" w:ascii="宋体" w:hAnsi="宋体" w:eastAsia="宋体" w:cs="Times New Roman"/>
          <w:szCs w:val="21"/>
          <w:highlight w:val="none"/>
          <w:lang w:val="zh-CN" w:eastAsia="zh-CN"/>
        </w:rPr>
        <w:t>。</w:t>
      </w:r>
    </w:p>
    <w:p w14:paraId="419C9A44">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rPr>
      </w:pPr>
      <w:r>
        <w:rPr>
          <w:rFonts w:hint="eastAsia" w:ascii="宋体" w:hAnsi="宋体" w:eastAsia="宋体" w:cs="Times New Roman"/>
          <w:szCs w:val="21"/>
          <w:highlight w:val="none"/>
          <w:lang w:val="en-US"/>
        </w:rPr>
        <w:t>2</w:t>
      </w:r>
      <w:r>
        <w:rPr>
          <w:rFonts w:hint="eastAsia" w:ascii="宋体" w:hAnsi="宋体" w:eastAsia="宋体" w:cs="Times New Roman"/>
          <w:szCs w:val="21"/>
          <w:highlight w:val="none"/>
          <w:lang w:val="en-US" w:eastAsia="zh-CN"/>
        </w:rPr>
        <w:t>)</w:t>
      </w:r>
      <w:r>
        <w:rPr>
          <w:rFonts w:hint="eastAsia" w:ascii="宋体" w:hAnsi="宋体" w:eastAsia="宋体" w:cs="Times New Roman"/>
          <w:szCs w:val="21"/>
          <w:highlight w:val="none"/>
          <w:lang w:val="en-US"/>
        </w:rPr>
        <w:t>大厅网点用于维护大厅基础档案，包含名称、地址、联系电话、预约开关，完成部门、事项预约相关基础参数配置。</w:t>
      </w:r>
    </w:p>
    <w:p w14:paraId="49FC2421">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rPr>
      </w:pPr>
      <w:r>
        <w:rPr>
          <w:rFonts w:hint="eastAsia" w:ascii="宋体" w:hAnsi="宋体" w:eastAsia="宋体" w:cs="Times New Roman"/>
          <w:b/>
          <w:bCs/>
          <w:szCs w:val="21"/>
          <w:highlight w:val="none"/>
          <w:lang w:val="en-US"/>
        </w:rPr>
        <w:t>4.8</w:t>
      </w:r>
      <w:r>
        <w:rPr>
          <w:rFonts w:hint="eastAsia" w:ascii="宋体" w:hAnsi="宋体" w:eastAsia="宋体" w:cs="Times New Roman"/>
          <w:b/>
          <w:bCs/>
          <w:szCs w:val="21"/>
          <w:highlight w:val="none"/>
          <w:lang w:val="en-US" w:eastAsia="zh-CN"/>
        </w:rPr>
        <w:t>.</w:t>
      </w:r>
      <w:r>
        <w:rPr>
          <w:rFonts w:hint="eastAsia" w:ascii="宋体" w:hAnsi="宋体" w:eastAsia="宋体" w:cs="Times New Roman"/>
          <w:b/>
          <w:bCs/>
          <w:szCs w:val="21"/>
          <w:highlight w:val="none"/>
          <w:lang w:val="en-US"/>
        </w:rPr>
        <w:t>预约信息与预约事项服务</w:t>
      </w:r>
    </w:p>
    <w:p w14:paraId="209FECB9">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rPr>
      </w:pPr>
      <w:r>
        <w:rPr>
          <w:rFonts w:hint="eastAsia" w:ascii="宋体" w:hAnsi="宋体" w:eastAsia="宋体" w:cs="Times New Roman"/>
          <w:szCs w:val="21"/>
          <w:highlight w:val="none"/>
          <w:lang w:val="en-US"/>
        </w:rPr>
        <w:t>1</w:t>
      </w:r>
      <w:r>
        <w:rPr>
          <w:rFonts w:hint="eastAsia" w:ascii="宋体" w:hAnsi="宋体" w:eastAsia="宋体" w:cs="Times New Roman"/>
          <w:szCs w:val="21"/>
          <w:highlight w:val="none"/>
          <w:lang w:val="en-US" w:eastAsia="zh-CN"/>
        </w:rPr>
        <w:t>)</w:t>
      </w:r>
      <w:r>
        <w:rPr>
          <w:rFonts w:hint="eastAsia" w:ascii="宋体" w:hAnsi="宋体" w:eastAsia="宋体" w:cs="Times New Roman"/>
          <w:szCs w:val="21"/>
          <w:highlight w:val="none"/>
          <w:lang w:val="en-US"/>
        </w:rPr>
        <w:t>预约信息支持新增、修改、查询预约业务全量数据。</w:t>
      </w:r>
      <w:r>
        <w:rPr>
          <w:rFonts w:hint="eastAsia" w:ascii="宋体" w:hAnsi="宋体" w:eastAsia="宋体" w:cs="Times New Roman"/>
          <w:szCs w:val="21"/>
          <w:highlight w:val="none"/>
          <w:lang w:val="en-US" w:eastAsia="zh-CN"/>
        </w:rPr>
        <w:t>支持</w:t>
      </w:r>
      <w:r>
        <w:rPr>
          <w:rFonts w:hint="eastAsia" w:ascii="宋体" w:hAnsi="宋体" w:eastAsia="宋体" w:cs="Times New Roman"/>
          <w:szCs w:val="21"/>
          <w:highlight w:val="none"/>
          <w:lang w:val="en-US"/>
        </w:rPr>
        <w:t>预约事项维护</w:t>
      </w:r>
      <w:r>
        <w:rPr>
          <w:rFonts w:hint="eastAsia" w:ascii="宋体" w:hAnsi="宋体" w:eastAsia="宋体" w:cs="Times New Roman"/>
          <w:szCs w:val="21"/>
          <w:highlight w:val="none"/>
          <w:lang w:val="en-US" w:eastAsia="zh-CN"/>
        </w:rPr>
        <w:t>与配置</w:t>
      </w:r>
      <w:r>
        <w:rPr>
          <w:rFonts w:hint="eastAsia" w:ascii="宋体" w:hAnsi="宋体" w:eastAsia="宋体" w:cs="Times New Roman"/>
          <w:szCs w:val="21"/>
          <w:highlight w:val="none"/>
          <w:lang w:val="en-US"/>
        </w:rPr>
        <w:t>。</w:t>
      </w:r>
    </w:p>
    <w:p w14:paraId="6D94A048">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rPr>
      </w:pPr>
      <w:r>
        <w:rPr>
          <w:rFonts w:hint="eastAsia" w:ascii="宋体" w:hAnsi="宋体" w:eastAsia="宋体" w:cs="Times New Roman"/>
          <w:b/>
          <w:bCs/>
          <w:szCs w:val="21"/>
          <w:highlight w:val="none"/>
          <w:lang w:val="en-US"/>
        </w:rPr>
        <w:t>4.9</w:t>
      </w:r>
      <w:r>
        <w:rPr>
          <w:rFonts w:hint="eastAsia" w:ascii="宋体" w:hAnsi="宋体" w:eastAsia="宋体" w:cs="Times New Roman"/>
          <w:b/>
          <w:bCs/>
          <w:szCs w:val="21"/>
          <w:highlight w:val="none"/>
          <w:lang w:val="en-US" w:eastAsia="zh-CN"/>
        </w:rPr>
        <w:t>.</w:t>
      </w:r>
      <w:r>
        <w:rPr>
          <w:rFonts w:hint="eastAsia" w:ascii="宋体" w:hAnsi="宋体" w:eastAsia="宋体" w:cs="Times New Roman"/>
          <w:b/>
          <w:bCs/>
          <w:szCs w:val="21"/>
          <w:highlight w:val="none"/>
          <w:lang w:val="en-US"/>
        </w:rPr>
        <w:t>预约规则与黑名单服务</w:t>
      </w:r>
    </w:p>
    <w:p w14:paraId="17CC9A98">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rPr>
      </w:pPr>
      <w:r>
        <w:rPr>
          <w:rFonts w:hint="eastAsia" w:ascii="宋体" w:hAnsi="宋体" w:eastAsia="宋体" w:cs="Times New Roman"/>
          <w:szCs w:val="21"/>
          <w:highlight w:val="none"/>
          <w:lang w:val="en-US"/>
        </w:rPr>
        <w:t>1</w:t>
      </w:r>
      <w:r>
        <w:rPr>
          <w:rFonts w:hint="eastAsia" w:ascii="宋体" w:hAnsi="宋体" w:eastAsia="宋体" w:cs="Times New Roman"/>
          <w:szCs w:val="21"/>
          <w:highlight w:val="none"/>
          <w:lang w:val="en-US" w:eastAsia="zh-CN"/>
        </w:rPr>
        <w:t>)</w:t>
      </w:r>
      <w:r>
        <w:rPr>
          <w:rFonts w:hint="eastAsia" w:ascii="宋体" w:hAnsi="宋体" w:eastAsia="宋体" w:cs="Times New Roman"/>
          <w:szCs w:val="21"/>
          <w:highlight w:val="none"/>
          <w:lang w:val="en-US"/>
        </w:rPr>
        <w:t>预约规则配置预约管控策略，包含规则名称、单人单日最大预约数、同一事项单日预约上限等</w:t>
      </w:r>
      <w:r>
        <w:rPr>
          <w:rFonts w:hint="eastAsia" w:ascii="宋体" w:hAnsi="宋体" w:eastAsia="宋体" w:cs="Times New Roman"/>
          <w:szCs w:val="21"/>
          <w:highlight w:val="none"/>
          <w:lang w:val="en-US" w:eastAsia="zh-CN"/>
        </w:rPr>
        <w:t>;支持黑名单配置功能。</w:t>
      </w:r>
    </w:p>
    <w:p w14:paraId="0A7C2F0B">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rPr>
      </w:pPr>
      <w:r>
        <w:rPr>
          <w:rFonts w:hint="eastAsia" w:ascii="宋体" w:hAnsi="宋体" w:eastAsia="宋体" w:cs="Times New Roman"/>
          <w:b/>
          <w:bCs/>
          <w:szCs w:val="21"/>
          <w:highlight w:val="none"/>
          <w:lang w:val="en-US"/>
        </w:rPr>
        <w:t>4.10</w:t>
      </w:r>
      <w:r>
        <w:rPr>
          <w:rFonts w:hint="eastAsia" w:ascii="宋体" w:hAnsi="宋体" w:eastAsia="宋体" w:cs="Times New Roman"/>
          <w:b/>
          <w:bCs/>
          <w:szCs w:val="21"/>
          <w:highlight w:val="none"/>
          <w:lang w:val="en-US" w:eastAsia="zh-CN"/>
        </w:rPr>
        <w:t>.</w:t>
      </w:r>
      <w:r>
        <w:rPr>
          <w:rFonts w:hint="eastAsia" w:ascii="宋体" w:hAnsi="宋体" w:eastAsia="宋体" w:cs="Times New Roman"/>
          <w:b/>
          <w:bCs/>
          <w:szCs w:val="21"/>
          <w:highlight w:val="none"/>
          <w:lang w:val="en-US"/>
        </w:rPr>
        <w:t>预约主题与区划网点事项与事项信息服务</w:t>
      </w:r>
    </w:p>
    <w:p w14:paraId="4C3421E4">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rPr>
      </w:pPr>
      <w:r>
        <w:rPr>
          <w:rFonts w:hint="eastAsia" w:ascii="宋体" w:hAnsi="宋体" w:eastAsia="宋体" w:cs="Times New Roman"/>
          <w:szCs w:val="21"/>
          <w:highlight w:val="none"/>
          <w:lang w:val="en-US"/>
        </w:rPr>
        <w:t>1</w:t>
      </w:r>
      <w:r>
        <w:rPr>
          <w:rFonts w:hint="eastAsia" w:ascii="宋体" w:hAnsi="宋体" w:eastAsia="宋体" w:cs="Times New Roman"/>
          <w:szCs w:val="21"/>
          <w:highlight w:val="none"/>
          <w:lang w:val="en-US" w:eastAsia="zh-CN"/>
        </w:rPr>
        <w:t>)</w:t>
      </w:r>
      <w:r>
        <w:rPr>
          <w:rFonts w:hint="eastAsia" w:ascii="宋体" w:hAnsi="宋体" w:eastAsia="宋体" w:cs="Times New Roman"/>
          <w:szCs w:val="21"/>
          <w:highlight w:val="none"/>
          <w:lang w:val="en-US"/>
        </w:rPr>
        <w:t>预约主题支持事项主题的新建、编辑、删除、检索、列表导出及属性配置。</w:t>
      </w:r>
    </w:p>
    <w:p w14:paraId="1E46956D">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rPr>
      </w:pPr>
      <w:r>
        <w:rPr>
          <w:rFonts w:hint="eastAsia" w:ascii="宋体" w:hAnsi="宋体" w:eastAsia="宋体" w:cs="Times New Roman"/>
          <w:szCs w:val="21"/>
          <w:highlight w:val="none"/>
          <w:lang w:val="en-US" w:eastAsia="zh-CN"/>
        </w:rPr>
        <w:t>2)</w:t>
      </w:r>
      <w:r>
        <w:rPr>
          <w:rFonts w:hint="eastAsia" w:ascii="宋体" w:hAnsi="宋体" w:eastAsia="宋体" w:cs="Times New Roman"/>
          <w:szCs w:val="21"/>
          <w:highlight w:val="none"/>
          <w:lang w:val="en-US"/>
        </w:rPr>
        <w:t>区划网点事项实现市、县、街道网点预约集中管理，可批量控制事项预约通道开关，配置事项主题、办理类型、代办、属地办理属性。</w:t>
      </w:r>
    </w:p>
    <w:p w14:paraId="02898061">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rPr>
      </w:pPr>
      <w:r>
        <w:rPr>
          <w:rFonts w:hint="eastAsia" w:ascii="宋体" w:hAnsi="宋体" w:eastAsia="宋体" w:cs="Times New Roman"/>
          <w:szCs w:val="21"/>
          <w:highlight w:val="none"/>
          <w:lang w:val="en-US" w:eastAsia="zh-CN"/>
        </w:rPr>
        <w:t>3)</w:t>
      </w:r>
      <w:r>
        <w:rPr>
          <w:rFonts w:hint="eastAsia" w:ascii="宋体" w:hAnsi="宋体" w:eastAsia="宋体" w:cs="Times New Roman"/>
          <w:szCs w:val="21"/>
          <w:highlight w:val="none"/>
          <w:lang w:val="en-US"/>
        </w:rPr>
        <w:t>事项信息支持单条新增及批量导入，维护事项名称、法定期限、主管部门、办理渠道、承诺时限、启用状态等属性。</w:t>
      </w:r>
    </w:p>
    <w:p w14:paraId="35F7E26E">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rPr>
      </w:pPr>
      <w:r>
        <w:rPr>
          <w:rFonts w:hint="eastAsia" w:ascii="宋体" w:hAnsi="宋体" w:eastAsia="宋体" w:cs="Times New Roman"/>
          <w:b/>
          <w:bCs/>
          <w:szCs w:val="21"/>
          <w:highlight w:val="none"/>
          <w:lang w:val="en-US"/>
        </w:rPr>
        <w:t>4.11</w:t>
      </w:r>
      <w:r>
        <w:rPr>
          <w:rFonts w:hint="eastAsia" w:ascii="宋体" w:hAnsi="宋体" w:eastAsia="宋体" w:cs="Times New Roman"/>
          <w:b/>
          <w:bCs/>
          <w:szCs w:val="21"/>
          <w:highlight w:val="none"/>
          <w:lang w:val="en-US" w:eastAsia="zh-CN"/>
        </w:rPr>
        <w:t>.</w:t>
      </w:r>
      <w:r>
        <w:rPr>
          <w:rFonts w:hint="eastAsia" w:ascii="宋体" w:hAnsi="宋体" w:eastAsia="宋体" w:cs="Times New Roman"/>
          <w:b/>
          <w:bCs/>
          <w:szCs w:val="21"/>
          <w:highlight w:val="none"/>
          <w:lang w:val="en-US"/>
        </w:rPr>
        <w:t>取号地址管理与队列管理与时段</w:t>
      </w:r>
      <w:r>
        <w:rPr>
          <w:rFonts w:hint="eastAsia" w:ascii="宋体" w:hAnsi="宋体" w:eastAsia="宋体" w:cs="Times New Roman"/>
          <w:b/>
          <w:bCs/>
          <w:szCs w:val="21"/>
          <w:highlight w:val="none"/>
          <w:lang w:val="en-US" w:eastAsia="zh-CN"/>
        </w:rPr>
        <w:t>模板</w:t>
      </w:r>
      <w:r>
        <w:rPr>
          <w:rFonts w:hint="eastAsia" w:ascii="宋体" w:hAnsi="宋体" w:eastAsia="宋体" w:cs="Times New Roman"/>
          <w:b/>
          <w:bCs/>
          <w:szCs w:val="21"/>
          <w:highlight w:val="none"/>
          <w:lang w:val="en-US"/>
        </w:rPr>
        <w:t>服务</w:t>
      </w:r>
    </w:p>
    <w:p w14:paraId="30496982">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rPr>
      </w:pPr>
      <w:r>
        <w:rPr>
          <w:rFonts w:hint="eastAsia" w:ascii="宋体" w:hAnsi="宋体" w:eastAsia="宋体" w:cs="Times New Roman"/>
          <w:szCs w:val="21"/>
          <w:highlight w:val="none"/>
          <w:lang w:val="en-US"/>
        </w:rPr>
        <w:t>1</w:t>
      </w:r>
      <w:r>
        <w:rPr>
          <w:rFonts w:hint="eastAsia" w:ascii="宋体" w:hAnsi="宋体" w:eastAsia="宋体" w:cs="Times New Roman"/>
          <w:szCs w:val="21"/>
          <w:highlight w:val="none"/>
          <w:lang w:val="en-US" w:eastAsia="zh-CN"/>
        </w:rPr>
        <w:t>)</w:t>
      </w:r>
      <w:r>
        <w:rPr>
          <w:rFonts w:hint="eastAsia" w:ascii="宋体" w:hAnsi="宋体" w:eastAsia="宋体" w:cs="Times New Roman"/>
          <w:szCs w:val="21"/>
          <w:highlight w:val="none"/>
          <w:lang w:val="en-US"/>
        </w:rPr>
        <w:t xml:space="preserve"> 取号地址管理完成组织编码与办事取号地址关联，保障预约大厅定位准确。队列管理依托组织编码，按业务类型、服务窗口创建大厅业务队列，实现业务精细化调度。</w:t>
      </w:r>
    </w:p>
    <w:p w14:paraId="4887123E">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rPr>
      </w:pPr>
      <w:r>
        <w:rPr>
          <w:rFonts w:hint="eastAsia" w:ascii="宋体" w:hAnsi="宋体" w:eastAsia="宋体" w:cs="Times New Roman"/>
          <w:szCs w:val="21"/>
          <w:highlight w:val="none"/>
          <w:lang w:val="en-US"/>
        </w:rPr>
        <w:t>2</w:t>
      </w:r>
      <w:r>
        <w:rPr>
          <w:rFonts w:hint="eastAsia" w:ascii="宋体" w:hAnsi="宋体" w:eastAsia="宋体" w:cs="Times New Roman"/>
          <w:szCs w:val="21"/>
          <w:highlight w:val="none"/>
          <w:lang w:val="en-US" w:eastAsia="zh-CN"/>
        </w:rPr>
        <w:t>)</w:t>
      </w:r>
      <w:r>
        <w:rPr>
          <w:rFonts w:hint="eastAsia" w:ascii="宋体" w:hAnsi="宋体" w:eastAsia="宋体" w:cs="Times New Roman"/>
          <w:szCs w:val="21"/>
          <w:highlight w:val="none"/>
          <w:lang w:val="en-US"/>
        </w:rPr>
        <w:t>时段</w:t>
      </w:r>
      <w:r>
        <w:rPr>
          <w:rFonts w:hint="eastAsia" w:ascii="宋体" w:hAnsi="宋体" w:eastAsia="宋体" w:cs="Times New Roman"/>
          <w:szCs w:val="21"/>
          <w:highlight w:val="none"/>
          <w:lang w:val="en-US" w:eastAsia="zh-CN"/>
        </w:rPr>
        <w:t>模板</w:t>
      </w:r>
      <w:r>
        <w:rPr>
          <w:rFonts w:hint="eastAsia" w:ascii="宋体" w:hAnsi="宋体" w:eastAsia="宋体" w:cs="Times New Roman"/>
          <w:szCs w:val="21"/>
          <w:highlight w:val="none"/>
          <w:lang w:val="en-US"/>
        </w:rPr>
        <w:t>维护预约起止时段；同步管理大厅工作人员档案，完成人员与预约事项绑定。</w:t>
      </w:r>
    </w:p>
    <w:p w14:paraId="30E068A9">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rPr>
      </w:pPr>
      <w:r>
        <w:rPr>
          <w:rFonts w:hint="eastAsia" w:ascii="宋体" w:hAnsi="宋体" w:eastAsia="宋体" w:cs="Times New Roman"/>
          <w:b/>
          <w:bCs/>
          <w:szCs w:val="21"/>
          <w:highlight w:val="none"/>
          <w:lang w:val="en-US"/>
        </w:rPr>
        <w:t>4.12</w:t>
      </w:r>
      <w:r>
        <w:rPr>
          <w:rFonts w:hint="eastAsia" w:ascii="宋体" w:hAnsi="宋体" w:eastAsia="宋体" w:cs="Times New Roman"/>
          <w:b/>
          <w:bCs/>
          <w:szCs w:val="21"/>
          <w:highlight w:val="none"/>
          <w:lang w:val="en-US" w:eastAsia="zh-CN"/>
        </w:rPr>
        <w:t>.</w:t>
      </w:r>
      <w:r>
        <w:rPr>
          <w:rFonts w:hint="eastAsia" w:ascii="宋体" w:hAnsi="宋体" w:eastAsia="宋体" w:cs="Times New Roman"/>
          <w:b/>
          <w:bCs/>
          <w:szCs w:val="21"/>
          <w:highlight w:val="none"/>
          <w:lang w:val="en-US"/>
        </w:rPr>
        <w:t>预约日期与热门事项服务</w:t>
      </w:r>
    </w:p>
    <w:p w14:paraId="7B389D13">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rPr>
      </w:pPr>
      <w:r>
        <w:rPr>
          <w:rFonts w:hint="eastAsia" w:ascii="宋体" w:hAnsi="宋体" w:eastAsia="宋体" w:cs="Times New Roman"/>
          <w:szCs w:val="21"/>
          <w:highlight w:val="none"/>
          <w:lang w:val="en-US"/>
        </w:rPr>
        <w:t>1</w:t>
      </w:r>
      <w:r>
        <w:rPr>
          <w:rFonts w:hint="eastAsia" w:ascii="宋体" w:hAnsi="宋体" w:eastAsia="宋体" w:cs="Times New Roman"/>
          <w:szCs w:val="21"/>
          <w:highlight w:val="none"/>
          <w:lang w:val="en-US" w:eastAsia="zh-CN"/>
        </w:rPr>
        <w:t>)</w:t>
      </w:r>
      <w:r>
        <w:rPr>
          <w:rFonts w:hint="eastAsia" w:ascii="宋体" w:hAnsi="宋体" w:eastAsia="宋体" w:cs="Times New Roman"/>
          <w:szCs w:val="21"/>
          <w:highlight w:val="none"/>
          <w:lang w:val="en-US"/>
        </w:rPr>
        <w:t>预约日期支持统一配置公共节假日，也可单独设置事项不可预约日期，支持根据实际业务动态调整预约可用性。</w:t>
      </w:r>
    </w:p>
    <w:p w14:paraId="61FC2029">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rPr>
      </w:pPr>
      <w:r>
        <w:rPr>
          <w:rFonts w:hint="eastAsia" w:ascii="宋体" w:hAnsi="宋体" w:eastAsia="宋体" w:cs="Times New Roman"/>
          <w:szCs w:val="21"/>
          <w:highlight w:val="none"/>
          <w:lang w:val="en-US"/>
        </w:rPr>
        <w:t>2</w:t>
      </w:r>
      <w:r>
        <w:rPr>
          <w:rFonts w:hint="eastAsia" w:ascii="宋体" w:hAnsi="宋体" w:eastAsia="宋体" w:cs="Times New Roman"/>
          <w:szCs w:val="21"/>
          <w:highlight w:val="none"/>
          <w:lang w:val="en-US" w:eastAsia="zh-CN"/>
        </w:rPr>
        <w:t>)</w:t>
      </w:r>
      <w:r>
        <w:rPr>
          <w:rFonts w:hint="eastAsia" w:ascii="宋体" w:hAnsi="宋体" w:eastAsia="宋体" w:cs="Times New Roman"/>
          <w:szCs w:val="21"/>
          <w:highlight w:val="none"/>
          <w:lang w:val="en-US"/>
        </w:rPr>
        <w:t>热门事项统计高频办理业务，为窗口调配、人力排班、服务资源优化提供数据支撑。</w:t>
      </w:r>
    </w:p>
    <w:p w14:paraId="4E339760">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rPr>
      </w:pPr>
      <w:r>
        <w:rPr>
          <w:rFonts w:hint="eastAsia" w:ascii="宋体" w:hAnsi="宋体" w:eastAsia="宋体" w:cs="Times New Roman"/>
          <w:b/>
          <w:bCs/>
          <w:szCs w:val="21"/>
          <w:highlight w:val="none"/>
          <w:lang w:val="en-US"/>
        </w:rPr>
        <w:t>4.13</w:t>
      </w:r>
      <w:r>
        <w:rPr>
          <w:rFonts w:hint="eastAsia" w:ascii="宋体" w:hAnsi="宋体" w:eastAsia="宋体" w:cs="Times New Roman"/>
          <w:b/>
          <w:bCs/>
          <w:szCs w:val="21"/>
          <w:highlight w:val="none"/>
          <w:lang w:val="en-US" w:eastAsia="zh-CN"/>
        </w:rPr>
        <w:t>.</w:t>
      </w:r>
      <w:r>
        <w:rPr>
          <w:rFonts w:hint="eastAsia" w:ascii="宋体" w:hAnsi="宋体" w:eastAsia="宋体" w:cs="Times New Roman"/>
          <w:b/>
          <w:bCs/>
          <w:szCs w:val="21"/>
          <w:highlight w:val="none"/>
          <w:lang w:val="en-US"/>
        </w:rPr>
        <w:t>数据推送质检与统一赋码与数据观测服务</w:t>
      </w:r>
    </w:p>
    <w:p w14:paraId="60C9899F">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rPr>
      </w:pPr>
      <w:r>
        <w:rPr>
          <w:rFonts w:hint="eastAsia" w:ascii="宋体" w:hAnsi="宋体" w:eastAsia="宋体" w:cs="Times New Roman"/>
          <w:szCs w:val="21"/>
          <w:highlight w:val="none"/>
          <w:lang w:val="en-US"/>
        </w:rPr>
        <w:t>1</w:t>
      </w:r>
      <w:r>
        <w:rPr>
          <w:rFonts w:hint="eastAsia" w:ascii="宋体" w:hAnsi="宋体" w:eastAsia="宋体" w:cs="Times New Roman"/>
          <w:szCs w:val="21"/>
          <w:highlight w:val="none"/>
          <w:lang w:val="en-US" w:eastAsia="zh-CN"/>
        </w:rPr>
        <w:t>)提供</w:t>
      </w:r>
      <w:r>
        <w:rPr>
          <w:rFonts w:hint="eastAsia" w:ascii="宋体" w:hAnsi="宋体" w:eastAsia="宋体" w:cs="Times New Roman"/>
          <w:szCs w:val="21"/>
          <w:highlight w:val="none"/>
          <w:lang w:val="en-US"/>
        </w:rPr>
        <w:t>数据推送行为的全量记录、状态跟踪与异常追溯能力，完成推送全流程留痕。</w:t>
      </w:r>
    </w:p>
    <w:p w14:paraId="459FDACE">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rPr>
      </w:pPr>
      <w:r>
        <w:rPr>
          <w:rFonts w:hint="eastAsia" w:ascii="宋体" w:hAnsi="宋体" w:eastAsia="宋体" w:cs="Times New Roman"/>
          <w:szCs w:val="21"/>
          <w:highlight w:val="none"/>
          <w:lang w:val="en-US"/>
        </w:rPr>
        <w:t>2</w:t>
      </w:r>
      <w:r>
        <w:rPr>
          <w:rFonts w:hint="eastAsia" w:ascii="宋体" w:hAnsi="宋体" w:eastAsia="宋体" w:cs="Times New Roman"/>
          <w:szCs w:val="21"/>
          <w:highlight w:val="none"/>
          <w:lang w:val="en-US" w:eastAsia="zh-CN"/>
        </w:rPr>
        <w:t>)</w:t>
      </w:r>
      <w:r>
        <w:rPr>
          <w:rFonts w:hint="eastAsia" w:ascii="宋体" w:hAnsi="宋体" w:eastAsia="宋体" w:cs="Times New Roman"/>
          <w:szCs w:val="21"/>
          <w:highlight w:val="none"/>
          <w:lang w:val="en-US"/>
        </w:rPr>
        <w:t xml:space="preserve">与省政务服务平台申报码系统进行对接，为排队系统、预约系统提供统一赋码功能。 </w:t>
      </w:r>
      <w:r>
        <w:rPr>
          <w:rFonts w:hint="eastAsia" w:ascii="宋体" w:hAnsi="宋体" w:eastAsia="宋体" w:cs="Times New Roman"/>
          <w:szCs w:val="21"/>
          <w:highlight w:val="none"/>
          <w:lang w:val="en-US" w:eastAsia="zh-CN"/>
        </w:rPr>
        <w:tab/>
      </w:r>
      <w:r>
        <w:rPr>
          <w:rFonts w:hint="eastAsia" w:ascii="宋体" w:hAnsi="宋体" w:eastAsia="宋体" w:cs="Times New Roman"/>
          <w:szCs w:val="21"/>
          <w:highlight w:val="none"/>
          <w:lang w:val="en-US" w:eastAsia="zh-CN"/>
        </w:rPr>
        <w:t>3)</w:t>
      </w:r>
      <w:r>
        <w:rPr>
          <w:rFonts w:hint="eastAsia" w:ascii="宋体" w:hAnsi="宋体" w:eastAsia="宋体" w:cs="Times New Roman"/>
          <w:szCs w:val="21"/>
          <w:highlight w:val="none"/>
          <w:lang w:val="en-US"/>
        </w:rPr>
        <w:t>数据观测根据权限开放业务数据查看，监控数据推送运行状态。</w:t>
      </w:r>
    </w:p>
    <w:p w14:paraId="4BDF44A0">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rPr>
      </w:pPr>
      <w:r>
        <w:rPr>
          <w:rFonts w:hint="eastAsia" w:ascii="宋体" w:hAnsi="宋体" w:eastAsia="宋体" w:cs="Times New Roman"/>
          <w:b/>
          <w:bCs/>
          <w:szCs w:val="21"/>
          <w:highlight w:val="none"/>
          <w:lang w:val="en-US"/>
        </w:rPr>
        <w:t>4.14</w:t>
      </w:r>
      <w:r>
        <w:rPr>
          <w:rFonts w:hint="eastAsia" w:ascii="宋体" w:hAnsi="宋体" w:eastAsia="宋体" w:cs="Times New Roman"/>
          <w:b/>
          <w:bCs/>
          <w:szCs w:val="21"/>
          <w:highlight w:val="none"/>
          <w:lang w:val="en-US" w:eastAsia="zh-CN"/>
        </w:rPr>
        <w:t>.</w:t>
      </w:r>
      <w:r>
        <w:rPr>
          <w:rFonts w:hint="eastAsia" w:ascii="宋体" w:hAnsi="宋体" w:eastAsia="宋体" w:cs="Times New Roman"/>
          <w:b/>
          <w:bCs/>
          <w:szCs w:val="21"/>
          <w:highlight w:val="none"/>
          <w:lang w:val="en-US"/>
        </w:rPr>
        <w:t>办件队列联动展示服务</w:t>
      </w:r>
    </w:p>
    <w:p w14:paraId="042150B5">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rPr>
      </w:pPr>
      <w:r>
        <w:rPr>
          <w:rFonts w:hint="eastAsia" w:ascii="宋体" w:hAnsi="宋体" w:eastAsia="宋体" w:cs="Times New Roman"/>
          <w:b/>
          <w:bCs/>
          <w:szCs w:val="21"/>
          <w:highlight w:val="none"/>
          <w:lang w:val="en-US" w:eastAsia="zh-CN"/>
        </w:rPr>
        <w:t>平台软件功能</w:t>
      </w:r>
    </w:p>
    <w:p w14:paraId="01F87B66">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rPr>
      </w:pPr>
      <w:r>
        <w:rPr>
          <w:rFonts w:hint="eastAsia" w:ascii="宋体" w:hAnsi="宋体" w:eastAsia="宋体" w:cs="Times New Roman"/>
          <w:szCs w:val="21"/>
          <w:highlight w:val="none"/>
          <w:lang w:val="en-US"/>
        </w:rPr>
        <w:t>1</w:t>
      </w:r>
      <w:r>
        <w:rPr>
          <w:rFonts w:hint="eastAsia" w:ascii="宋体" w:hAnsi="宋体" w:eastAsia="宋体" w:cs="Times New Roman"/>
          <w:szCs w:val="21"/>
          <w:highlight w:val="none"/>
          <w:lang w:val="en-US" w:eastAsia="zh-CN"/>
        </w:rPr>
        <w:t>)</w:t>
      </w:r>
      <w:r>
        <w:rPr>
          <w:rFonts w:hint="eastAsia" w:ascii="宋体" w:hAnsi="宋体" w:eastAsia="宋体" w:cs="Times New Roman"/>
          <w:szCs w:val="21"/>
          <w:highlight w:val="none"/>
          <w:lang w:val="en-US"/>
        </w:rPr>
        <w:t>支持窗口号自定义设置，可灵活绑定不同物理窗口</w:t>
      </w:r>
      <w:r>
        <w:rPr>
          <w:rFonts w:hint="eastAsia" w:ascii="宋体" w:hAnsi="宋体" w:eastAsia="宋体" w:cs="Times New Roman"/>
          <w:szCs w:val="21"/>
          <w:highlight w:val="none"/>
          <w:lang w:val="en-US" w:eastAsia="zh-CN"/>
        </w:rPr>
        <w:t>;</w:t>
      </w:r>
      <w:r>
        <w:rPr>
          <w:rFonts w:hint="eastAsia" w:ascii="宋体" w:hAnsi="宋体" w:eastAsia="宋体" w:cs="Times New Roman"/>
          <w:szCs w:val="21"/>
          <w:highlight w:val="none"/>
          <w:lang w:val="en-US"/>
        </w:rPr>
        <w:t>办件队列联动显示对接窗口 LED 屏、排队显示屏等终端，实时同步大厅办件队列、排队进度、等候人数信息，实现大厅排队信息可视化联动展示。</w:t>
      </w:r>
    </w:p>
    <w:p w14:paraId="7314C0D2">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eastAsia="zh-CN"/>
        </w:rPr>
      </w:pPr>
      <w:r>
        <w:rPr>
          <w:rFonts w:hint="eastAsia" w:ascii="宋体" w:hAnsi="宋体" w:eastAsia="宋体" w:cs="Times New Roman"/>
          <w:b/>
          <w:bCs/>
          <w:szCs w:val="21"/>
          <w:highlight w:val="none"/>
          <w:lang w:val="en-US" w:eastAsia="zh-CN"/>
        </w:rPr>
        <w:t>服务所需产品</w:t>
      </w:r>
    </w:p>
    <w:p w14:paraId="39D16CAB">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rPr>
      </w:pPr>
      <w:r>
        <w:rPr>
          <w:rFonts w:hint="eastAsia" w:ascii="宋体" w:hAnsi="宋体" w:eastAsia="宋体" w:cs="Times New Roman"/>
          <w:b/>
          <w:bCs/>
          <w:szCs w:val="21"/>
          <w:highlight w:val="none"/>
          <w:lang w:val="en-US"/>
        </w:rPr>
        <w:t>为满足以上服务</w:t>
      </w:r>
      <w:r>
        <w:rPr>
          <w:rFonts w:hint="eastAsia" w:ascii="宋体" w:hAnsi="宋体" w:eastAsia="宋体" w:cs="Times New Roman"/>
          <w:b/>
          <w:bCs/>
          <w:szCs w:val="21"/>
          <w:highlight w:val="none"/>
          <w:lang w:val="en-US" w:eastAsia="zh-CN"/>
        </w:rPr>
        <w:t>能力</w:t>
      </w:r>
      <w:r>
        <w:rPr>
          <w:rFonts w:hint="eastAsia" w:ascii="宋体" w:hAnsi="宋体" w:eastAsia="宋体" w:cs="Times New Roman"/>
          <w:b/>
          <w:bCs/>
          <w:szCs w:val="21"/>
          <w:highlight w:val="none"/>
          <w:lang w:val="en-US"/>
        </w:rPr>
        <w:t>，</w:t>
      </w:r>
      <w:r>
        <w:rPr>
          <w:rFonts w:hint="eastAsia" w:ascii="宋体" w:hAnsi="宋体" w:eastAsia="宋体" w:cs="Times New Roman"/>
          <w:b/>
          <w:bCs/>
          <w:szCs w:val="21"/>
          <w:highlight w:val="none"/>
          <w:lang w:val="en-US" w:eastAsia="zh-CN"/>
        </w:rPr>
        <w:t>供应商应</w:t>
      </w:r>
      <w:r>
        <w:rPr>
          <w:rFonts w:hint="eastAsia" w:ascii="宋体" w:hAnsi="宋体" w:cs="Times New Roman"/>
          <w:b/>
          <w:bCs/>
          <w:szCs w:val="21"/>
          <w:highlight w:val="none"/>
          <w:lang w:val="en-US" w:eastAsia="zh-CN"/>
        </w:rPr>
        <w:t>为本项目配备</w:t>
      </w:r>
      <w:r>
        <w:rPr>
          <w:rFonts w:hint="eastAsia" w:ascii="宋体" w:hAnsi="宋体" w:eastAsia="宋体" w:cs="Times New Roman"/>
          <w:b/>
          <w:bCs/>
          <w:szCs w:val="21"/>
          <w:highlight w:val="none"/>
          <w:lang w:val="en-US"/>
        </w:rPr>
        <w:t>以下产品:</w:t>
      </w:r>
    </w:p>
    <w:p w14:paraId="3B68F8DC">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eastAsia="zh-CN"/>
        </w:rPr>
      </w:pPr>
      <w:r>
        <w:rPr>
          <w:rFonts w:hint="eastAsia" w:ascii="宋体" w:hAnsi="宋体" w:eastAsia="宋体" w:cs="Times New Roman"/>
          <w:b/>
          <w:bCs/>
          <w:szCs w:val="21"/>
          <w:highlight w:val="none"/>
          <w:lang w:val="en-US" w:eastAsia="zh-CN"/>
        </w:rPr>
        <w:t>LED控制卡</w:t>
      </w:r>
    </w:p>
    <w:p w14:paraId="2CC377E8">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1）根据开封市政务服务大厅现场情况，建议电源应不低于3V，</w:t>
      </w:r>
      <w:r>
        <w:rPr>
          <w:rFonts w:hint="eastAsia" w:ascii="宋体" w:hAnsi="宋体" w:eastAsia="宋体" w:cs="Times New Roman"/>
          <w:szCs w:val="21"/>
          <w:highlight w:val="none"/>
          <w:lang w:val="en-US"/>
        </w:rPr>
        <w:t>通讯接口：RS485或无线；</w:t>
      </w:r>
      <w:r>
        <w:rPr>
          <w:rFonts w:hint="eastAsia" w:ascii="宋体" w:hAnsi="宋体" w:eastAsia="宋体" w:cs="Times New Roman"/>
          <w:szCs w:val="21"/>
          <w:highlight w:val="none"/>
          <w:lang w:val="en-US" w:eastAsia="zh-CN"/>
        </w:rPr>
        <w:t>主要用于驱动和管理大厅各类信息显示屏。</w:t>
      </w:r>
    </w:p>
    <w:p w14:paraId="45F50B2C">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rPr>
      </w:pPr>
      <w:r>
        <w:rPr>
          <w:rFonts w:hint="eastAsia" w:ascii="宋体" w:hAnsi="宋体" w:eastAsia="宋体" w:cs="Times New Roman"/>
          <w:szCs w:val="21"/>
          <w:highlight w:val="none"/>
          <w:lang w:val="en-US" w:eastAsia="zh-CN"/>
        </w:rPr>
        <w:t>2）</w:t>
      </w:r>
      <w:r>
        <w:rPr>
          <w:rFonts w:hint="eastAsia" w:ascii="宋体" w:hAnsi="宋体" w:eastAsia="宋体" w:cs="Times New Roman"/>
          <w:szCs w:val="21"/>
          <w:highlight w:val="none"/>
          <w:lang w:val="en-US"/>
        </w:rPr>
        <w:t>通讯协议：支持标准协议</w:t>
      </w:r>
      <w:r>
        <w:rPr>
          <w:rFonts w:hint="eastAsia" w:ascii="宋体" w:hAnsi="宋体" w:eastAsia="宋体" w:cs="Times New Roman"/>
          <w:szCs w:val="21"/>
          <w:highlight w:val="none"/>
          <w:lang w:val="en-US" w:eastAsia="zh-CN"/>
        </w:rPr>
        <w:t>(</w:t>
      </w:r>
      <w:r>
        <w:rPr>
          <w:rFonts w:hint="eastAsia" w:ascii="宋体" w:hAnsi="宋体" w:eastAsia="宋体" w:cs="Times New Roman"/>
          <w:szCs w:val="21"/>
          <w:highlight w:val="none"/>
          <w:lang w:val="en-US"/>
        </w:rPr>
        <w:t>如8N1/8E1格式</w:t>
      </w:r>
      <w:r>
        <w:rPr>
          <w:rFonts w:hint="eastAsia" w:ascii="宋体" w:hAnsi="宋体" w:eastAsia="宋体" w:cs="Times New Roman"/>
          <w:szCs w:val="21"/>
          <w:highlight w:val="none"/>
          <w:lang w:val="en-US" w:eastAsia="zh-CN"/>
        </w:rPr>
        <w:t>)；</w:t>
      </w:r>
      <w:r>
        <w:rPr>
          <w:rFonts w:hint="eastAsia" w:ascii="宋体" w:hAnsi="宋体" w:eastAsia="宋体" w:cs="Times New Roman"/>
          <w:szCs w:val="21"/>
          <w:highlight w:val="none"/>
          <w:lang w:val="en-US"/>
        </w:rPr>
        <w:t>提供二次开发包(SDK)</w:t>
      </w:r>
      <w:r>
        <w:rPr>
          <w:rFonts w:hint="eastAsia" w:ascii="宋体" w:hAnsi="宋体" w:eastAsia="宋体" w:cs="Times New Roman"/>
          <w:szCs w:val="21"/>
          <w:highlight w:val="none"/>
          <w:lang w:val="en-US" w:eastAsia="zh-CN"/>
        </w:rPr>
        <w:t>；</w:t>
      </w:r>
      <w:r>
        <w:rPr>
          <w:rFonts w:hint="eastAsia" w:ascii="宋体" w:hAnsi="宋体" w:eastAsia="宋体" w:cs="Times New Roman"/>
          <w:szCs w:val="21"/>
          <w:highlight w:val="none"/>
          <w:lang w:val="en-US"/>
        </w:rPr>
        <w:t>支持集群控制，</w:t>
      </w:r>
      <w:r>
        <w:rPr>
          <w:rFonts w:hint="eastAsia" w:ascii="宋体" w:hAnsi="宋体" w:eastAsia="宋体" w:cs="Times New Roman"/>
          <w:szCs w:val="21"/>
          <w:highlight w:val="none"/>
          <w:lang w:val="en-US" w:eastAsia="zh-CN"/>
        </w:rPr>
        <w:t>应具备</w:t>
      </w:r>
      <w:r>
        <w:rPr>
          <w:rFonts w:hint="eastAsia" w:ascii="宋体" w:hAnsi="宋体" w:eastAsia="宋体" w:cs="Times New Roman"/>
          <w:szCs w:val="21"/>
          <w:highlight w:val="none"/>
          <w:lang w:val="en-US"/>
        </w:rPr>
        <w:t>管理所有显示屏</w:t>
      </w:r>
      <w:r>
        <w:rPr>
          <w:rFonts w:hint="eastAsia" w:ascii="宋体" w:hAnsi="宋体" w:eastAsia="宋体" w:cs="Times New Roman"/>
          <w:szCs w:val="21"/>
          <w:highlight w:val="none"/>
          <w:lang w:val="en-US" w:eastAsia="zh-CN"/>
        </w:rPr>
        <w:t>的能力</w:t>
      </w:r>
      <w:r>
        <w:rPr>
          <w:rFonts w:hint="eastAsia" w:ascii="宋体" w:hAnsi="宋体" w:eastAsia="宋体" w:cs="Times New Roman"/>
          <w:szCs w:val="21"/>
          <w:highlight w:val="none"/>
          <w:lang w:val="en-US"/>
        </w:rPr>
        <w:t>。</w:t>
      </w:r>
    </w:p>
    <w:p w14:paraId="6FFA3AE2">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3）可接收排队叫号系统的实时数据并转换为显示内容，支持远程统一控制与内容更新。</w:t>
      </w:r>
    </w:p>
    <w:p w14:paraId="6E20BD18">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rPr>
      </w:pPr>
      <w:r>
        <w:rPr>
          <w:rFonts w:hint="eastAsia" w:ascii="宋体" w:hAnsi="宋体" w:eastAsia="宋体" w:cs="Times New Roman"/>
          <w:szCs w:val="21"/>
          <w:highlight w:val="none"/>
          <w:lang w:val="en-US" w:eastAsia="zh-CN"/>
        </w:rPr>
        <w:t>4）支持逐点校正与修缝功能，有效提高显示屏画质一致性。</w:t>
      </w:r>
    </w:p>
    <w:p w14:paraId="6785C14C">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eastAsia="zh-CN"/>
        </w:rPr>
      </w:pPr>
      <w:r>
        <w:rPr>
          <w:rFonts w:hint="eastAsia" w:ascii="宋体" w:hAnsi="宋体" w:eastAsia="宋体" w:cs="Times New Roman"/>
          <w:b/>
          <w:bCs/>
          <w:szCs w:val="21"/>
          <w:highlight w:val="none"/>
          <w:lang w:val="en-US" w:eastAsia="zh-CN"/>
        </w:rPr>
        <w:t>一体化显示终端</w:t>
      </w:r>
    </w:p>
    <w:p w14:paraId="1BFE1484">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rPr>
      </w:pPr>
      <w:r>
        <w:rPr>
          <w:rFonts w:hint="eastAsia" w:ascii="宋体" w:hAnsi="宋体" w:eastAsia="宋体" w:cs="Times New Roman"/>
          <w:szCs w:val="21"/>
          <w:highlight w:val="none"/>
          <w:lang w:val="en-US" w:eastAsia="zh-CN"/>
        </w:rPr>
        <w:t>1）</w:t>
      </w:r>
      <w:r>
        <w:rPr>
          <w:rFonts w:hint="eastAsia" w:ascii="宋体" w:hAnsi="宋体" w:eastAsia="宋体" w:cs="Times New Roman"/>
          <w:szCs w:val="21"/>
          <w:highlight w:val="none"/>
          <w:lang w:val="en-US"/>
        </w:rPr>
        <w:t>根据开封市政务服务大厅现场情况</w:t>
      </w:r>
      <w:r>
        <w:rPr>
          <w:rFonts w:hint="eastAsia" w:ascii="宋体" w:hAnsi="宋体" w:eastAsia="宋体" w:cs="Times New Roman"/>
          <w:szCs w:val="21"/>
          <w:highlight w:val="none"/>
          <w:lang w:val="en-US" w:eastAsia="zh-CN"/>
        </w:rPr>
        <w:t>，建议</w:t>
      </w:r>
      <w:r>
        <w:rPr>
          <w:rFonts w:hint="eastAsia" w:ascii="宋体" w:hAnsi="宋体" w:eastAsia="宋体" w:cs="Times New Roman"/>
          <w:szCs w:val="21"/>
          <w:highlight w:val="none"/>
          <w:lang w:val="en-US"/>
        </w:rPr>
        <w:t>CPU≥四核处理器；</w:t>
      </w:r>
      <w:r>
        <w:rPr>
          <w:rFonts w:hint="eastAsia" w:ascii="宋体" w:hAnsi="宋体" w:eastAsia="宋体" w:cs="Times New Roman"/>
          <w:szCs w:val="21"/>
          <w:highlight w:val="none"/>
          <w:lang w:val="en-US" w:eastAsia="zh-CN"/>
        </w:rPr>
        <w:t>运行</w:t>
      </w:r>
      <w:r>
        <w:rPr>
          <w:rFonts w:hint="eastAsia" w:ascii="宋体" w:hAnsi="宋体" w:eastAsia="宋体" w:cs="Times New Roman"/>
          <w:szCs w:val="21"/>
          <w:highlight w:val="none"/>
          <w:lang w:val="en-US"/>
        </w:rPr>
        <w:t>内存≥</w:t>
      </w:r>
      <w:r>
        <w:rPr>
          <w:rFonts w:hint="eastAsia" w:ascii="宋体" w:hAnsi="宋体" w:eastAsia="宋体" w:cs="Times New Roman"/>
          <w:szCs w:val="21"/>
          <w:highlight w:val="none"/>
          <w:lang w:val="en-US" w:eastAsia="zh-CN"/>
        </w:rPr>
        <w:t>2</w:t>
      </w:r>
      <w:r>
        <w:rPr>
          <w:rFonts w:hint="eastAsia" w:ascii="宋体" w:hAnsi="宋体" w:eastAsia="宋体" w:cs="Times New Roman"/>
          <w:szCs w:val="21"/>
          <w:highlight w:val="none"/>
          <w:lang w:val="en-US"/>
        </w:rPr>
        <w:t>G</w:t>
      </w:r>
      <w:r>
        <w:rPr>
          <w:rFonts w:hint="eastAsia" w:ascii="宋体" w:hAnsi="宋体" w:eastAsia="宋体" w:cs="Times New Roman"/>
          <w:szCs w:val="21"/>
          <w:highlight w:val="none"/>
          <w:lang w:val="en-US" w:eastAsia="zh-CN"/>
        </w:rPr>
        <w:t>；存储</w:t>
      </w:r>
      <w:r>
        <w:rPr>
          <w:rFonts w:hint="eastAsia" w:ascii="宋体" w:hAnsi="宋体" w:eastAsia="宋体" w:cs="Times New Roman"/>
          <w:szCs w:val="21"/>
          <w:highlight w:val="none"/>
          <w:lang w:val="en-US"/>
        </w:rPr>
        <w:t>≥</w:t>
      </w:r>
      <w:r>
        <w:rPr>
          <w:rFonts w:hint="eastAsia" w:ascii="宋体" w:hAnsi="宋体" w:eastAsia="宋体" w:cs="Times New Roman"/>
          <w:szCs w:val="21"/>
          <w:highlight w:val="none"/>
          <w:lang w:val="en-US" w:eastAsia="zh-CN"/>
        </w:rPr>
        <w:t>16</w:t>
      </w:r>
      <w:r>
        <w:rPr>
          <w:rFonts w:hint="eastAsia" w:ascii="宋体" w:hAnsi="宋体" w:eastAsia="宋体" w:cs="Times New Roman"/>
          <w:szCs w:val="21"/>
          <w:highlight w:val="none"/>
          <w:lang w:val="en-US"/>
        </w:rPr>
        <w:t>G</w:t>
      </w:r>
      <w:r>
        <w:rPr>
          <w:rFonts w:hint="eastAsia" w:ascii="宋体" w:hAnsi="宋体" w:eastAsia="宋体" w:cs="Times New Roman"/>
          <w:szCs w:val="21"/>
          <w:highlight w:val="none"/>
          <w:lang w:val="en-US" w:eastAsia="zh-CN"/>
        </w:rPr>
        <w:t>。</w:t>
      </w:r>
    </w:p>
    <w:p w14:paraId="11F90ADA">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2）</w:t>
      </w:r>
      <w:r>
        <w:rPr>
          <w:rFonts w:hint="eastAsia" w:ascii="宋体" w:hAnsi="宋体" w:eastAsia="宋体" w:cs="Times New Roman"/>
          <w:szCs w:val="21"/>
          <w:highlight w:val="none"/>
          <w:lang w:val="en-US"/>
        </w:rPr>
        <w:t>显示器：≥</w:t>
      </w:r>
      <w:r>
        <w:rPr>
          <w:rFonts w:hint="eastAsia" w:ascii="宋体" w:hAnsi="宋体" w:eastAsia="宋体" w:cs="Times New Roman"/>
          <w:szCs w:val="21"/>
          <w:highlight w:val="none"/>
          <w:lang w:val="en-US" w:eastAsia="zh-CN"/>
        </w:rPr>
        <w:t>10寸</w:t>
      </w:r>
      <w:r>
        <w:rPr>
          <w:rFonts w:hint="eastAsia" w:ascii="宋体" w:hAnsi="宋体" w:eastAsia="宋体" w:cs="Times New Roman"/>
          <w:szCs w:val="21"/>
          <w:highlight w:val="none"/>
          <w:lang w:val="en-US"/>
        </w:rPr>
        <w:t>液晶显示屏,分辨率：≥1080*1920,液晶面板亮度:</w:t>
      </w:r>
      <w:r>
        <w:rPr>
          <w:rFonts w:hint="eastAsia" w:ascii="宋体" w:hAnsi="宋体" w:eastAsia="宋体" w:cs="Times New Roman"/>
          <w:szCs w:val="21"/>
          <w:highlight w:val="none"/>
          <w:lang w:val="en-US" w:eastAsia="zh-CN"/>
        </w:rPr>
        <w:t>不低于2</w:t>
      </w:r>
      <w:r>
        <w:rPr>
          <w:rFonts w:hint="eastAsia" w:ascii="宋体" w:hAnsi="宋体" w:eastAsia="宋体" w:cs="Times New Roman"/>
          <w:szCs w:val="21"/>
          <w:highlight w:val="none"/>
          <w:lang w:val="en-US"/>
        </w:rPr>
        <w:t>50cd/m2,信号输入接口：</w:t>
      </w:r>
      <w:r>
        <w:rPr>
          <w:rFonts w:hint="eastAsia" w:ascii="宋体" w:hAnsi="宋体" w:eastAsia="宋体" w:cs="Times New Roman"/>
          <w:szCs w:val="21"/>
          <w:highlight w:val="none"/>
          <w:lang w:val="en-US" w:eastAsia="zh-CN"/>
        </w:rPr>
        <w:t>支持</w:t>
      </w:r>
      <w:r>
        <w:rPr>
          <w:rFonts w:hint="eastAsia" w:ascii="宋体" w:hAnsi="宋体" w:eastAsia="宋体" w:cs="Times New Roman"/>
          <w:szCs w:val="21"/>
          <w:highlight w:val="none"/>
          <w:lang w:val="en-US"/>
        </w:rPr>
        <w:t>LVDS输入</w:t>
      </w:r>
      <w:r>
        <w:rPr>
          <w:rFonts w:hint="eastAsia" w:ascii="宋体" w:hAnsi="宋体" w:eastAsia="宋体" w:cs="Times New Roman"/>
          <w:szCs w:val="21"/>
          <w:highlight w:val="none"/>
          <w:lang w:val="en-US" w:eastAsia="zh-CN"/>
        </w:rPr>
        <w:t>。</w:t>
      </w:r>
    </w:p>
    <w:p w14:paraId="2C199B19">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3）</w:t>
      </w:r>
      <w:r>
        <w:rPr>
          <w:rFonts w:hint="eastAsia" w:ascii="宋体" w:hAnsi="宋体" w:eastAsia="宋体" w:cs="Times New Roman"/>
          <w:szCs w:val="21"/>
          <w:highlight w:val="none"/>
          <w:lang w:val="en-US"/>
        </w:rPr>
        <w:t>平均无故障时间(MTBF)：不低于50,000小时,背光灯管寿命：不低于50,000小时,无人值守系统：可作为无人值守的自助服务终端</w:t>
      </w:r>
      <w:r>
        <w:rPr>
          <w:rFonts w:hint="eastAsia" w:ascii="宋体" w:hAnsi="宋体" w:eastAsia="宋体" w:cs="Times New Roman"/>
          <w:szCs w:val="21"/>
          <w:highlight w:val="none"/>
          <w:lang w:val="en-US" w:eastAsia="zh-CN"/>
        </w:rPr>
        <w:t>;</w:t>
      </w:r>
      <w:r>
        <w:rPr>
          <w:rFonts w:hint="eastAsia" w:ascii="宋体" w:hAnsi="宋体" w:eastAsia="宋体" w:cs="Times New Roman"/>
          <w:szCs w:val="21"/>
          <w:highlight w:val="none"/>
          <w:lang w:val="en-US"/>
        </w:rPr>
        <w:t>与排队叫号系统无缝对接当前呼叫信息</w:t>
      </w:r>
      <w:r>
        <w:rPr>
          <w:rFonts w:hint="eastAsia" w:ascii="宋体" w:hAnsi="宋体" w:eastAsia="宋体" w:cs="Times New Roman"/>
          <w:szCs w:val="21"/>
          <w:highlight w:val="none"/>
          <w:lang w:val="en-US" w:eastAsia="zh-CN"/>
        </w:rPr>
        <w:t>，</w:t>
      </w:r>
      <w:r>
        <w:rPr>
          <w:rFonts w:hint="eastAsia" w:ascii="宋体" w:hAnsi="宋体" w:eastAsia="宋体" w:cs="Times New Roman"/>
          <w:szCs w:val="21"/>
          <w:highlight w:val="none"/>
          <w:lang w:val="en-US"/>
        </w:rPr>
        <w:t>可突出显示</w:t>
      </w:r>
      <w:r>
        <w:rPr>
          <w:rFonts w:hint="eastAsia" w:ascii="宋体" w:hAnsi="宋体" w:eastAsia="宋体" w:cs="Times New Roman"/>
          <w:szCs w:val="21"/>
          <w:highlight w:val="none"/>
          <w:lang w:val="en-US" w:eastAsia="zh-CN"/>
        </w:rPr>
        <w:t>。</w:t>
      </w:r>
    </w:p>
    <w:p w14:paraId="39BA933F">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rPr>
      </w:pPr>
      <w:r>
        <w:rPr>
          <w:rFonts w:hint="eastAsia" w:ascii="宋体" w:hAnsi="宋体" w:eastAsia="宋体" w:cs="Times New Roman"/>
          <w:b/>
          <w:bCs/>
          <w:szCs w:val="21"/>
          <w:highlight w:val="none"/>
          <w:lang w:val="en-US"/>
        </w:rPr>
        <w:t>4.15</w:t>
      </w:r>
      <w:r>
        <w:rPr>
          <w:rFonts w:hint="eastAsia" w:ascii="宋体" w:hAnsi="宋体" w:eastAsia="宋体" w:cs="Times New Roman"/>
          <w:b/>
          <w:bCs/>
          <w:szCs w:val="21"/>
          <w:highlight w:val="none"/>
          <w:lang w:val="en-US" w:eastAsia="zh-CN"/>
        </w:rPr>
        <w:t>.</w:t>
      </w:r>
      <w:r>
        <w:rPr>
          <w:rFonts w:hint="eastAsia" w:ascii="宋体" w:hAnsi="宋体" w:eastAsia="宋体" w:cs="Times New Roman"/>
          <w:b/>
          <w:bCs/>
          <w:szCs w:val="21"/>
          <w:highlight w:val="none"/>
          <w:lang w:val="en-US"/>
        </w:rPr>
        <w:t>队列管理与分区管理服务</w:t>
      </w:r>
    </w:p>
    <w:p w14:paraId="108B2AEB">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rPr>
      </w:pPr>
      <w:r>
        <w:rPr>
          <w:rFonts w:hint="eastAsia" w:ascii="宋体" w:hAnsi="宋体" w:eastAsia="宋体" w:cs="Times New Roman"/>
          <w:b/>
          <w:bCs/>
          <w:szCs w:val="21"/>
          <w:highlight w:val="none"/>
          <w:lang w:val="en-US" w:eastAsia="zh-CN"/>
        </w:rPr>
        <w:t>平台软件功能</w:t>
      </w:r>
    </w:p>
    <w:p w14:paraId="41BCCD15">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rPr>
      </w:pPr>
      <w:r>
        <w:rPr>
          <w:rFonts w:hint="eastAsia" w:ascii="宋体" w:hAnsi="宋体" w:eastAsia="宋体" w:cs="Times New Roman"/>
          <w:szCs w:val="21"/>
          <w:highlight w:val="none"/>
          <w:lang w:val="en-US"/>
        </w:rPr>
        <w:t>1</w:t>
      </w:r>
      <w:r>
        <w:rPr>
          <w:rFonts w:hint="eastAsia" w:ascii="宋体" w:hAnsi="宋体" w:eastAsia="宋体" w:cs="Times New Roman"/>
          <w:szCs w:val="21"/>
          <w:highlight w:val="none"/>
          <w:lang w:val="en-US" w:eastAsia="zh-CN"/>
        </w:rPr>
        <w:t>)</w:t>
      </w:r>
      <w:r>
        <w:rPr>
          <w:rFonts w:hint="eastAsia" w:ascii="宋体" w:hAnsi="宋体" w:eastAsia="宋体" w:cs="Times New Roman"/>
          <w:szCs w:val="21"/>
          <w:highlight w:val="none"/>
          <w:lang w:val="en-US"/>
        </w:rPr>
        <w:t xml:space="preserve">队列管理：按大厅分区、业务类别划分排队叫号队列，管控取号流量，群众按对应队列办理取号业务。 </w:t>
      </w:r>
    </w:p>
    <w:p w14:paraId="54405F36">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rPr>
        <w:t>2</w:t>
      </w:r>
      <w:r>
        <w:rPr>
          <w:rFonts w:hint="eastAsia" w:ascii="宋体" w:hAnsi="宋体" w:eastAsia="宋体" w:cs="Times New Roman"/>
          <w:szCs w:val="21"/>
          <w:highlight w:val="none"/>
          <w:lang w:val="en-US" w:eastAsia="zh-CN"/>
        </w:rPr>
        <w:t>)</w:t>
      </w:r>
      <w:r>
        <w:rPr>
          <w:rFonts w:hint="eastAsia" w:ascii="宋体" w:hAnsi="宋体" w:eastAsia="宋体" w:cs="Times New Roman"/>
          <w:szCs w:val="21"/>
          <w:highlight w:val="none"/>
          <w:lang w:val="en-US"/>
        </w:rPr>
        <w:t>分区管理实现取号区域权限管控，结合大厅流量分配取号终端，限定业务对应取号设备，实现大厅业务区域化分流</w:t>
      </w:r>
      <w:r>
        <w:rPr>
          <w:rFonts w:hint="eastAsia" w:ascii="宋体" w:hAnsi="宋体" w:eastAsia="宋体" w:cs="Times New Roman"/>
          <w:szCs w:val="21"/>
          <w:highlight w:val="none"/>
          <w:lang w:val="en-US" w:eastAsia="zh-CN"/>
        </w:rPr>
        <w:t>。</w:t>
      </w:r>
    </w:p>
    <w:p w14:paraId="23E99109">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eastAsia="zh-CN"/>
        </w:rPr>
      </w:pPr>
      <w:r>
        <w:rPr>
          <w:rFonts w:hint="eastAsia" w:ascii="宋体" w:hAnsi="宋体" w:eastAsia="宋体" w:cs="Times New Roman"/>
          <w:b/>
          <w:bCs/>
          <w:szCs w:val="21"/>
          <w:highlight w:val="none"/>
          <w:lang w:val="en-US" w:eastAsia="zh-CN"/>
        </w:rPr>
        <w:t>服务所需产品</w:t>
      </w:r>
    </w:p>
    <w:p w14:paraId="211528CC">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rPr>
      </w:pPr>
      <w:r>
        <w:rPr>
          <w:rFonts w:hint="eastAsia" w:ascii="宋体" w:hAnsi="宋体" w:eastAsia="宋体" w:cs="Times New Roman"/>
          <w:b/>
          <w:bCs/>
          <w:szCs w:val="21"/>
          <w:highlight w:val="none"/>
          <w:lang w:val="en-US"/>
        </w:rPr>
        <w:t>为满足以上服务</w:t>
      </w:r>
      <w:r>
        <w:rPr>
          <w:rFonts w:hint="eastAsia" w:ascii="宋体" w:hAnsi="宋体" w:eastAsia="宋体" w:cs="Times New Roman"/>
          <w:b/>
          <w:bCs/>
          <w:szCs w:val="21"/>
          <w:highlight w:val="none"/>
          <w:lang w:val="en-US" w:eastAsia="zh-CN"/>
        </w:rPr>
        <w:t>能力</w:t>
      </w:r>
      <w:r>
        <w:rPr>
          <w:rFonts w:hint="eastAsia" w:ascii="宋体" w:hAnsi="宋体" w:eastAsia="宋体" w:cs="Times New Roman"/>
          <w:b/>
          <w:bCs/>
          <w:szCs w:val="21"/>
          <w:highlight w:val="none"/>
          <w:lang w:val="en-US"/>
        </w:rPr>
        <w:t>，</w:t>
      </w:r>
      <w:r>
        <w:rPr>
          <w:rFonts w:hint="eastAsia" w:ascii="宋体" w:hAnsi="宋体" w:eastAsia="宋体" w:cs="Times New Roman"/>
          <w:b/>
          <w:bCs/>
          <w:szCs w:val="21"/>
          <w:highlight w:val="none"/>
          <w:lang w:val="en-US" w:eastAsia="zh-CN"/>
        </w:rPr>
        <w:t>供应商应</w:t>
      </w:r>
      <w:r>
        <w:rPr>
          <w:rFonts w:hint="eastAsia" w:ascii="宋体" w:hAnsi="宋体" w:cs="Times New Roman"/>
          <w:b/>
          <w:bCs/>
          <w:szCs w:val="21"/>
          <w:highlight w:val="none"/>
          <w:lang w:val="en-US" w:eastAsia="zh-CN"/>
        </w:rPr>
        <w:t>为本项目配备</w:t>
      </w:r>
      <w:r>
        <w:rPr>
          <w:rFonts w:hint="eastAsia" w:ascii="宋体" w:hAnsi="宋体" w:eastAsia="宋体" w:cs="Times New Roman"/>
          <w:b/>
          <w:bCs/>
          <w:szCs w:val="21"/>
          <w:highlight w:val="none"/>
          <w:lang w:val="en-US"/>
        </w:rPr>
        <w:t>以下产品:</w:t>
      </w:r>
    </w:p>
    <w:p w14:paraId="476AA2C0">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rPr>
      </w:pPr>
      <w:r>
        <w:rPr>
          <w:rFonts w:hint="eastAsia" w:ascii="宋体" w:hAnsi="宋体" w:eastAsia="宋体" w:cs="Times New Roman"/>
          <w:b/>
          <w:bCs/>
          <w:szCs w:val="21"/>
          <w:highlight w:val="none"/>
          <w:lang w:val="en-US"/>
        </w:rPr>
        <w:t>无线收发模块</w:t>
      </w:r>
    </w:p>
    <w:p w14:paraId="11E27B89">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1)提供排队叫号系统内各终端间的无线数据传输通道，具备抗干扰能力强、传输稳定、覆盖范围满足大厅实际布局的特点。</w:t>
      </w:r>
    </w:p>
    <w:p w14:paraId="60A4A8E5">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2)支持呼叫信号、状态信息的实时可靠传递；支持透明数据传输。</w:t>
      </w:r>
    </w:p>
    <w:p w14:paraId="07D343C7">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3)通信距离应满足大厅实际覆盖需求，工作频段应支持多频道扩展以适应大型网络覆盖场景。</w:t>
      </w:r>
    </w:p>
    <w:p w14:paraId="7DF20F03">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eastAsia="zh-CN"/>
        </w:rPr>
      </w:pPr>
      <w:r>
        <w:rPr>
          <w:rFonts w:hint="eastAsia" w:ascii="宋体" w:hAnsi="宋体" w:eastAsia="宋体" w:cs="Times New Roman"/>
          <w:b/>
          <w:bCs/>
          <w:szCs w:val="21"/>
          <w:highlight w:val="none"/>
          <w:lang w:val="en-US" w:eastAsia="zh-CN"/>
        </w:rPr>
        <w:t>窗口呼叫与交互模块</w:t>
      </w:r>
    </w:p>
    <w:p w14:paraId="06F5EA21">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1)支持窗口工作人员通过按键和液晶屏完成叫号、重呼、过号等基本操作。</w:t>
      </w:r>
    </w:p>
    <w:p w14:paraId="1993318C">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2)具备数字显示与蜂鸣提示功能，可无线接收排队队列信息并响应呼叫指令。</w:t>
      </w:r>
    </w:p>
    <w:p w14:paraId="5CE60D74">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3)面向窗口工作人员提供一体化操作界面，运行预约叫号业务软件，支持双屏异显(工作人员操作屏与面向群众的展示屏)。</w:t>
      </w:r>
    </w:p>
    <w:p w14:paraId="597A5B2B">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4)集成高拍、身份证扫描、条码读取、语音采集及人脸识别(含活体检测)等模块，满足业务办理过程中的信息核验、材料采集与交互确认需求。</w:t>
      </w:r>
    </w:p>
    <w:p w14:paraId="61AF056D">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rPr>
      </w:pPr>
      <w:r>
        <w:rPr>
          <w:rFonts w:hint="eastAsia" w:ascii="宋体" w:hAnsi="宋体" w:eastAsia="宋体" w:cs="Times New Roman"/>
          <w:b/>
          <w:bCs/>
          <w:szCs w:val="21"/>
          <w:highlight w:val="none"/>
          <w:lang w:val="en-US"/>
        </w:rPr>
        <w:t>4.16</w:t>
      </w:r>
      <w:r>
        <w:rPr>
          <w:rFonts w:hint="eastAsia" w:ascii="宋体" w:hAnsi="宋体" w:eastAsia="宋体" w:cs="Times New Roman"/>
          <w:b/>
          <w:bCs/>
          <w:szCs w:val="21"/>
          <w:highlight w:val="none"/>
          <w:lang w:val="en-US" w:eastAsia="zh-CN"/>
        </w:rPr>
        <w:t>.</w:t>
      </w:r>
      <w:r>
        <w:rPr>
          <w:rFonts w:hint="eastAsia" w:ascii="宋体" w:hAnsi="宋体" w:eastAsia="宋体" w:cs="Times New Roman"/>
          <w:b/>
          <w:bCs/>
          <w:szCs w:val="21"/>
          <w:highlight w:val="none"/>
          <w:lang w:val="en-US"/>
        </w:rPr>
        <w:t>窗口信息管理与打印号票服务</w:t>
      </w:r>
    </w:p>
    <w:p w14:paraId="464C8F3C">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rPr>
      </w:pPr>
      <w:r>
        <w:rPr>
          <w:rFonts w:hint="eastAsia" w:ascii="宋体" w:hAnsi="宋体" w:eastAsia="宋体" w:cs="Times New Roman"/>
          <w:szCs w:val="21"/>
          <w:highlight w:val="none"/>
          <w:lang w:val="en-US"/>
        </w:rPr>
        <w:t>1</w:t>
      </w:r>
      <w:r>
        <w:rPr>
          <w:rFonts w:hint="eastAsia" w:ascii="宋体" w:hAnsi="宋体" w:eastAsia="宋体" w:cs="Times New Roman"/>
          <w:szCs w:val="21"/>
          <w:highlight w:val="none"/>
          <w:lang w:val="en-US" w:eastAsia="zh-CN"/>
        </w:rPr>
        <w:t>)</w:t>
      </w:r>
      <w:r>
        <w:rPr>
          <w:rFonts w:hint="eastAsia" w:ascii="宋体" w:hAnsi="宋体" w:eastAsia="宋体" w:cs="Times New Roman"/>
          <w:szCs w:val="21"/>
          <w:highlight w:val="none"/>
          <w:lang w:val="en-US"/>
        </w:rPr>
        <w:t>窗口信息管理：支持窗口信息新增、修改、删除，维护大厅窗口基础档案。</w:t>
      </w:r>
    </w:p>
    <w:p w14:paraId="48E3DBCA">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2)</w:t>
      </w:r>
      <w:r>
        <w:rPr>
          <w:rFonts w:hint="eastAsia" w:ascii="宋体" w:hAnsi="宋体" w:eastAsia="宋体" w:cs="Times New Roman"/>
          <w:szCs w:val="21"/>
          <w:highlight w:val="none"/>
          <w:lang w:val="en-US"/>
        </w:rPr>
        <w:t>打印号票依据打印模板输出排队小票，包含业务名称、承办单位、票号、办理区域、办事人基础信息及办理提示</w:t>
      </w:r>
      <w:r>
        <w:rPr>
          <w:rFonts w:hint="eastAsia" w:ascii="宋体" w:hAnsi="宋体" w:eastAsia="宋体" w:cs="Times New Roman"/>
          <w:szCs w:val="21"/>
          <w:highlight w:val="none"/>
          <w:lang w:val="en-US" w:eastAsia="zh-CN"/>
        </w:rPr>
        <w:t>。</w:t>
      </w:r>
    </w:p>
    <w:p w14:paraId="7BD69D6A">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rPr>
      </w:pPr>
      <w:r>
        <w:rPr>
          <w:rFonts w:hint="eastAsia" w:ascii="宋体" w:hAnsi="宋体" w:eastAsia="宋体" w:cs="Times New Roman"/>
          <w:b/>
          <w:bCs/>
          <w:szCs w:val="21"/>
          <w:highlight w:val="none"/>
          <w:lang w:val="en-US"/>
        </w:rPr>
        <w:t>4.17</w:t>
      </w:r>
      <w:r>
        <w:rPr>
          <w:rFonts w:hint="eastAsia" w:ascii="宋体" w:hAnsi="宋体" w:eastAsia="宋体" w:cs="Times New Roman"/>
          <w:b/>
          <w:bCs/>
          <w:szCs w:val="21"/>
          <w:highlight w:val="none"/>
          <w:lang w:val="en-US" w:eastAsia="zh-CN"/>
        </w:rPr>
        <w:t>.</w:t>
      </w:r>
      <w:r>
        <w:rPr>
          <w:rFonts w:hint="eastAsia" w:ascii="宋体" w:hAnsi="宋体" w:eastAsia="宋体" w:cs="Times New Roman"/>
          <w:b/>
          <w:bCs/>
          <w:szCs w:val="21"/>
          <w:highlight w:val="none"/>
          <w:lang w:val="en-US"/>
        </w:rPr>
        <w:t>消息提示与语音播报模块</w:t>
      </w:r>
    </w:p>
    <w:p w14:paraId="4710CF9B">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rPr>
      </w:pPr>
      <w:r>
        <w:rPr>
          <w:rFonts w:hint="eastAsia" w:ascii="宋体" w:hAnsi="宋体" w:eastAsia="宋体" w:cs="Times New Roman"/>
          <w:b/>
          <w:bCs/>
          <w:szCs w:val="21"/>
          <w:highlight w:val="none"/>
          <w:lang w:val="en-US" w:eastAsia="zh-CN"/>
        </w:rPr>
        <w:t>平台软件功能</w:t>
      </w:r>
    </w:p>
    <w:p w14:paraId="28DC98F7">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rPr>
      </w:pPr>
      <w:r>
        <w:rPr>
          <w:rFonts w:hint="eastAsia" w:ascii="宋体" w:hAnsi="宋体" w:eastAsia="宋体" w:cs="Times New Roman"/>
          <w:szCs w:val="21"/>
          <w:highlight w:val="none"/>
          <w:lang w:val="en-US"/>
        </w:rPr>
        <w:t>1</w:t>
      </w:r>
      <w:r>
        <w:rPr>
          <w:rFonts w:hint="eastAsia" w:ascii="宋体" w:hAnsi="宋体" w:eastAsia="宋体" w:cs="Times New Roman"/>
          <w:szCs w:val="21"/>
          <w:highlight w:val="none"/>
          <w:lang w:val="en-US" w:eastAsia="zh-CN"/>
        </w:rPr>
        <w:t>)</w:t>
      </w:r>
      <w:r>
        <w:rPr>
          <w:rFonts w:hint="eastAsia" w:ascii="宋体" w:hAnsi="宋体" w:eastAsia="宋体" w:cs="Times New Roman"/>
          <w:szCs w:val="21"/>
          <w:highlight w:val="none"/>
          <w:lang w:val="en-US"/>
        </w:rPr>
        <w:t>消息滚动提示：取号终端显示屏提供滚动通知栏，用于发布大厅紧急公告、业务提示。</w:t>
      </w:r>
    </w:p>
    <w:p w14:paraId="01BC6578">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rPr>
      </w:pPr>
      <w:r>
        <w:rPr>
          <w:rFonts w:hint="eastAsia" w:ascii="宋体" w:hAnsi="宋体" w:eastAsia="宋体" w:cs="Times New Roman"/>
          <w:szCs w:val="21"/>
          <w:highlight w:val="none"/>
          <w:lang w:val="en-US" w:eastAsia="zh-CN"/>
        </w:rPr>
        <w:t>2)</w:t>
      </w:r>
      <w:r>
        <w:rPr>
          <w:rFonts w:hint="eastAsia" w:ascii="宋体" w:hAnsi="宋体" w:eastAsia="宋体" w:cs="Times New Roman"/>
          <w:szCs w:val="21"/>
          <w:highlight w:val="none"/>
          <w:lang w:val="en-US"/>
        </w:rPr>
        <w:t>语音播报</w:t>
      </w:r>
      <w:r>
        <w:rPr>
          <w:rFonts w:hint="eastAsia" w:ascii="宋体" w:hAnsi="宋体" w:eastAsia="宋体" w:cs="Times New Roman"/>
          <w:szCs w:val="21"/>
          <w:highlight w:val="none"/>
          <w:lang w:val="en-US" w:eastAsia="zh-CN"/>
        </w:rPr>
        <w:t>支持</w:t>
      </w:r>
      <w:r>
        <w:rPr>
          <w:rFonts w:hint="eastAsia" w:ascii="宋体" w:hAnsi="宋体" w:eastAsia="宋体" w:cs="Times New Roman"/>
          <w:szCs w:val="21"/>
          <w:highlight w:val="none"/>
          <w:lang w:val="en-US"/>
        </w:rPr>
        <w:t>解析叫号文本，调用 TTS 能力或对接大厅广播接口，完成业务叫号语音播报。</w:t>
      </w:r>
    </w:p>
    <w:p w14:paraId="70DA54A5">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eastAsia="zh-CN"/>
        </w:rPr>
      </w:pPr>
      <w:r>
        <w:rPr>
          <w:rFonts w:hint="eastAsia" w:ascii="宋体" w:hAnsi="宋体" w:eastAsia="宋体" w:cs="Times New Roman"/>
          <w:b/>
          <w:bCs/>
          <w:szCs w:val="21"/>
          <w:highlight w:val="none"/>
          <w:lang w:val="en-US" w:eastAsia="zh-CN"/>
        </w:rPr>
        <w:t>服务所需产品</w:t>
      </w:r>
    </w:p>
    <w:p w14:paraId="457B1823">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rPr>
      </w:pPr>
      <w:r>
        <w:rPr>
          <w:rFonts w:hint="eastAsia" w:ascii="宋体" w:hAnsi="宋体" w:eastAsia="宋体" w:cs="Times New Roman"/>
          <w:b/>
          <w:bCs/>
          <w:szCs w:val="21"/>
          <w:highlight w:val="none"/>
          <w:lang w:val="en-US"/>
        </w:rPr>
        <w:t>为满足以上服务</w:t>
      </w:r>
      <w:r>
        <w:rPr>
          <w:rFonts w:hint="eastAsia" w:ascii="宋体" w:hAnsi="宋体" w:eastAsia="宋体" w:cs="Times New Roman"/>
          <w:b/>
          <w:bCs/>
          <w:szCs w:val="21"/>
          <w:highlight w:val="none"/>
          <w:lang w:val="en-US" w:eastAsia="zh-CN"/>
        </w:rPr>
        <w:t>能力</w:t>
      </w:r>
      <w:r>
        <w:rPr>
          <w:rFonts w:hint="eastAsia" w:ascii="宋体" w:hAnsi="宋体" w:eastAsia="宋体" w:cs="Times New Roman"/>
          <w:b/>
          <w:bCs/>
          <w:szCs w:val="21"/>
          <w:highlight w:val="none"/>
          <w:lang w:val="en-US"/>
        </w:rPr>
        <w:t>，</w:t>
      </w:r>
      <w:r>
        <w:rPr>
          <w:rFonts w:hint="eastAsia" w:ascii="宋体" w:hAnsi="宋体" w:eastAsia="宋体" w:cs="Times New Roman"/>
          <w:b/>
          <w:bCs/>
          <w:szCs w:val="21"/>
          <w:highlight w:val="none"/>
          <w:lang w:val="en-US" w:eastAsia="zh-CN"/>
        </w:rPr>
        <w:t>供应商应</w:t>
      </w:r>
      <w:r>
        <w:rPr>
          <w:rFonts w:hint="eastAsia" w:ascii="宋体" w:hAnsi="宋体" w:cs="Times New Roman"/>
          <w:b/>
          <w:bCs/>
          <w:szCs w:val="21"/>
          <w:highlight w:val="none"/>
          <w:lang w:val="en-US" w:eastAsia="zh-CN"/>
        </w:rPr>
        <w:t>为本项目配备</w:t>
      </w:r>
      <w:r>
        <w:rPr>
          <w:rFonts w:hint="eastAsia" w:ascii="宋体" w:hAnsi="宋体" w:eastAsia="宋体" w:cs="Times New Roman"/>
          <w:b/>
          <w:bCs/>
          <w:szCs w:val="21"/>
          <w:highlight w:val="none"/>
          <w:lang w:val="en-US"/>
        </w:rPr>
        <w:t>以下产品:</w:t>
      </w:r>
    </w:p>
    <w:p w14:paraId="3F03AF31">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eastAsia="zh-CN"/>
        </w:rPr>
      </w:pPr>
      <w:r>
        <w:rPr>
          <w:rFonts w:hint="eastAsia" w:ascii="宋体" w:hAnsi="宋体" w:eastAsia="宋体" w:cs="Times New Roman"/>
          <w:b/>
          <w:bCs/>
          <w:szCs w:val="21"/>
          <w:highlight w:val="none"/>
          <w:lang w:val="en-US"/>
        </w:rPr>
        <w:t>语音播放盒</w:t>
      </w:r>
    </w:p>
    <w:p w14:paraId="7547E481">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1)根据开封市政务服务大厅现场情况，建议额定功率不低于20W、灵敏度大于90dB,频率响应不低于80Hz。</w:t>
      </w:r>
    </w:p>
    <w:p w14:paraId="02E88DE8">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2)设备应支持多路音源输入(话筒及线路输入)，音量可独立调节，具备定压/定阻输出能力。支持多分区线路输出，每路输出音量单独可调。</w:t>
      </w:r>
    </w:p>
    <w:p w14:paraId="667698B3">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eastAsia="zh-CN"/>
        </w:rPr>
      </w:pPr>
    </w:p>
    <w:p w14:paraId="6B4BC414">
      <w:pPr>
        <w:keepNext w:val="0"/>
        <w:keepLines w:val="0"/>
        <w:pageBreakBefore w:val="0"/>
        <w:widowControl w:val="0"/>
        <w:kinsoku/>
        <w:wordWrap/>
        <w:overflowPunct/>
        <w:topLinePunct w:val="0"/>
        <w:autoSpaceDE/>
        <w:autoSpaceDN/>
        <w:bidi w:val="0"/>
        <w:adjustRightInd/>
        <w:snapToGrid/>
        <w:spacing w:line="560" w:lineRule="exact"/>
        <w:ind w:firstLine="241" w:firstLineChars="100"/>
        <w:textAlignment w:val="auto"/>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（四）项目运维服务要求</w:t>
      </w:r>
    </w:p>
    <w:p w14:paraId="2CF8B8D2">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color w:val="auto"/>
          <w:sz w:val="28"/>
          <w:szCs w:val="36"/>
          <w:highlight w:val="none"/>
        </w:rPr>
        <w:t>*</w:t>
      </w:r>
      <w:r>
        <w:rPr>
          <w:rFonts w:hint="eastAsia" w:ascii="宋体" w:hAnsi="宋体" w:eastAsia="宋体" w:cs="Times New Roman"/>
          <w:szCs w:val="21"/>
          <w:highlight w:val="none"/>
          <w:lang w:val="en-US" w:eastAsia="zh-CN"/>
        </w:rPr>
        <w:t>须建立完善的运维保障体系，组建专业运维团队，运维期内须安排不少于2名专业技术人员驻场，运维期限不少于2年。</w:t>
      </w:r>
    </w:p>
    <w:p w14:paraId="482D1A24">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须制定管理制度，对系统及数据接口进行常态化监控与维护，建立主动安全运维机制并持续满足等保要求，对硬件基础设施进行统一纳管与巡检维护，确保系统稳定运行。</w:t>
      </w:r>
    </w:p>
    <w:p w14:paraId="1E008AA8">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须制定完善的应急响应与保障措施，建立应急组织架构与风险预警机制，明确突发事件分级标准与处置流程，确保快速响应与恢复；配备必要应急资源，定期开展应急演练，并根据演练结果持续优化完善，确保系统安全稳定运行。</w:t>
      </w:r>
    </w:p>
    <w:p w14:paraId="1778E3CC">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宋体"/>
          <w:b/>
          <w:bCs/>
          <w:sz w:val="24"/>
          <w:szCs w:val="24"/>
          <w:highlight w:val="none"/>
          <w:lang w:val="en-US" w:eastAsia="zh-CN"/>
        </w:rPr>
      </w:pPr>
    </w:p>
    <w:p w14:paraId="588435BA">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w:t>
      </w:r>
      <w:r>
        <w:rPr>
          <w:rFonts w:hint="eastAsia" w:ascii="宋体" w:hAnsi="宋体" w:cs="宋体"/>
          <w:b/>
          <w:bCs/>
          <w:sz w:val="24"/>
          <w:szCs w:val="24"/>
          <w:highlight w:val="none"/>
          <w:lang w:val="en-US" w:eastAsia="zh-CN"/>
        </w:rPr>
        <w:t>五</w:t>
      </w:r>
      <w:r>
        <w:rPr>
          <w:rFonts w:hint="eastAsia" w:ascii="宋体" w:hAnsi="宋体" w:eastAsia="宋体" w:cs="宋体"/>
          <w:b/>
          <w:bCs/>
          <w:sz w:val="24"/>
          <w:szCs w:val="24"/>
          <w:highlight w:val="none"/>
          <w:lang w:val="en-US" w:eastAsia="zh-CN"/>
        </w:rPr>
        <w:t>）其他</w:t>
      </w:r>
      <w:r>
        <w:rPr>
          <w:rFonts w:hint="eastAsia" w:ascii="宋体" w:hAnsi="宋体" w:cs="宋体"/>
          <w:b/>
          <w:bCs/>
          <w:sz w:val="24"/>
          <w:szCs w:val="24"/>
          <w:highlight w:val="none"/>
          <w:lang w:val="en-US" w:eastAsia="zh-CN"/>
        </w:rPr>
        <w:t>要求及</w:t>
      </w:r>
      <w:r>
        <w:rPr>
          <w:rFonts w:hint="eastAsia" w:ascii="宋体" w:hAnsi="宋体" w:eastAsia="宋体" w:cs="宋体"/>
          <w:b/>
          <w:bCs/>
          <w:sz w:val="24"/>
          <w:szCs w:val="24"/>
          <w:highlight w:val="none"/>
          <w:lang w:val="en-US" w:eastAsia="zh-CN"/>
        </w:rPr>
        <w:t>需求</w:t>
      </w:r>
    </w:p>
    <w:p w14:paraId="2B03E7F4">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default" w:ascii="宋体" w:hAnsi="宋体" w:eastAsia="宋体" w:cs="Times New Roman"/>
          <w:b/>
          <w:bCs/>
          <w:szCs w:val="21"/>
          <w:highlight w:val="none"/>
          <w:lang w:val="en-US" w:eastAsia="zh-CN"/>
        </w:rPr>
      </w:pPr>
      <w:r>
        <w:rPr>
          <w:rFonts w:hint="eastAsia" w:ascii="宋体" w:hAnsi="宋体" w:cs="Times New Roman"/>
          <w:b/>
          <w:bCs/>
          <w:szCs w:val="21"/>
          <w:highlight w:val="none"/>
          <w:lang w:val="en-US" w:eastAsia="zh-CN"/>
        </w:rPr>
        <w:t>1</w:t>
      </w:r>
      <w:r>
        <w:rPr>
          <w:rFonts w:hint="eastAsia" w:ascii="宋体" w:hAnsi="宋体" w:eastAsia="宋体" w:cs="Times New Roman"/>
          <w:b/>
          <w:bCs/>
          <w:szCs w:val="21"/>
          <w:highlight w:val="none"/>
          <w:lang w:val="en-US" w:eastAsia="zh-CN"/>
        </w:rPr>
        <w:t>.接口类服务和数据共享的需求</w:t>
      </w:r>
    </w:p>
    <w:p w14:paraId="4C75D959">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接口类服务涵盖接口需求分析、技术选型、设计规范、异常处理机制、安全保障及联调测试等内容，确保与外部系统高效稳定对接。须遵循统一设计规范，具备完善的容错与安全管控能力，保障系统间数据互通与业务协同。</w:t>
      </w:r>
    </w:p>
    <w:p w14:paraId="178490D6">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szCs w:val="21"/>
          <w:highlight w:val="none"/>
          <w:lang w:val="en-US"/>
        </w:rPr>
        <w:t>数据</w:t>
      </w:r>
      <w:r>
        <w:rPr>
          <w:rFonts w:hint="eastAsia" w:ascii="宋体" w:hAnsi="宋体"/>
          <w:szCs w:val="21"/>
          <w:highlight w:val="none"/>
          <w:lang w:val="en-US" w:eastAsia="zh-CN"/>
        </w:rPr>
        <w:t>共享</w:t>
      </w:r>
      <w:r>
        <w:rPr>
          <w:rFonts w:hint="eastAsia" w:ascii="宋体" w:hAnsi="宋体"/>
          <w:szCs w:val="21"/>
          <w:highlight w:val="none"/>
          <w:lang w:val="en-US"/>
        </w:rPr>
        <w:t>需求</w:t>
      </w:r>
      <w:r>
        <w:rPr>
          <w:rFonts w:hint="eastAsia" w:ascii="宋体" w:hAnsi="宋体" w:eastAsia="宋体" w:cs="Times New Roman"/>
          <w:szCs w:val="21"/>
          <w:highlight w:val="none"/>
          <w:lang w:val="en-US" w:eastAsia="zh-CN"/>
        </w:rPr>
        <w:t>须实现跨区域及本市各部门间的数据共享交换，基于统一平台完成与相关核心业务系统的对接，打通关键数据服务，为跨域通办和“一件事一次办”提供支撑。同时须将各区县数据纳入统一管理，构建信息资源目录体系，实现服务接口的统一编目、注册、生命周期管理和授权导航，确保各类服务能力可查、可用、可管。</w:t>
      </w:r>
    </w:p>
    <w:p w14:paraId="522C0CB0">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eastAsia="zh-CN"/>
        </w:rPr>
      </w:pPr>
      <w:r>
        <w:rPr>
          <w:rFonts w:hint="eastAsia" w:ascii="宋体" w:hAnsi="宋体" w:cs="Times New Roman"/>
          <w:b/>
          <w:bCs/>
          <w:szCs w:val="21"/>
          <w:highlight w:val="none"/>
          <w:lang w:val="en-US" w:eastAsia="zh-CN"/>
        </w:rPr>
        <w:t>2</w:t>
      </w:r>
      <w:r>
        <w:rPr>
          <w:rFonts w:hint="eastAsia" w:ascii="宋体" w:hAnsi="宋体" w:eastAsia="宋体" w:cs="Times New Roman"/>
          <w:b/>
          <w:bCs/>
          <w:szCs w:val="21"/>
          <w:highlight w:val="none"/>
          <w:lang w:val="en-US" w:eastAsia="zh-CN"/>
        </w:rPr>
        <w:t>.项目性能与安全要求</w:t>
      </w:r>
    </w:p>
    <w:p w14:paraId="504D4EBF">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性能与响应要求：系统架构应具备良好的扩展性和并发处理能力，能够充分满足业务高峰期及未来一定时期内的访问需求。在标准网络环境下，页面访问与操作应流畅无卡顿，用户体验良好；核心业务功能（如用户认证、关键数据查询）的数据交互应快速高效，事务处理能力须与业务规模相匹配，确保在业务洪峰时段系统运行平稳。</w:t>
      </w:r>
    </w:p>
    <w:p w14:paraId="53BD1D2A">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安全保障要求：系统安全体系须符合国家相应领域的安全合规标准。针对系统内流转的个人隐私及敏感业务数据，应采用国家认可的商用密码技术进行传输与存储加密，确保数据全生命周期的机密性与完整性。</w:t>
      </w:r>
    </w:p>
    <w:p w14:paraId="2589C1C6">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国产化的要求：须确保系统全面适配国产化软硬件环境，涵盖服务端（芯片、操作系统、数据库、中间件）、移动客户端及浏览器兼容性，所有建设内容均须满足国家信息安全等级保护及商用密码应用安全性评估要求，采用国密算法进行数据加密传输和存储。</w:t>
      </w:r>
    </w:p>
    <w:p w14:paraId="65105C58">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b/>
          <w:bCs/>
          <w:szCs w:val="21"/>
          <w:highlight w:val="none"/>
          <w:lang w:val="en-US" w:eastAsia="zh-CN"/>
        </w:rPr>
      </w:pPr>
      <w:r>
        <w:rPr>
          <w:rFonts w:hint="eastAsia" w:ascii="宋体" w:hAnsi="宋体" w:cs="Times New Roman"/>
          <w:b/>
          <w:bCs/>
          <w:szCs w:val="21"/>
          <w:highlight w:val="none"/>
          <w:lang w:val="en-US" w:eastAsia="zh-CN"/>
        </w:rPr>
        <w:t>3</w:t>
      </w:r>
      <w:r>
        <w:rPr>
          <w:rFonts w:hint="eastAsia" w:ascii="宋体" w:hAnsi="宋体" w:eastAsia="宋体" w:cs="Times New Roman"/>
          <w:b/>
          <w:bCs/>
          <w:szCs w:val="21"/>
          <w:highlight w:val="none"/>
          <w:lang w:val="en-US" w:eastAsia="zh-CN"/>
        </w:rPr>
        <w:t>.培训需求</w:t>
      </w:r>
    </w:p>
    <w:p w14:paraId="71767C3C">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r>
        <w:rPr>
          <w:rFonts w:hint="eastAsia" w:ascii="宋体" w:hAnsi="宋体" w:cs="Times New Roman"/>
          <w:szCs w:val="21"/>
          <w:highlight w:val="none"/>
          <w:lang w:val="en-US" w:eastAsia="zh-CN"/>
        </w:rPr>
        <w:t>供应商</w:t>
      </w:r>
      <w:r>
        <w:rPr>
          <w:rFonts w:hint="default" w:ascii="宋体" w:hAnsi="宋体" w:cs="Times New Roman"/>
          <w:szCs w:val="21"/>
          <w:highlight w:val="none"/>
          <w:lang w:val="en-US" w:eastAsia="zh-CN"/>
        </w:rPr>
        <w:t>针对本项目制定系统化培训计划，明确培训目的、培训原则、培训计划及内容、培训对象等</w:t>
      </w:r>
      <w:r>
        <w:rPr>
          <w:rFonts w:hint="eastAsia" w:ascii="宋体" w:hAnsi="宋体" w:cs="Times New Roman"/>
          <w:szCs w:val="21"/>
          <w:highlight w:val="none"/>
          <w:lang w:val="en-US" w:eastAsia="zh-CN"/>
        </w:rPr>
        <w:t>。</w:t>
      </w:r>
    </w:p>
    <w:p w14:paraId="5DA35790">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p>
    <w:p w14:paraId="46829C98">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p>
    <w:p w14:paraId="7F7652F0">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zCs w:val="21"/>
          <w:highlight w:val="none"/>
          <w:lang w:val="en-US" w:eastAsia="zh-CN"/>
        </w:rPr>
      </w:pPr>
    </w:p>
    <w:p w14:paraId="40C2D4CF">
      <w:pPr>
        <w:spacing w:line="440" w:lineRule="exact"/>
        <w:jc w:val="center"/>
        <w:outlineLvl w:val="0"/>
        <w:rPr>
          <w:rFonts w:ascii="宋体" w:hAnsi="宋体"/>
          <w:b/>
          <w:sz w:val="44"/>
          <w:szCs w:val="44"/>
          <w:highlight w:val="none"/>
        </w:rPr>
      </w:pPr>
      <w:bookmarkStart w:id="757" w:name="_Toc17490"/>
      <w:bookmarkStart w:id="758" w:name="_Toc23721"/>
      <w:bookmarkStart w:id="759" w:name="_Toc494093446"/>
      <w:bookmarkStart w:id="760" w:name="_Toc32761"/>
      <w:bookmarkStart w:id="761" w:name="_Toc23606"/>
      <w:bookmarkStart w:id="762" w:name="_Toc24901"/>
      <w:bookmarkStart w:id="763" w:name="_Toc494526418"/>
      <w:bookmarkStart w:id="764" w:name="_Toc338840461"/>
      <w:bookmarkStart w:id="765" w:name="_Toc338840500"/>
      <w:bookmarkStart w:id="766" w:name="_Toc5704"/>
      <w:bookmarkStart w:id="767" w:name="_Toc346523484"/>
      <w:bookmarkStart w:id="768" w:name="_Toc338840252"/>
      <w:bookmarkStart w:id="769" w:name="_Toc346523421"/>
      <w:r>
        <w:rPr>
          <w:rFonts w:hint="eastAsia" w:ascii="宋体" w:hAnsi="宋体"/>
          <w:b/>
          <w:sz w:val="44"/>
          <w:szCs w:val="44"/>
          <w:highlight w:val="none"/>
        </w:rPr>
        <w:t xml:space="preserve">第六章  </w:t>
      </w:r>
      <w:bookmarkEnd w:id="739"/>
      <w:bookmarkEnd w:id="740"/>
      <w:bookmarkEnd w:id="741"/>
      <w:bookmarkEnd w:id="742"/>
      <w:bookmarkEnd w:id="743"/>
      <w:bookmarkEnd w:id="744"/>
      <w:bookmarkEnd w:id="745"/>
      <w:bookmarkEnd w:id="746"/>
      <w:r>
        <w:rPr>
          <w:rFonts w:hint="eastAsia" w:ascii="宋体" w:hAnsi="宋体"/>
          <w:b/>
          <w:sz w:val="44"/>
          <w:szCs w:val="44"/>
          <w:highlight w:val="none"/>
        </w:rPr>
        <w:t>投标文件格式</w:t>
      </w:r>
      <w:bookmarkEnd w:id="757"/>
      <w:bookmarkEnd w:id="758"/>
      <w:bookmarkEnd w:id="759"/>
      <w:bookmarkEnd w:id="760"/>
      <w:bookmarkEnd w:id="761"/>
      <w:bookmarkEnd w:id="762"/>
      <w:bookmarkEnd w:id="763"/>
      <w:bookmarkEnd w:id="764"/>
      <w:bookmarkEnd w:id="765"/>
      <w:bookmarkEnd w:id="766"/>
      <w:bookmarkEnd w:id="767"/>
      <w:bookmarkEnd w:id="768"/>
      <w:bookmarkEnd w:id="769"/>
    </w:p>
    <w:p w14:paraId="5D1B24B8">
      <w:pPr>
        <w:spacing w:line="600" w:lineRule="exact"/>
        <w:rPr>
          <w:rFonts w:ascii="宋体" w:hAnsi="宋体"/>
          <w:b/>
          <w:bCs/>
          <w:sz w:val="32"/>
          <w:szCs w:val="32"/>
          <w:highlight w:val="none"/>
        </w:rPr>
      </w:pPr>
      <w:r>
        <w:rPr>
          <w:rFonts w:hint="eastAsia" w:ascii="宋体" w:hAnsi="宋体"/>
          <w:highlight w:val="none"/>
        </w:rPr>
        <w:br w:type="page"/>
      </w:r>
    </w:p>
    <w:p w14:paraId="0EE431AD">
      <w:pPr>
        <w:spacing w:line="600" w:lineRule="exact"/>
        <w:ind w:firstLine="2069" w:firstLineChars="644"/>
        <w:rPr>
          <w:rFonts w:ascii="宋体" w:hAnsi="宋体"/>
          <w:b/>
          <w:bCs/>
          <w:sz w:val="32"/>
          <w:szCs w:val="32"/>
          <w:highlight w:val="none"/>
        </w:rPr>
      </w:pPr>
      <w:r>
        <w:rPr>
          <w:rFonts w:hint="eastAsia" w:ascii="宋体" w:hAnsi="宋体"/>
          <w:b/>
          <w:bCs/>
          <w:sz w:val="32"/>
          <w:szCs w:val="32"/>
          <w:highlight w:val="none"/>
          <w:u w:val="single"/>
        </w:rPr>
        <w:t xml:space="preserve">           　         </w:t>
      </w:r>
      <w:r>
        <w:rPr>
          <w:rFonts w:hint="eastAsia" w:ascii="宋体" w:hAnsi="宋体"/>
          <w:b/>
          <w:bCs/>
          <w:sz w:val="32"/>
          <w:szCs w:val="32"/>
          <w:highlight w:val="none"/>
        </w:rPr>
        <w:t>项目</w:t>
      </w:r>
    </w:p>
    <w:p w14:paraId="0A47F5D7">
      <w:pPr>
        <w:spacing w:line="800" w:lineRule="exact"/>
        <w:ind w:firstLine="2570" w:firstLineChars="800"/>
        <w:rPr>
          <w:rFonts w:ascii="宋体" w:hAnsi="宋体"/>
          <w:b/>
          <w:bCs/>
          <w:sz w:val="72"/>
          <w:szCs w:val="72"/>
          <w:highlight w:val="none"/>
        </w:rPr>
      </w:pPr>
      <w:r>
        <w:rPr>
          <w:rFonts w:hint="eastAsia" w:ascii="宋体" w:hAnsi="宋体"/>
          <w:b/>
          <w:bCs/>
          <w:sz w:val="32"/>
          <w:szCs w:val="32"/>
          <w:highlight w:val="none"/>
        </w:rPr>
        <w:t>项目编号：</w:t>
      </w:r>
      <w:r>
        <w:rPr>
          <w:rFonts w:hint="eastAsia" w:ascii="宋体" w:hAnsi="宋体"/>
          <w:b/>
          <w:bCs/>
          <w:sz w:val="32"/>
          <w:szCs w:val="32"/>
          <w:highlight w:val="none"/>
          <w:u w:val="single"/>
        </w:rPr>
        <w:t>　　　　</w:t>
      </w:r>
    </w:p>
    <w:p w14:paraId="2EB9102C">
      <w:pPr>
        <w:spacing w:line="800" w:lineRule="exact"/>
        <w:rPr>
          <w:rFonts w:ascii="宋体" w:hAnsi="宋体"/>
          <w:b/>
          <w:bCs/>
          <w:sz w:val="72"/>
          <w:szCs w:val="72"/>
          <w:highlight w:val="none"/>
        </w:rPr>
      </w:pPr>
    </w:p>
    <w:p w14:paraId="5092A7FB">
      <w:pPr>
        <w:spacing w:line="800" w:lineRule="exact"/>
        <w:rPr>
          <w:rFonts w:ascii="宋体" w:hAnsi="宋体"/>
          <w:b/>
          <w:bCs/>
          <w:sz w:val="72"/>
          <w:szCs w:val="72"/>
          <w:highlight w:val="none"/>
        </w:rPr>
      </w:pPr>
    </w:p>
    <w:p w14:paraId="7267EF11">
      <w:pPr>
        <w:spacing w:line="800" w:lineRule="exact"/>
        <w:rPr>
          <w:rFonts w:ascii="宋体" w:hAnsi="宋体"/>
          <w:b/>
          <w:bCs/>
          <w:sz w:val="72"/>
          <w:szCs w:val="72"/>
          <w:highlight w:val="none"/>
        </w:rPr>
      </w:pPr>
    </w:p>
    <w:p w14:paraId="2EB83EDC">
      <w:pPr>
        <w:spacing w:line="800" w:lineRule="exact"/>
        <w:rPr>
          <w:rFonts w:ascii="宋体" w:hAnsi="宋体"/>
          <w:b/>
          <w:bCs/>
          <w:sz w:val="72"/>
          <w:szCs w:val="72"/>
          <w:highlight w:val="none"/>
        </w:rPr>
      </w:pPr>
    </w:p>
    <w:p w14:paraId="74397A5A">
      <w:pPr>
        <w:jc w:val="center"/>
        <w:rPr>
          <w:rFonts w:ascii="宋体" w:hAnsi="宋体"/>
          <w:b/>
          <w:bCs/>
          <w:sz w:val="84"/>
          <w:szCs w:val="84"/>
          <w:highlight w:val="none"/>
        </w:rPr>
      </w:pPr>
      <w:r>
        <w:rPr>
          <w:rFonts w:hint="eastAsia" w:ascii="宋体" w:hAnsi="宋体"/>
          <w:b/>
          <w:bCs/>
          <w:sz w:val="84"/>
          <w:szCs w:val="84"/>
          <w:highlight w:val="none"/>
        </w:rPr>
        <w:t>投 标 文 件</w:t>
      </w:r>
    </w:p>
    <w:p w14:paraId="7B19C4D9">
      <w:pPr>
        <w:spacing w:line="800" w:lineRule="exact"/>
        <w:ind w:firstLine="2249" w:firstLineChars="700"/>
        <w:rPr>
          <w:rFonts w:ascii="宋体" w:hAnsi="宋体"/>
          <w:b/>
          <w:bCs/>
          <w:sz w:val="32"/>
          <w:szCs w:val="32"/>
          <w:highlight w:val="none"/>
          <w:u w:val="single"/>
        </w:rPr>
      </w:pPr>
    </w:p>
    <w:p w14:paraId="7060818B">
      <w:pPr>
        <w:spacing w:line="800" w:lineRule="exact"/>
        <w:rPr>
          <w:rFonts w:ascii="宋体" w:hAnsi="宋体"/>
          <w:b/>
          <w:bCs/>
          <w:sz w:val="72"/>
          <w:szCs w:val="72"/>
          <w:highlight w:val="none"/>
        </w:rPr>
      </w:pPr>
    </w:p>
    <w:p w14:paraId="20129746">
      <w:pPr>
        <w:spacing w:line="600" w:lineRule="exact"/>
        <w:jc w:val="left"/>
        <w:rPr>
          <w:rFonts w:ascii="宋体" w:hAnsi="宋体"/>
          <w:b/>
          <w:bCs/>
          <w:sz w:val="72"/>
          <w:szCs w:val="72"/>
          <w:highlight w:val="none"/>
        </w:rPr>
      </w:pPr>
    </w:p>
    <w:p w14:paraId="4300294E">
      <w:pPr>
        <w:spacing w:line="600" w:lineRule="exact"/>
        <w:jc w:val="left"/>
        <w:rPr>
          <w:rFonts w:ascii="宋体" w:hAnsi="宋体"/>
          <w:b/>
          <w:bCs/>
          <w:sz w:val="72"/>
          <w:szCs w:val="72"/>
          <w:highlight w:val="none"/>
        </w:rPr>
      </w:pPr>
    </w:p>
    <w:p w14:paraId="16C21B1C">
      <w:pPr>
        <w:spacing w:line="600" w:lineRule="exact"/>
        <w:jc w:val="left"/>
        <w:rPr>
          <w:rFonts w:ascii="宋体" w:hAnsi="宋体"/>
          <w:b/>
          <w:bCs/>
          <w:sz w:val="72"/>
          <w:szCs w:val="72"/>
          <w:highlight w:val="none"/>
        </w:rPr>
      </w:pPr>
    </w:p>
    <w:p w14:paraId="6C24D327">
      <w:pPr>
        <w:spacing w:line="600" w:lineRule="exact"/>
        <w:jc w:val="left"/>
        <w:rPr>
          <w:rFonts w:ascii="宋体" w:hAnsi="宋体"/>
          <w:b/>
          <w:bCs/>
          <w:sz w:val="72"/>
          <w:szCs w:val="72"/>
          <w:highlight w:val="none"/>
        </w:rPr>
      </w:pPr>
    </w:p>
    <w:p w14:paraId="04D6425B">
      <w:pPr>
        <w:spacing w:line="600" w:lineRule="exact"/>
        <w:jc w:val="left"/>
        <w:rPr>
          <w:rFonts w:ascii="宋体" w:hAnsi="宋体"/>
          <w:b/>
          <w:bCs/>
          <w:sz w:val="72"/>
          <w:szCs w:val="72"/>
          <w:highlight w:val="none"/>
        </w:rPr>
      </w:pPr>
    </w:p>
    <w:p w14:paraId="21799007">
      <w:pPr>
        <w:spacing w:line="600" w:lineRule="exact"/>
        <w:ind w:firstLine="643" w:firstLineChars="200"/>
        <w:rPr>
          <w:rFonts w:ascii="宋体" w:hAnsi="宋体"/>
          <w:b/>
          <w:sz w:val="32"/>
          <w:szCs w:val="32"/>
          <w:highlight w:val="none"/>
        </w:rPr>
      </w:pPr>
      <w:r>
        <w:rPr>
          <w:rFonts w:hint="eastAsia" w:ascii="宋体" w:hAnsi="宋体"/>
          <w:b/>
          <w:sz w:val="32"/>
          <w:szCs w:val="32"/>
          <w:highlight w:val="none"/>
        </w:rPr>
        <w:t>收件人：</w:t>
      </w:r>
      <w:r>
        <w:rPr>
          <w:rFonts w:hint="eastAsia" w:ascii="宋体" w:hAnsi="宋体" w:cs="宋体"/>
          <w:b/>
          <w:sz w:val="32"/>
          <w:szCs w:val="32"/>
          <w:highlight w:val="none"/>
        </w:rPr>
        <w:t>开封市政府采购中心</w:t>
      </w:r>
    </w:p>
    <w:p w14:paraId="5C33646F">
      <w:pPr>
        <w:spacing w:line="600" w:lineRule="exact"/>
        <w:ind w:firstLine="643" w:firstLineChars="200"/>
        <w:rPr>
          <w:rFonts w:ascii="宋体" w:hAnsi="宋体"/>
          <w:b/>
          <w:sz w:val="32"/>
          <w:szCs w:val="32"/>
          <w:highlight w:val="none"/>
          <w:u w:val="single"/>
        </w:rPr>
      </w:pPr>
      <w:r>
        <w:rPr>
          <w:rFonts w:hint="eastAsia" w:ascii="宋体" w:hAnsi="宋体"/>
          <w:b/>
          <w:sz w:val="32"/>
          <w:szCs w:val="32"/>
          <w:highlight w:val="none"/>
        </w:rPr>
        <w:t>供应商：</w:t>
      </w:r>
      <w:r>
        <w:rPr>
          <w:rFonts w:hint="eastAsia" w:ascii="宋体" w:hAnsi="宋体"/>
          <w:b/>
          <w:sz w:val="32"/>
          <w:szCs w:val="32"/>
          <w:highlight w:val="none"/>
          <w:u w:val="single"/>
        </w:rPr>
        <w:t>　　　　　　　　　　　　　　　　　</w:t>
      </w:r>
    </w:p>
    <w:p w14:paraId="4ECC6B30">
      <w:pPr>
        <w:ind w:firstLine="643" w:firstLineChars="200"/>
        <w:rPr>
          <w:rFonts w:ascii="宋体" w:hAnsi="宋体"/>
          <w:b/>
          <w:sz w:val="32"/>
          <w:szCs w:val="32"/>
          <w:highlight w:val="none"/>
          <w:u w:val="single"/>
        </w:rPr>
      </w:pPr>
      <w:r>
        <w:rPr>
          <w:rFonts w:hint="eastAsia" w:ascii="宋体" w:hAnsi="宋体"/>
          <w:b/>
          <w:sz w:val="32"/>
          <w:szCs w:val="32"/>
          <w:highlight w:val="none"/>
        </w:rPr>
        <w:t>供应商地址：</w:t>
      </w:r>
      <w:r>
        <w:rPr>
          <w:rFonts w:hint="eastAsia" w:ascii="宋体" w:hAnsi="宋体"/>
          <w:b/>
          <w:sz w:val="32"/>
          <w:szCs w:val="32"/>
          <w:highlight w:val="none"/>
          <w:u w:val="single"/>
        </w:rPr>
        <w:t>　　　　　　　　　　　　　　　</w:t>
      </w:r>
    </w:p>
    <w:p w14:paraId="7BDD2536">
      <w:pPr>
        <w:ind w:firstLine="3518" w:firstLineChars="1095"/>
        <w:rPr>
          <w:rFonts w:ascii="宋体" w:hAnsi="宋体"/>
          <w:b/>
          <w:sz w:val="32"/>
          <w:szCs w:val="32"/>
          <w:highlight w:val="none"/>
        </w:rPr>
      </w:pPr>
      <w:r>
        <w:rPr>
          <w:rFonts w:hint="eastAsia" w:ascii="宋体" w:hAnsi="宋体"/>
          <w:b/>
          <w:sz w:val="32"/>
          <w:szCs w:val="32"/>
          <w:highlight w:val="none"/>
        </w:rPr>
        <w:t>编制时间</w:t>
      </w:r>
      <w:r>
        <w:rPr>
          <w:rFonts w:hint="eastAsia" w:ascii="宋体" w:hAnsi="宋体"/>
          <w:b/>
          <w:sz w:val="32"/>
          <w:szCs w:val="32"/>
          <w:highlight w:val="none"/>
          <w:u w:val="single"/>
        </w:rPr>
        <w:t xml:space="preserve">    </w:t>
      </w:r>
      <w:r>
        <w:rPr>
          <w:rFonts w:hint="eastAsia" w:ascii="宋体" w:hAnsi="宋体"/>
          <w:b/>
          <w:sz w:val="32"/>
          <w:szCs w:val="32"/>
          <w:highlight w:val="none"/>
        </w:rPr>
        <w:t>年</w:t>
      </w:r>
      <w:r>
        <w:rPr>
          <w:rFonts w:hint="eastAsia" w:ascii="宋体" w:hAnsi="宋体"/>
          <w:b/>
          <w:sz w:val="32"/>
          <w:szCs w:val="32"/>
          <w:highlight w:val="none"/>
          <w:u w:val="single"/>
        </w:rPr>
        <w:t xml:space="preserve">   </w:t>
      </w:r>
      <w:r>
        <w:rPr>
          <w:rFonts w:hint="eastAsia" w:ascii="宋体" w:hAnsi="宋体"/>
          <w:b/>
          <w:sz w:val="32"/>
          <w:szCs w:val="32"/>
          <w:highlight w:val="none"/>
        </w:rPr>
        <w:t>月</w:t>
      </w:r>
      <w:r>
        <w:rPr>
          <w:rFonts w:hint="eastAsia" w:ascii="宋体" w:hAnsi="宋体"/>
          <w:b/>
          <w:sz w:val="32"/>
          <w:szCs w:val="32"/>
          <w:highlight w:val="none"/>
          <w:u w:val="single"/>
        </w:rPr>
        <w:t xml:space="preserve">   </w:t>
      </w:r>
      <w:r>
        <w:rPr>
          <w:rFonts w:hint="eastAsia" w:ascii="宋体" w:hAnsi="宋体"/>
          <w:b/>
          <w:sz w:val="32"/>
          <w:szCs w:val="32"/>
          <w:highlight w:val="none"/>
        </w:rPr>
        <w:t>日</w:t>
      </w:r>
    </w:p>
    <w:p w14:paraId="69ED5B62">
      <w:pPr>
        <w:rPr>
          <w:rFonts w:ascii="宋体" w:hAnsi="宋体"/>
          <w:highlight w:val="none"/>
        </w:rPr>
      </w:pPr>
    </w:p>
    <w:p w14:paraId="77AA895D">
      <w:pPr>
        <w:jc w:val="center"/>
        <w:rPr>
          <w:rFonts w:ascii="宋体" w:hAnsi="宋体"/>
          <w:sz w:val="44"/>
          <w:szCs w:val="44"/>
          <w:highlight w:val="none"/>
        </w:rPr>
      </w:pPr>
      <w:bookmarkStart w:id="770" w:name="_Toc338840253"/>
      <w:bookmarkStart w:id="771" w:name="_Toc338840462"/>
      <w:bookmarkStart w:id="772" w:name="_Toc346523422"/>
      <w:bookmarkStart w:id="773" w:name="_Toc338840501"/>
      <w:r>
        <w:rPr>
          <w:rFonts w:hint="eastAsia" w:ascii="宋体" w:hAnsi="宋体"/>
          <w:sz w:val="44"/>
          <w:szCs w:val="44"/>
          <w:highlight w:val="none"/>
        </w:rPr>
        <w:br w:type="page"/>
      </w:r>
      <w:r>
        <w:rPr>
          <w:rFonts w:hint="eastAsia" w:ascii="宋体" w:hAnsi="宋体"/>
          <w:sz w:val="44"/>
          <w:szCs w:val="44"/>
          <w:highlight w:val="none"/>
        </w:rPr>
        <w:t>目　　录</w:t>
      </w:r>
      <w:bookmarkEnd w:id="770"/>
      <w:bookmarkEnd w:id="771"/>
      <w:bookmarkEnd w:id="772"/>
      <w:bookmarkEnd w:id="773"/>
    </w:p>
    <w:p w14:paraId="31058E24">
      <w:pPr>
        <w:rPr>
          <w:rFonts w:ascii="宋体" w:hAnsi="宋体"/>
          <w:highlight w:val="none"/>
        </w:rPr>
      </w:pPr>
    </w:p>
    <w:p w14:paraId="299519C2">
      <w:pPr>
        <w:numPr>
          <w:ilvl w:val="0"/>
          <w:numId w:val="6"/>
        </w:numPr>
        <w:rPr>
          <w:rFonts w:ascii="宋体" w:hAnsi="宋体" w:cs="宋体"/>
          <w:sz w:val="32"/>
          <w:szCs w:val="32"/>
          <w:highlight w:val="none"/>
        </w:rPr>
      </w:pPr>
      <w:r>
        <w:rPr>
          <w:rFonts w:hint="eastAsia" w:ascii="宋体" w:hAnsi="宋体" w:cs="宋体"/>
          <w:sz w:val="32"/>
          <w:szCs w:val="32"/>
          <w:highlight w:val="none"/>
        </w:rPr>
        <w:t>投标函</w:t>
      </w:r>
    </w:p>
    <w:p w14:paraId="7C47406B">
      <w:pPr>
        <w:numPr>
          <w:ilvl w:val="0"/>
          <w:numId w:val="6"/>
        </w:numPr>
        <w:rPr>
          <w:rFonts w:ascii="宋体" w:hAnsi="宋体" w:cs="宋体"/>
          <w:sz w:val="32"/>
          <w:szCs w:val="32"/>
          <w:highlight w:val="none"/>
        </w:rPr>
      </w:pPr>
      <w:r>
        <w:rPr>
          <w:rFonts w:hint="eastAsia" w:ascii="宋体" w:hAnsi="宋体" w:cs="宋体"/>
          <w:sz w:val="32"/>
          <w:szCs w:val="32"/>
          <w:highlight w:val="none"/>
        </w:rPr>
        <w:t>法定代表人资格证明或授权委托书</w:t>
      </w:r>
    </w:p>
    <w:p w14:paraId="19AE2A54">
      <w:pPr>
        <w:numPr>
          <w:ilvl w:val="0"/>
          <w:numId w:val="6"/>
        </w:numPr>
        <w:rPr>
          <w:rFonts w:ascii="宋体" w:hAnsi="宋体" w:cs="宋体"/>
          <w:sz w:val="32"/>
          <w:szCs w:val="32"/>
          <w:highlight w:val="none"/>
        </w:rPr>
      </w:pPr>
      <w:r>
        <w:rPr>
          <w:rFonts w:hint="eastAsia" w:ascii="宋体" w:hAnsi="宋体" w:cs="宋体"/>
          <w:sz w:val="32"/>
          <w:szCs w:val="32"/>
          <w:highlight w:val="none"/>
        </w:rPr>
        <w:t>供应商基本情况和资格证明材料</w:t>
      </w:r>
    </w:p>
    <w:p w14:paraId="4FECE793">
      <w:pPr>
        <w:numPr>
          <w:ilvl w:val="0"/>
          <w:numId w:val="6"/>
        </w:numPr>
        <w:rPr>
          <w:rFonts w:ascii="宋体" w:hAnsi="宋体" w:cs="宋体"/>
          <w:sz w:val="32"/>
          <w:szCs w:val="32"/>
          <w:highlight w:val="none"/>
        </w:rPr>
      </w:pPr>
      <w:r>
        <w:rPr>
          <w:rFonts w:hint="eastAsia" w:ascii="宋体" w:hAnsi="宋体" w:cs="宋体"/>
          <w:sz w:val="32"/>
          <w:szCs w:val="32"/>
          <w:highlight w:val="none"/>
        </w:rPr>
        <w:t>投标内容及报价明细表</w:t>
      </w:r>
    </w:p>
    <w:p w14:paraId="2D3E062A">
      <w:pPr>
        <w:numPr>
          <w:ilvl w:val="0"/>
          <w:numId w:val="6"/>
        </w:numPr>
        <w:rPr>
          <w:rFonts w:hint="eastAsia" w:ascii="宋体" w:hAnsi="宋体" w:cs="宋体"/>
          <w:sz w:val="32"/>
          <w:szCs w:val="32"/>
          <w:highlight w:val="none"/>
        </w:rPr>
      </w:pPr>
      <w:r>
        <w:rPr>
          <w:rFonts w:hint="eastAsia" w:ascii="宋体" w:hAnsi="宋体" w:cs="宋体"/>
          <w:sz w:val="32"/>
          <w:szCs w:val="32"/>
          <w:highlight w:val="none"/>
        </w:rPr>
        <w:t>技术及商务偏差表</w:t>
      </w:r>
    </w:p>
    <w:p w14:paraId="02C08366">
      <w:pPr>
        <w:numPr>
          <w:ilvl w:val="0"/>
          <w:numId w:val="6"/>
        </w:numPr>
        <w:rPr>
          <w:rFonts w:hint="eastAsia" w:ascii="宋体" w:hAnsi="宋体" w:cs="宋体"/>
          <w:sz w:val="32"/>
          <w:szCs w:val="32"/>
          <w:highlight w:val="none"/>
        </w:rPr>
      </w:pPr>
      <w:r>
        <w:rPr>
          <w:rFonts w:hint="eastAsia" w:ascii="宋体" w:hAnsi="宋体" w:cs="宋体"/>
          <w:sz w:val="32"/>
          <w:szCs w:val="32"/>
          <w:highlight w:val="none"/>
        </w:rPr>
        <w:t>业绩合同</w:t>
      </w:r>
    </w:p>
    <w:p w14:paraId="580EE1D5">
      <w:pPr>
        <w:numPr>
          <w:ilvl w:val="0"/>
          <w:numId w:val="6"/>
        </w:numPr>
        <w:rPr>
          <w:rFonts w:hint="eastAsia" w:ascii="宋体" w:hAnsi="宋体" w:cs="宋体"/>
          <w:sz w:val="32"/>
          <w:szCs w:val="32"/>
          <w:highlight w:val="none"/>
        </w:rPr>
      </w:pPr>
      <w:r>
        <w:rPr>
          <w:rFonts w:hint="eastAsia" w:ascii="宋体" w:hAnsi="宋体" w:cs="宋体"/>
          <w:sz w:val="32"/>
          <w:szCs w:val="32"/>
          <w:highlight w:val="none"/>
        </w:rPr>
        <w:t>企业</w:t>
      </w:r>
      <w:r>
        <w:rPr>
          <w:rFonts w:hint="eastAsia" w:ascii="宋体" w:hAnsi="宋体" w:cs="宋体"/>
          <w:sz w:val="32"/>
          <w:szCs w:val="32"/>
          <w:highlight w:val="none"/>
          <w:lang w:val="en-US" w:eastAsia="zh-CN"/>
        </w:rPr>
        <w:t>实力</w:t>
      </w:r>
    </w:p>
    <w:p w14:paraId="5ACEC751">
      <w:pPr>
        <w:numPr>
          <w:ilvl w:val="0"/>
          <w:numId w:val="6"/>
        </w:numPr>
        <w:rPr>
          <w:rFonts w:hint="eastAsia" w:ascii="宋体" w:hAnsi="宋体" w:cs="宋体"/>
          <w:sz w:val="32"/>
          <w:szCs w:val="32"/>
          <w:highlight w:val="none"/>
        </w:rPr>
      </w:pPr>
      <w:r>
        <w:rPr>
          <w:rFonts w:hint="eastAsia" w:ascii="宋体" w:hAnsi="宋体" w:cs="宋体"/>
          <w:sz w:val="32"/>
          <w:szCs w:val="32"/>
          <w:highlight w:val="none"/>
          <w:lang w:val="en-US" w:eastAsia="zh-CN"/>
        </w:rPr>
        <w:t>团队实力</w:t>
      </w:r>
    </w:p>
    <w:p w14:paraId="417097F7">
      <w:pPr>
        <w:numPr>
          <w:ilvl w:val="0"/>
          <w:numId w:val="6"/>
        </w:numPr>
        <w:rPr>
          <w:rFonts w:hint="eastAsia" w:ascii="宋体" w:hAnsi="宋体" w:cs="宋体"/>
          <w:sz w:val="32"/>
          <w:szCs w:val="32"/>
          <w:highlight w:val="none"/>
        </w:rPr>
      </w:pPr>
      <w:r>
        <w:rPr>
          <w:rFonts w:hint="eastAsia" w:ascii="宋体" w:hAnsi="宋体" w:cs="宋体"/>
          <w:sz w:val="32"/>
          <w:szCs w:val="32"/>
          <w:highlight w:val="none"/>
        </w:rPr>
        <w:t>项目实施</w:t>
      </w:r>
      <w:r>
        <w:rPr>
          <w:rFonts w:hint="eastAsia" w:ascii="宋体" w:hAnsi="宋体" w:cs="宋体"/>
          <w:sz w:val="32"/>
          <w:szCs w:val="32"/>
          <w:highlight w:val="none"/>
          <w:lang w:val="en-US" w:eastAsia="zh-CN"/>
        </w:rPr>
        <w:t>方案</w:t>
      </w:r>
    </w:p>
    <w:p w14:paraId="4656B758">
      <w:pPr>
        <w:numPr>
          <w:ilvl w:val="0"/>
          <w:numId w:val="6"/>
        </w:numPr>
        <w:rPr>
          <w:rFonts w:hint="eastAsia" w:ascii="宋体" w:hAnsi="宋体" w:cs="宋体"/>
          <w:sz w:val="32"/>
          <w:szCs w:val="32"/>
          <w:highlight w:val="none"/>
        </w:rPr>
      </w:pPr>
      <w:r>
        <w:rPr>
          <w:rFonts w:hint="eastAsia" w:ascii="宋体" w:hAnsi="宋体" w:cs="宋体"/>
          <w:sz w:val="32"/>
          <w:szCs w:val="32"/>
          <w:highlight w:val="none"/>
          <w:lang w:val="en-US" w:eastAsia="zh-CN"/>
        </w:rPr>
        <w:t>运维服务方案</w:t>
      </w:r>
    </w:p>
    <w:p w14:paraId="3805421F">
      <w:pPr>
        <w:numPr>
          <w:ilvl w:val="0"/>
          <w:numId w:val="6"/>
        </w:numPr>
        <w:rPr>
          <w:rFonts w:hint="eastAsia" w:ascii="宋体" w:hAnsi="宋体" w:cs="宋体"/>
          <w:sz w:val="32"/>
          <w:szCs w:val="32"/>
          <w:highlight w:val="none"/>
        </w:rPr>
      </w:pPr>
      <w:r>
        <w:rPr>
          <w:rFonts w:hint="eastAsia" w:ascii="宋体" w:hAnsi="宋体" w:cs="宋体"/>
          <w:sz w:val="32"/>
          <w:szCs w:val="32"/>
          <w:highlight w:val="none"/>
          <w:lang w:val="en-US" w:eastAsia="zh-CN"/>
        </w:rPr>
        <w:t>接口类服务和数据共享方案</w:t>
      </w:r>
    </w:p>
    <w:p w14:paraId="48A5FAE3">
      <w:pPr>
        <w:numPr>
          <w:ilvl w:val="0"/>
          <w:numId w:val="6"/>
        </w:numPr>
        <w:rPr>
          <w:rFonts w:hint="eastAsia" w:ascii="宋体" w:hAnsi="宋体" w:cs="宋体"/>
          <w:sz w:val="32"/>
          <w:szCs w:val="32"/>
          <w:highlight w:val="none"/>
        </w:rPr>
      </w:pPr>
      <w:r>
        <w:rPr>
          <w:rFonts w:hint="default" w:ascii="宋体" w:hAnsi="宋体" w:cs="宋体"/>
          <w:sz w:val="32"/>
          <w:szCs w:val="32"/>
          <w:highlight w:val="none"/>
          <w:lang w:val="en-US" w:eastAsia="zh-CN"/>
        </w:rPr>
        <w:t>项目性能与安全保障方案</w:t>
      </w:r>
    </w:p>
    <w:p w14:paraId="0126959A">
      <w:pPr>
        <w:numPr>
          <w:ilvl w:val="0"/>
          <w:numId w:val="6"/>
        </w:numPr>
        <w:rPr>
          <w:rFonts w:hint="default" w:ascii="宋体" w:hAnsi="宋体" w:cs="宋体"/>
          <w:sz w:val="32"/>
          <w:szCs w:val="32"/>
          <w:highlight w:val="none"/>
          <w:lang w:val="en-US" w:eastAsia="zh-CN"/>
        </w:rPr>
      </w:pPr>
      <w:r>
        <w:rPr>
          <w:rFonts w:hint="default" w:ascii="宋体" w:hAnsi="宋体" w:cs="宋体"/>
          <w:sz w:val="32"/>
          <w:szCs w:val="32"/>
          <w:highlight w:val="none"/>
          <w:lang w:val="en-US" w:eastAsia="zh-CN"/>
        </w:rPr>
        <w:t>培训方案</w:t>
      </w:r>
    </w:p>
    <w:p w14:paraId="127A0E3F">
      <w:pPr>
        <w:numPr>
          <w:ilvl w:val="0"/>
          <w:numId w:val="6"/>
        </w:numPr>
        <w:rPr>
          <w:rFonts w:hint="eastAsia" w:ascii="宋体" w:hAnsi="宋体" w:cs="宋体"/>
          <w:sz w:val="32"/>
          <w:szCs w:val="32"/>
          <w:highlight w:val="none"/>
        </w:rPr>
      </w:pPr>
      <w:r>
        <w:rPr>
          <w:rFonts w:hint="eastAsia" w:ascii="宋体" w:hAnsi="宋体" w:cs="宋体"/>
          <w:sz w:val="32"/>
          <w:szCs w:val="32"/>
          <w:highlight w:val="none"/>
        </w:rPr>
        <w:t>相关证明材料</w:t>
      </w:r>
    </w:p>
    <w:p w14:paraId="5B531C53">
      <w:pPr>
        <w:numPr>
          <w:ilvl w:val="0"/>
          <w:numId w:val="0"/>
        </w:numPr>
        <w:rPr>
          <w:rFonts w:hint="eastAsia" w:ascii="宋体" w:hAnsi="宋体" w:cs="宋体"/>
          <w:sz w:val="32"/>
          <w:szCs w:val="32"/>
          <w:highlight w:val="none"/>
        </w:rPr>
      </w:pPr>
    </w:p>
    <w:p w14:paraId="26F00749">
      <w:pPr>
        <w:rPr>
          <w:rFonts w:ascii="宋体" w:hAnsi="宋体"/>
          <w:sz w:val="32"/>
          <w:szCs w:val="32"/>
          <w:highlight w:val="none"/>
        </w:rPr>
      </w:pPr>
    </w:p>
    <w:p w14:paraId="4964E918">
      <w:pPr>
        <w:topLinePunct/>
        <w:rPr>
          <w:rFonts w:hint="eastAsia" w:ascii="宋体" w:hAnsi="宋体" w:cs="宋体"/>
          <w:sz w:val="28"/>
          <w:szCs w:val="28"/>
          <w:highlight w:val="none"/>
          <w:lang w:val="en-US" w:eastAsia="zh-CN"/>
        </w:rPr>
      </w:pPr>
      <w:r>
        <w:rPr>
          <w:rFonts w:ascii="宋体" w:hAnsi="宋体"/>
          <w:kern w:val="44"/>
          <w:sz w:val="44"/>
          <w:szCs w:val="44"/>
          <w:highlight w:val="none"/>
        </w:rPr>
        <w:br w:type="page"/>
      </w:r>
      <w:bookmarkStart w:id="774" w:name="_Toc288115087"/>
      <w:bookmarkStart w:id="775" w:name="_Toc288115062"/>
      <w:r>
        <w:rPr>
          <w:rFonts w:hint="eastAsia" w:ascii="宋体" w:hAnsi="宋体" w:cs="宋体"/>
          <w:sz w:val="28"/>
          <w:szCs w:val="28"/>
          <w:highlight w:val="none"/>
          <w:lang w:val="en-US" w:eastAsia="zh-CN"/>
        </w:rPr>
        <w:t>投标函（实质性要求）</w:t>
      </w:r>
    </w:p>
    <w:p w14:paraId="0724915A">
      <w:pPr>
        <w:topLinePunct/>
        <w:spacing w:line="440" w:lineRule="exact"/>
        <w:jc w:val="center"/>
        <w:rPr>
          <w:rFonts w:hint="eastAsia" w:ascii="宋体" w:hAnsi="宋体" w:eastAsia="宋体" w:cs="仿宋_GB2312"/>
          <w:b/>
          <w:bCs/>
          <w:sz w:val="21"/>
          <w:szCs w:val="21"/>
          <w:highlight w:val="none"/>
          <w:lang w:eastAsia="zh-CN"/>
        </w:rPr>
      </w:pPr>
      <w:r>
        <w:rPr>
          <w:rFonts w:hint="eastAsia" w:ascii="宋体" w:hAnsi="宋体" w:cs="仿宋_GB2312"/>
          <w:b/>
          <w:bCs/>
          <w:sz w:val="44"/>
          <w:szCs w:val="44"/>
          <w:highlight w:val="none"/>
        </w:rPr>
        <w:t>一　　投 标 函</w:t>
      </w:r>
    </w:p>
    <w:p w14:paraId="25958542">
      <w:pPr>
        <w:topLinePunct/>
        <w:spacing w:line="440" w:lineRule="exact"/>
        <w:rPr>
          <w:rFonts w:ascii="宋体" w:hAnsi="宋体" w:cs="仿宋_GB2312"/>
          <w:sz w:val="32"/>
          <w:szCs w:val="32"/>
          <w:highlight w:val="none"/>
        </w:rPr>
      </w:pPr>
    </w:p>
    <w:p w14:paraId="2B5AAEA7">
      <w:pPr>
        <w:topLinePunct/>
        <w:rPr>
          <w:rFonts w:hint="default" w:ascii="宋体" w:hAnsi="宋体" w:eastAsia="宋体" w:cs="宋体"/>
          <w:sz w:val="32"/>
          <w:szCs w:val="32"/>
          <w:highlight w:val="none"/>
          <w:u w:val="single"/>
          <w:lang w:val="en-US" w:eastAsia="zh-CN"/>
        </w:rPr>
      </w:pPr>
      <w:r>
        <w:rPr>
          <w:rFonts w:hint="eastAsia" w:ascii="宋体" w:hAnsi="宋体" w:cs="宋体"/>
          <w:sz w:val="32"/>
          <w:szCs w:val="32"/>
          <w:highlight w:val="none"/>
        </w:rPr>
        <w:t>致</w:t>
      </w:r>
      <w:r>
        <w:rPr>
          <w:rFonts w:hint="eastAsia" w:ascii="宋体" w:hAnsi="宋体" w:cs="宋体"/>
          <w:sz w:val="32"/>
          <w:szCs w:val="32"/>
          <w:highlight w:val="none"/>
          <w:lang w:val="en-US" w:eastAsia="zh-CN"/>
        </w:rPr>
        <w:t>(采购人)</w:t>
      </w:r>
      <w:r>
        <w:rPr>
          <w:rFonts w:hint="eastAsia" w:ascii="宋体" w:hAnsi="宋体" w:cs="宋体"/>
          <w:sz w:val="32"/>
          <w:szCs w:val="32"/>
          <w:highlight w:val="none"/>
        </w:rPr>
        <w:t>：</w:t>
      </w:r>
      <w:r>
        <w:rPr>
          <w:rFonts w:hint="eastAsia" w:ascii="宋体" w:hAnsi="宋体" w:cs="宋体"/>
          <w:sz w:val="32"/>
          <w:szCs w:val="32"/>
          <w:highlight w:val="none"/>
          <w:u w:val="single"/>
          <w:lang w:val="en-US" w:eastAsia="zh-CN"/>
        </w:rPr>
        <w:t xml:space="preserve">                  </w:t>
      </w:r>
    </w:p>
    <w:p w14:paraId="070A4AAD">
      <w:pPr>
        <w:topLinePunct/>
        <w:ind w:firstLine="640" w:firstLineChars="200"/>
        <w:rPr>
          <w:rFonts w:ascii="宋体" w:hAnsi="宋体" w:cs="仿宋_GB2312"/>
          <w:sz w:val="32"/>
          <w:szCs w:val="32"/>
          <w:highlight w:val="none"/>
        </w:rPr>
      </w:pPr>
      <w:r>
        <w:rPr>
          <w:rFonts w:hint="eastAsia" w:ascii="宋体" w:hAnsi="宋体" w:cs="仿宋_GB2312"/>
          <w:sz w:val="32"/>
          <w:szCs w:val="32"/>
          <w:highlight w:val="none"/>
        </w:rPr>
        <w:t>我方</w:t>
      </w:r>
      <w:r>
        <w:rPr>
          <w:rFonts w:hint="eastAsia" w:ascii="宋体" w:hAnsi="宋体" w:cs="仿宋_GB2312"/>
          <w:sz w:val="32"/>
          <w:szCs w:val="32"/>
          <w:highlight w:val="none"/>
          <w:lang w:val="en-US" w:eastAsia="zh-CN"/>
        </w:rPr>
        <w:t>已详细审查</w:t>
      </w:r>
      <w:r>
        <w:rPr>
          <w:rFonts w:hint="eastAsia" w:ascii="宋体" w:hAnsi="宋体" w:cs="仿宋_GB2312"/>
          <w:sz w:val="32"/>
          <w:szCs w:val="32"/>
          <w:highlight w:val="none"/>
          <w:u w:val="single"/>
        </w:rPr>
        <w:t xml:space="preserve">                 </w:t>
      </w:r>
      <w:r>
        <w:rPr>
          <w:rFonts w:hint="eastAsia" w:ascii="宋体" w:hAnsi="宋体" w:cs="仿宋_GB2312"/>
          <w:sz w:val="32"/>
          <w:szCs w:val="32"/>
          <w:highlight w:val="none"/>
        </w:rPr>
        <w:t>项目（项目编号：</w:t>
      </w:r>
      <w:r>
        <w:rPr>
          <w:rFonts w:hint="eastAsia" w:ascii="宋体" w:hAnsi="宋体" w:cs="仿宋_GB2312"/>
          <w:sz w:val="32"/>
          <w:szCs w:val="32"/>
          <w:highlight w:val="none"/>
          <w:u w:val="single"/>
        </w:rPr>
        <w:t xml:space="preserve">        </w:t>
      </w:r>
      <w:r>
        <w:rPr>
          <w:rFonts w:hint="eastAsia" w:ascii="宋体" w:hAnsi="宋体" w:cs="仿宋_GB2312"/>
          <w:sz w:val="32"/>
          <w:szCs w:val="32"/>
          <w:highlight w:val="none"/>
        </w:rPr>
        <w:t>）招标文件全部内容，</w:t>
      </w:r>
      <w:r>
        <w:rPr>
          <w:rFonts w:hint="eastAsia" w:ascii="宋体" w:hAnsi="宋体" w:cs="仿宋_GB2312"/>
          <w:sz w:val="32"/>
          <w:szCs w:val="32"/>
          <w:highlight w:val="none"/>
          <w:lang w:val="en-US" w:eastAsia="zh-CN"/>
        </w:rPr>
        <w:t>自愿参加投标</w:t>
      </w:r>
      <w:r>
        <w:rPr>
          <w:rFonts w:hint="eastAsia" w:ascii="宋体" w:hAnsi="宋体" w:cs="仿宋_GB2312"/>
          <w:sz w:val="32"/>
          <w:szCs w:val="32"/>
          <w:highlight w:val="none"/>
        </w:rPr>
        <w:t>并承诺</w:t>
      </w:r>
      <w:r>
        <w:rPr>
          <w:rFonts w:hint="eastAsia" w:ascii="宋体" w:hAnsi="宋体" w:cs="仿宋_GB2312"/>
          <w:sz w:val="32"/>
          <w:szCs w:val="32"/>
          <w:highlight w:val="none"/>
          <w:lang w:val="en-US" w:eastAsia="zh-CN"/>
        </w:rPr>
        <w:t>如下</w:t>
      </w:r>
      <w:r>
        <w:rPr>
          <w:rFonts w:hint="eastAsia" w:ascii="宋体" w:hAnsi="宋体" w:cs="仿宋_GB2312"/>
          <w:sz w:val="32"/>
          <w:szCs w:val="32"/>
          <w:highlight w:val="none"/>
        </w:rPr>
        <w:t>：</w:t>
      </w:r>
    </w:p>
    <w:p w14:paraId="680582FC">
      <w:pPr>
        <w:numPr>
          <w:ilvl w:val="0"/>
          <w:numId w:val="7"/>
        </w:numPr>
        <w:topLinePunct/>
        <w:ind w:left="1" w:leftChars="0" w:firstLine="419" w:firstLineChars="0"/>
        <w:rPr>
          <w:rFonts w:ascii="宋体" w:hAnsi="宋体" w:cs="宋体"/>
          <w:sz w:val="32"/>
          <w:szCs w:val="32"/>
          <w:highlight w:val="none"/>
        </w:rPr>
      </w:pPr>
      <w:r>
        <w:rPr>
          <w:rFonts w:hint="eastAsia" w:ascii="宋体" w:hAnsi="宋体" w:cs="宋体"/>
          <w:sz w:val="32"/>
          <w:szCs w:val="32"/>
          <w:highlight w:val="none"/>
        </w:rPr>
        <w:t>投标报价（人民币）大写：</w:t>
      </w:r>
      <w:r>
        <w:rPr>
          <w:rFonts w:hint="eastAsia" w:ascii="宋体" w:hAnsi="宋体" w:cs="宋体"/>
          <w:sz w:val="32"/>
          <w:szCs w:val="32"/>
          <w:highlight w:val="none"/>
          <w:u w:val="single"/>
        </w:rPr>
        <w:t xml:space="preserve">           </w:t>
      </w:r>
      <w:r>
        <w:rPr>
          <w:rFonts w:hint="eastAsia" w:ascii="宋体" w:hAnsi="宋体" w:cs="宋体"/>
          <w:sz w:val="32"/>
          <w:szCs w:val="32"/>
          <w:highlight w:val="none"/>
        </w:rPr>
        <w:t>小写：</w:t>
      </w:r>
      <w:r>
        <w:rPr>
          <w:rFonts w:hint="eastAsia" w:ascii="宋体" w:hAnsi="宋体" w:cs="宋体"/>
          <w:sz w:val="32"/>
          <w:szCs w:val="32"/>
          <w:highlight w:val="none"/>
          <w:u w:val="single"/>
        </w:rPr>
        <w:t xml:space="preserve">      </w:t>
      </w:r>
      <w:r>
        <w:rPr>
          <w:rFonts w:hint="eastAsia" w:ascii="宋体" w:hAnsi="宋体" w:cs="宋体"/>
          <w:sz w:val="32"/>
          <w:szCs w:val="32"/>
          <w:highlight w:val="none"/>
          <w:u w:val="none"/>
          <w:lang w:val="en-US" w:eastAsia="zh-CN"/>
        </w:rPr>
        <w:t>元</w:t>
      </w:r>
      <w:r>
        <w:rPr>
          <w:rFonts w:hint="eastAsia" w:ascii="宋体" w:hAnsi="宋体" w:cs="宋体"/>
          <w:sz w:val="32"/>
          <w:szCs w:val="32"/>
          <w:highlight w:val="none"/>
        </w:rPr>
        <w:t>。</w:t>
      </w:r>
      <w:r>
        <w:rPr>
          <w:rFonts w:hint="eastAsia" w:ascii="华文楷体" w:hAnsi="华文楷体" w:eastAsia="华文楷体" w:cs="华文楷体"/>
          <w:sz w:val="32"/>
          <w:szCs w:val="32"/>
          <w:highlight w:val="none"/>
          <w:lang w:eastAsia="zh-CN"/>
        </w:rPr>
        <w:t>（</w:t>
      </w:r>
      <w:r>
        <w:rPr>
          <w:rFonts w:hint="eastAsia" w:ascii="华文楷体" w:hAnsi="华文楷体" w:eastAsia="华文楷体" w:cs="华文楷体"/>
          <w:sz w:val="32"/>
          <w:szCs w:val="32"/>
          <w:highlight w:val="none"/>
          <w:lang w:val="en-US" w:eastAsia="zh-CN"/>
        </w:rPr>
        <w:t>与</w:t>
      </w:r>
      <w:r>
        <w:rPr>
          <w:rFonts w:hint="eastAsia" w:ascii="华文楷体" w:hAnsi="华文楷体" w:eastAsia="华文楷体" w:cs="华文楷体"/>
          <w:sz w:val="32"/>
          <w:szCs w:val="32"/>
          <w:highlight w:val="none"/>
        </w:rPr>
        <w:t>投标内容及报价明细表</w:t>
      </w:r>
      <w:r>
        <w:rPr>
          <w:rFonts w:hint="eastAsia" w:ascii="华文楷体" w:hAnsi="华文楷体" w:eastAsia="华文楷体" w:cs="华文楷体"/>
          <w:sz w:val="32"/>
          <w:szCs w:val="32"/>
          <w:highlight w:val="none"/>
          <w:lang w:val="en-US" w:eastAsia="zh-CN"/>
        </w:rPr>
        <w:t>中“价格总合计”相同</w:t>
      </w:r>
      <w:r>
        <w:rPr>
          <w:rFonts w:hint="eastAsia" w:ascii="华文楷体" w:hAnsi="华文楷体" w:eastAsia="华文楷体" w:cs="华文楷体"/>
          <w:sz w:val="32"/>
          <w:szCs w:val="32"/>
          <w:highlight w:val="none"/>
          <w:lang w:eastAsia="zh-CN"/>
        </w:rPr>
        <w:t>）</w:t>
      </w:r>
    </w:p>
    <w:p w14:paraId="2BE0964D">
      <w:pPr>
        <w:numPr>
          <w:ilvl w:val="0"/>
          <w:numId w:val="7"/>
        </w:numPr>
        <w:topLinePunct/>
        <w:ind w:left="1" w:leftChars="0" w:firstLine="419" w:firstLineChars="0"/>
        <w:rPr>
          <w:rFonts w:ascii="宋体" w:hAnsi="宋体" w:cs="宋体"/>
          <w:sz w:val="32"/>
          <w:szCs w:val="32"/>
          <w:highlight w:val="none"/>
        </w:rPr>
      </w:pPr>
      <w:r>
        <w:rPr>
          <w:rFonts w:hint="eastAsia" w:ascii="宋体" w:hAnsi="宋体" w:cs="宋体"/>
          <w:sz w:val="32"/>
          <w:szCs w:val="32"/>
          <w:highlight w:val="none"/>
        </w:rPr>
        <w:t>合同履行期限：合同签订生效后</w:t>
      </w:r>
      <w:r>
        <w:rPr>
          <w:rFonts w:hint="eastAsia" w:ascii="宋体" w:hAnsi="宋体" w:cs="宋体"/>
          <w:sz w:val="32"/>
          <w:szCs w:val="32"/>
          <w:highlight w:val="none"/>
          <w:u w:val="single"/>
          <w:lang w:val="en-US" w:eastAsia="zh-CN"/>
        </w:rPr>
        <w:t xml:space="preserve">         </w:t>
      </w:r>
      <w:r>
        <w:rPr>
          <w:rFonts w:hint="eastAsia" w:ascii="宋体" w:hAnsi="宋体" w:cs="宋体"/>
          <w:sz w:val="32"/>
          <w:szCs w:val="32"/>
          <w:highlight w:val="none"/>
        </w:rPr>
        <w:t>完成项目全部工作。</w:t>
      </w:r>
    </w:p>
    <w:p w14:paraId="67558FEE">
      <w:pPr>
        <w:numPr>
          <w:ilvl w:val="0"/>
          <w:numId w:val="7"/>
        </w:numPr>
        <w:topLinePunct/>
        <w:ind w:left="1" w:leftChars="0" w:firstLine="419" w:firstLineChars="0"/>
        <w:rPr>
          <w:rFonts w:ascii="宋体" w:hAnsi="宋体" w:cs="宋体"/>
          <w:sz w:val="32"/>
          <w:szCs w:val="32"/>
          <w:highlight w:val="none"/>
        </w:rPr>
      </w:pPr>
      <w:r>
        <w:rPr>
          <w:rFonts w:hint="eastAsia" w:ascii="宋体" w:hAnsi="宋体" w:cs="宋体"/>
          <w:sz w:val="32"/>
          <w:szCs w:val="32"/>
          <w:highlight w:val="none"/>
        </w:rPr>
        <w:t>投标有效期：自投标截止之日起</w:t>
      </w:r>
      <w:r>
        <w:rPr>
          <w:rFonts w:hint="eastAsia" w:ascii="宋体" w:hAnsi="宋体" w:cs="宋体"/>
          <w:sz w:val="32"/>
          <w:szCs w:val="32"/>
          <w:highlight w:val="none"/>
          <w:u w:val="single"/>
        </w:rPr>
        <w:t xml:space="preserve"> 60  </w:t>
      </w:r>
      <w:r>
        <w:rPr>
          <w:rFonts w:hint="eastAsia" w:ascii="宋体" w:hAnsi="宋体" w:cs="宋体"/>
          <w:sz w:val="32"/>
          <w:szCs w:val="32"/>
          <w:highlight w:val="none"/>
        </w:rPr>
        <w:t>日历天（不少于要求的时间）。</w:t>
      </w:r>
    </w:p>
    <w:p w14:paraId="4C657233">
      <w:pPr>
        <w:numPr>
          <w:ilvl w:val="0"/>
          <w:numId w:val="7"/>
        </w:numPr>
        <w:topLinePunct/>
        <w:ind w:left="1" w:leftChars="0" w:firstLine="419" w:firstLineChars="0"/>
        <w:rPr>
          <w:rFonts w:ascii="宋体" w:hAnsi="宋体" w:cs="宋体"/>
          <w:sz w:val="32"/>
          <w:szCs w:val="32"/>
          <w:highlight w:val="none"/>
        </w:rPr>
      </w:pPr>
      <w:r>
        <w:rPr>
          <w:rFonts w:hint="eastAsia" w:ascii="宋体" w:hAnsi="宋体" w:cs="宋体"/>
          <w:sz w:val="32"/>
          <w:szCs w:val="32"/>
          <w:highlight w:val="none"/>
        </w:rPr>
        <w:t>付款方式：</w:t>
      </w:r>
      <w:r>
        <w:rPr>
          <w:rFonts w:hint="eastAsia" w:ascii="宋体" w:hAnsi="宋体" w:cs="宋体"/>
          <w:sz w:val="32"/>
          <w:szCs w:val="32"/>
          <w:highlight w:val="none"/>
          <w:u w:val="single"/>
        </w:rPr>
        <w:t xml:space="preserve">   响应   </w:t>
      </w:r>
      <w:r>
        <w:rPr>
          <w:rFonts w:hint="eastAsia" w:ascii="宋体" w:hAnsi="宋体" w:cs="宋体"/>
          <w:sz w:val="32"/>
          <w:szCs w:val="32"/>
          <w:highlight w:val="none"/>
        </w:rPr>
        <w:t>招标文件要求。</w:t>
      </w:r>
    </w:p>
    <w:p w14:paraId="6376085C">
      <w:pPr>
        <w:numPr>
          <w:ilvl w:val="0"/>
          <w:numId w:val="7"/>
        </w:numPr>
        <w:topLinePunct/>
        <w:ind w:left="1" w:leftChars="0" w:firstLine="419" w:firstLineChars="0"/>
        <w:rPr>
          <w:rFonts w:ascii="宋体" w:hAnsi="宋体" w:cs="宋体"/>
          <w:sz w:val="32"/>
          <w:szCs w:val="32"/>
          <w:highlight w:val="none"/>
        </w:rPr>
      </w:pPr>
      <w:r>
        <w:rPr>
          <w:rFonts w:hint="eastAsia" w:ascii="宋体" w:hAnsi="宋体" w:cs="宋体"/>
          <w:sz w:val="32"/>
          <w:szCs w:val="32"/>
          <w:highlight w:val="none"/>
        </w:rPr>
        <w:t>质量要求：质量符合</w:t>
      </w:r>
      <w:r>
        <w:rPr>
          <w:rFonts w:hint="eastAsia" w:ascii="宋体" w:hAnsi="宋体" w:cs="宋体"/>
          <w:sz w:val="32"/>
          <w:szCs w:val="32"/>
          <w:highlight w:val="none"/>
          <w:u w:val="single"/>
        </w:rPr>
        <w:t>　国家标准　</w:t>
      </w:r>
      <w:r>
        <w:rPr>
          <w:rFonts w:hint="eastAsia" w:ascii="宋体" w:hAnsi="宋体" w:cs="宋体"/>
          <w:sz w:val="32"/>
          <w:szCs w:val="32"/>
          <w:highlight w:val="none"/>
        </w:rPr>
        <w:t>。</w:t>
      </w:r>
    </w:p>
    <w:p w14:paraId="5CD5DF01">
      <w:pPr>
        <w:numPr>
          <w:ilvl w:val="0"/>
          <w:numId w:val="7"/>
        </w:numPr>
        <w:topLinePunct/>
        <w:ind w:left="1" w:leftChars="0" w:firstLine="419" w:firstLineChars="0"/>
        <w:rPr>
          <w:rFonts w:ascii="宋体" w:hAnsi="宋体" w:cs="宋体"/>
          <w:sz w:val="32"/>
          <w:szCs w:val="32"/>
          <w:highlight w:val="none"/>
        </w:rPr>
      </w:pPr>
      <w:r>
        <w:rPr>
          <w:rFonts w:hint="eastAsia" w:ascii="宋体" w:hAnsi="宋体" w:cs="宋体"/>
          <w:sz w:val="32"/>
          <w:szCs w:val="32"/>
          <w:highlight w:val="none"/>
          <w:lang w:val="en-US" w:eastAsia="zh-CN"/>
        </w:rPr>
        <w:t>运维期限</w:t>
      </w:r>
      <w:r>
        <w:rPr>
          <w:rFonts w:hint="eastAsia" w:ascii="宋体" w:hAnsi="宋体" w:cs="宋体"/>
          <w:sz w:val="32"/>
          <w:szCs w:val="32"/>
          <w:highlight w:val="none"/>
        </w:rPr>
        <w:t>:</w:t>
      </w:r>
      <w:r>
        <w:rPr>
          <w:rFonts w:hint="eastAsia" w:ascii="宋体" w:hAnsi="宋体" w:cs="宋体"/>
          <w:sz w:val="32"/>
          <w:szCs w:val="32"/>
          <w:highlight w:val="none"/>
          <w:u w:val="single"/>
          <w:lang w:val="en-US" w:eastAsia="zh-CN"/>
        </w:rPr>
        <w:t xml:space="preserve">    </w:t>
      </w:r>
      <w:r>
        <w:rPr>
          <w:rFonts w:hint="eastAsia" w:ascii="宋体" w:hAnsi="宋体" w:cs="宋体"/>
          <w:sz w:val="32"/>
          <w:szCs w:val="32"/>
          <w:highlight w:val="none"/>
        </w:rPr>
        <w:t>年（从合同履行结束，项日验收合格之日开始计算。）。</w:t>
      </w:r>
    </w:p>
    <w:p w14:paraId="3C3B0F8C">
      <w:pPr>
        <w:numPr>
          <w:ilvl w:val="0"/>
          <w:numId w:val="7"/>
        </w:numPr>
        <w:topLinePunct/>
        <w:ind w:left="1" w:leftChars="0" w:firstLine="419" w:firstLineChars="0"/>
        <w:rPr>
          <w:rFonts w:hint="eastAsia" w:ascii="宋体" w:hAnsi="宋体" w:cs="宋体"/>
          <w:color w:val="auto"/>
          <w:sz w:val="32"/>
          <w:szCs w:val="32"/>
          <w:highlight w:val="none"/>
          <w:lang w:val="en-US" w:eastAsia="zh-CN"/>
        </w:rPr>
      </w:pPr>
      <w:r>
        <w:rPr>
          <w:rFonts w:hint="eastAsia" w:ascii="宋体" w:hAnsi="宋体" w:cs="宋体"/>
          <w:color w:val="auto"/>
          <w:sz w:val="32"/>
          <w:szCs w:val="32"/>
          <w:highlight w:val="none"/>
          <w:lang w:val="en-US" w:eastAsia="zh-CN"/>
        </w:rPr>
        <w:t>投标是否包含进口产品：</w:t>
      </w:r>
      <w:r>
        <w:rPr>
          <w:rFonts w:hint="eastAsia" w:ascii="宋体" w:hAnsi="宋体" w:cs="宋体"/>
          <w:color w:val="auto"/>
          <w:sz w:val="32"/>
          <w:szCs w:val="32"/>
          <w:highlight w:val="none"/>
          <w:u w:val="single"/>
          <w:lang w:val="en-US" w:eastAsia="zh-CN"/>
        </w:rPr>
        <w:t xml:space="preserve">  否  </w:t>
      </w:r>
      <w:r>
        <w:rPr>
          <w:rFonts w:hint="eastAsia" w:ascii="宋体" w:hAnsi="宋体" w:cs="宋体"/>
          <w:color w:val="auto"/>
          <w:sz w:val="32"/>
          <w:szCs w:val="32"/>
          <w:highlight w:val="none"/>
          <w:u w:val="none"/>
          <w:lang w:val="en-US" w:eastAsia="zh-CN"/>
        </w:rPr>
        <w:t>。</w:t>
      </w:r>
    </w:p>
    <w:p w14:paraId="25735FD9">
      <w:pPr>
        <w:numPr>
          <w:ilvl w:val="0"/>
          <w:numId w:val="7"/>
        </w:numPr>
        <w:topLinePunct/>
        <w:ind w:left="1" w:leftChars="0" w:firstLine="419" w:firstLineChars="0"/>
        <w:rPr>
          <w:rFonts w:hint="eastAsia" w:ascii="宋体" w:hAnsi="宋体" w:cs="宋体"/>
          <w:color w:val="auto"/>
          <w:sz w:val="32"/>
          <w:szCs w:val="32"/>
          <w:highlight w:val="none"/>
          <w:lang w:val="en-US" w:eastAsia="zh-CN"/>
        </w:rPr>
      </w:pPr>
      <w:r>
        <w:rPr>
          <w:rFonts w:hint="eastAsia" w:ascii="宋体" w:hAnsi="宋体" w:cs="宋体"/>
          <w:color w:val="auto"/>
          <w:sz w:val="32"/>
          <w:szCs w:val="32"/>
          <w:highlight w:val="none"/>
          <w:u w:val="none"/>
          <w:lang w:val="en-US" w:eastAsia="zh-CN"/>
        </w:rPr>
        <w:t>是否为联合体投标：</w:t>
      </w:r>
      <w:r>
        <w:rPr>
          <w:rFonts w:hint="eastAsia" w:ascii="宋体" w:hAnsi="宋体" w:cs="宋体"/>
          <w:color w:val="auto"/>
          <w:sz w:val="32"/>
          <w:szCs w:val="32"/>
          <w:highlight w:val="none"/>
          <w:u w:val="single"/>
          <w:lang w:val="en-US" w:eastAsia="zh-CN"/>
        </w:rPr>
        <w:t xml:space="preserve">  否  </w:t>
      </w:r>
      <w:r>
        <w:rPr>
          <w:rFonts w:hint="eastAsia" w:ascii="宋体" w:hAnsi="宋体" w:cs="宋体"/>
          <w:color w:val="auto"/>
          <w:sz w:val="32"/>
          <w:szCs w:val="32"/>
          <w:highlight w:val="none"/>
          <w:u w:val="none"/>
          <w:lang w:val="en-US" w:eastAsia="zh-CN"/>
        </w:rPr>
        <w:t>。</w:t>
      </w:r>
    </w:p>
    <w:p w14:paraId="6D76F87F">
      <w:pPr>
        <w:numPr>
          <w:ilvl w:val="0"/>
          <w:numId w:val="7"/>
        </w:numPr>
        <w:topLinePunct/>
        <w:ind w:left="1" w:leftChars="0" w:firstLine="419" w:firstLineChars="0"/>
        <w:rPr>
          <w:rFonts w:hint="eastAsia" w:ascii="宋体" w:hAnsi="宋体" w:cs="宋体"/>
          <w:color w:val="auto"/>
          <w:sz w:val="32"/>
          <w:szCs w:val="32"/>
          <w:highlight w:val="none"/>
          <w:u w:val="none"/>
          <w:lang w:val="en-US" w:eastAsia="zh-CN"/>
        </w:rPr>
      </w:pPr>
      <w:r>
        <w:rPr>
          <w:rFonts w:hint="eastAsia" w:ascii="宋体" w:hAnsi="宋体" w:cs="宋体"/>
          <w:color w:val="auto"/>
          <w:sz w:val="32"/>
          <w:szCs w:val="32"/>
          <w:highlight w:val="none"/>
          <w:u w:val="none"/>
          <w:lang w:val="en-US" w:eastAsia="zh-CN"/>
        </w:rPr>
        <w:t>是否将项目分包给他人履行：</w:t>
      </w:r>
      <w:r>
        <w:rPr>
          <w:rFonts w:hint="eastAsia" w:ascii="宋体" w:hAnsi="宋体" w:cs="宋体"/>
          <w:color w:val="auto"/>
          <w:sz w:val="32"/>
          <w:szCs w:val="32"/>
          <w:highlight w:val="none"/>
          <w:u w:val="single"/>
          <w:lang w:val="en-US" w:eastAsia="zh-CN"/>
        </w:rPr>
        <w:t xml:space="preserve"> 否  </w:t>
      </w:r>
      <w:r>
        <w:rPr>
          <w:rFonts w:hint="eastAsia" w:ascii="宋体" w:hAnsi="宋体" w:cs="宋体"/>
          <w:color w:val="auto"/>
          <w:sz w:val="32"/>
          <w:szCs w:val="32"/>
          <w:highlight w:val="none"/>
          <w:u w:val="none"/>
          <w:lang w:val="en-US" w:eastAsia="zh-CN"/>
        </w:rPr>
        <w:t>。</w:t>
      </w:r>
    </w:p>
    <w:p w14:paraId="6CBDE9CE">
      <w:pPr>
        <w:numPr>
          <w:ilvl w:val="0"/>
          <w:numId w:val="7"/>
        </w:numPr>
        <w:topLinePunct/>
        <w:ind w:left="1" w:leftChars="0" w:firstLine="419" w:firstLineChars="0"/>
        <w:rPr>
          <w:rFonts w:ascii="宋体" w:hAnsi="宋体" w:cs="宋体"/>
          <w:sz w:val="32"/>
          <w:szCs w:val="32"/>
          <w:highlight w:val="none"/>
        </w:rPr>
      </w:pPr>
      <w:r>
        <w:rPr>
          <w:rFonts w:hint="eastAsia" w:ascii="宋体" w:hAnsi="宋体" w:cs="宋体"/>
          <w:sz w:val="32"/>
          <w:szCs w:val="32"/>
          <w:highlight w:val="none"/>
          <w:u w:val="none"/>
          <w:lang w:val="en-US" w:eastAsia="zh-CN"/>
        </w:rPr>
        <w:t>除在技术及商务偏差表中列出的偏差外，我方响应招标采购文件的全部要求。</w:t>
      </w:r>
    </w:p>
    <w:p w14:paraId="41F42989">
      <w:pPr>
        <w:numPr>
          <w:ilvl w:val="0"/>
          <w:numId w:val="7"/>
        </w:numPr>
        <w:topLinePunct/>
        <w:ind w:left="1" w:leftChars="0" w:firstLine="419" w:firstLineChars="0"/>
        <w:rPr>
          <w:rFonts w:ascii="宋体" w:hAnsi="宋体" w:cs="仿宋_GB2312"/>
          <w:sz w:val="32"/>
          <w:szCs w:val="32"/>
          <w:highlight w:val="none"/>
        </w:rPr>
      </w:pPr>
      <w:r>
        <w:rPr>
          <w:rFonts w:hint="eastAsia" w:ascii="宋体" w:hAnsi="宋体" w:cs="仿宋_GB2312"/>
          <w:sz w:val="32"/>
          <w:szCs w:val="32"/>
          <w:highlight w:val="none"/>
        </w:rPr>
        <w:t>我方</w:t>
      </w:r>
      <w:r>
        <w:rPr>
          <w:rFonts w:hint="eastAsia" w:ascii="宋体" w:hAnsi="宋体" w:cs="仿宋_GB2312"/>
          <w:strike w:val="0"/>
          <w:dstrike w:val="0"/>
          <w:sz w:val="32"/>
          <w:szCs w:val="32"/>
          <w:highlight w:val="none"/>
          <w:lang w:val="en-US" w:eastAsia="zh-CN"/>
        </w:rPr>
        <w:t>提供</w:t>
      </w:r>
      <w:r>
        <w:rPr>
          <w:rFonts w:hint="eastAsia" w:ascii="宋体" w:hAnsi="宋体" w:cs="仿宋_GB2312"/>
          <w:sz w:val="32"/>
          <w:szCs w:val="32"/>
          <w:highlight w:val="none"/>
        </w:rPr>
        <w:t>的</w:t>
      </w:r>
      <w:r>
        <w:rPr>
          <w:rFonts w:hint="eastAsia" w:ascii="宋体" w:hAnsi="宋体" w:cs="仿宋_GB2312"/>
          <w:sz w:val="32"/>
          <w:szCs w:val="32"/>
          <w:highlight w:val="none"/>
          <w:lang w:val="en-US" w:eastAsia="zh-CN"/>
        </w:rPr>
        <w:t>全部文件资料真实准确，并对此承担一切法律后果。</w:t>
      </w:r>
    </w:p>
    <w:p w14:paraId="3EA101E3">
      <w:pPr>
        <w:numPr>
          <w:ilvl w:val="0"/>
          <w:numId w:val="7"/>
        </w:numPr>
        <w:topLinePunct/>
        <w:ind w:left="1" w:leftChars="0" w:firstLine="419" w:firstLineChars="0"/>
        <w:rPr>
          <w:rFonts w:hint="eastAsia" w:ascii="宋体" w:hAnsi="宋体" w:cs="仿宋_GB2312"/>
          <w:sz w:val="32"/>
          <w:szCs w:val="32"/>
          <w:highlight w:val="none"/>
          <w:lang w:val="en-US" w:eastAsia="zh-CN"/>
        </w:rPr>
      </w:pPr>
      <w:r>
        <w:rPr>
          <w:rFonts w:hint="eastAsia" w:ascii="宋体" w:hAnsi="宋体" w:cs="仿宋_GB2312"/>
          <w:sz w:val="32"/>
          <w:szCs w:val="32"/>
          <w:highlight w:val="none"/>
        </w:rPr>
        <w:t>如我方中标，将在规定的期限内与你方签订合同，并完成合同规定的全部义务。</w:t>
      </w:r>
    </w:p>
    <w:p w14:paraId="518358F5">
      <w:pPr>
        <w:numPr>
          <w:ilvl w:val="0"/>
          <w:numId w:val="7"/>
        </w:numPr>
        <w:topLinePunct/>
        <w:spacing w:line="240" w:lineRule="auto"/>
        <w:ind w:firstLine="419" w:firstLineChars="131"/>
        <w:rPr>
          <w:rFonts w:ascii="宋体" w:hAnsi="宋体" w:cs="宋体"/>
          <w:sz w:val="32"/>
          <w:szCs w:val="32"/>
          <w:highlight w:val="none"/>
        </w:rPr>
      </w:pPr>
      <w:r>
        <w:rPr>
          <w:rFonts w:hint="eastAsia" w:ascii="宋体" w:hAnsi="宋体" w:eastAsia="宋体" w:cs="宋体"/>
          <w:sz w:val="32"/>
          <w:szCs w:val="32"/>
          <w:highlight w:val="none"/>
          <w:lang w:val="en-US" w:eastAsia="zh-CN"/>
        </w:rPr>
        <w:t>我方在此承诺，</w:t>
      </w:r>
      <w:r>
        <w:rPr>
          <w:rFonts w:hint="eastAsia" w:ascii="宋体" w:hAnsi="宋体" w:eastAsia="宋体" w:cs="宋体"/>
          <w:sz w:val="32"/>
          <w:szCs w:val="32"/>
          <w:highlight w:val="none"/>
          <w:lang w:val="en-US"/>
        </w:rPr>
        <w:t>本软件（包括但不限于其源代码、目标代码、文档、用户界面设计、算法、数据结构等）的知识产权，无条件地归采购人所有。在本软件的开发过程中，未使用任何侵犯第三方知识产权的材料、技术或方法，且本软件的开发不侵犯任何第三方的专利权、商标权、著作权或其他知识产权。如</w:t>
      </w:r>
      <w:r>
        <w:rPr>
          <w:rFonts w:hint="eastAsia" w:ascii="宋体" w:hAnsi="宋体" w:eastAsia="宋体" w:cs="宋体"/>
          <w:sz w:val="32"/>
          <w:szCs w:val="32"/>
          <w:highlight w:val="none"/>
          <w:lang w:val="en-US" w:eastAsia="zh-CN"/>
        </w:rPr>
        <w:t>我</w:t>
      </w:r>
      <w:r>
        <w:rPr>
          <w:rFonts w:hint="eastAsia" w:ascii="宋体" w:hAnsi="宋体" w:eastAsia="宋体" w:cs="宋体"/>
          <w:sz w:val="32"/>
          <w:szCs w:val="32"/>
          <w:highlight w:val="none"/>
          <w:lang w:val="en-US"/>
        </w:rPr>
        <w:t>方原因导致</w:t>
      </w:r>
      <w:r>
        <w:rPr>
          <w:rFonts w:hint="eastAsia" w:ascii="宋体" w:hAnsi="宋体" w:eastAsia="宋体" w:cs="宋体"/>
          <w:sz w:val="32"/>
          <w:szCs w:val="32"/>
          <w:highlight w:val="none"/>
          <w:lang w:val="en-US" w:eastAsia="zh-CN"/>
        </w:rPr>
        <w:t>采购人</w:t>
      </w:r>
      <w:r>
        <w:rPr>
          <w:rFonts w:hint="eastAsia" w:ascii="宋体" w:hAnsi="宋体" w:eastAsia="宋体" w:cs="宋体"/>
          <w:sz w:val="32"/>
          <w:szCs w:val="32"/>
          <w:highlight w:val="none"/>
          <w:lang w:val="en-US"/>
        </w:rPr>
        <w:t>遭受第三方提起的知识产权侵权诉讼或索赔，</w:t>
      </w:r>
      <w:r>
        <w:rPr>
          <w:rFonts w:hint="eastAsia" w:ascii="宋体" w:hAnsi="宋体" w:eastAsia="宋体" w:cs="宋体"/>
          <w:sz w:val="32"/>
          <w:szCs w:val="32"/>
          <w:highlight w:val="none"/>
          <w:lang w:val="en-US" w:eastAsia="zh-CN"/>
        </w:rPr>
        <w:t>我</w:t>
      </w:r>
      <w:r>
        <w:rPr>
          <w:rFonts w:hint="eastAsia" w:ascii="宋体" w:hAnsi="宋体" w:eastAsia="宋体" w:cs="宋体"/>
          <w:sz w:val="32"/>
          <w:szCs w:val="32"/>
          <w:highlight w:val="none"/>
          <w:lang w:val="en-US"/>
        </w:rPr>
        <w:t>方应负责解决并承担全部法律责任及费用</w:t>
      </w:r>
      <w:r>
        <w:rPr>
          <w:rFonts w:hint="eastAsia" w:ascii="宋体" w:hAnsi="宋体" w:eastAsia="宋体" w:cs="宋体"/>
          <w:sz w:val="32"/>
          <w:szCs w:val="32"/>
          <w:highlight w:val="none"/>
          <w:lang w:val="en-US" w:eastAsia="zh-CN"/>
        </w:rPr>
        <w:t>。</w:t>
      </w:r>
    </w:p>
    <w:p w14:paraId="35C82DCD">
      <w:pPr>
        <w:topLinePunct/>
        <w:ind w:firstLine="640" w:firstLineChars="200"/>
        <w:rPr>
          <w:rFonts w:ascii="宋体" w:hAnsi="宋体" w:cs="宋体"/>
          <w:sz w:val="32"/>
          <w:szCs w:val="32"/>
          <w:highlight w:val="none"/>
        </w:rPr>
      </w:pPr>
    </w:p>
    <w:p w14:paraId="22ACBDAA">
      <w:pPr>
        <w:topLinePunct/>
        <w:rPr>
          <w:rFonts w:ascii="宋体" w:hAnsi="宋体" w:cs="宋体"/>
          <w:sz w:val="32"/>
          <w:szCs w:val="32"/>
          <w:highlight w:val="none"/>
        </w:rPr>
      </w:pPr>
    </w:p>
    <w:p w14:paraId="13B4D55E">
      <w:pPr>
        <w:topLinePunct/>
        <w:ind w:firstLine="640" w:firstLineChars="200"/>
        <w:rPr>
          <w:rFonts w:ascii="宋体" w:hAnsi="宋体" w:cs="宋体"/>
          <w:sz w:val="32"/>
          <w:szCs w:val="32"/>
          <w:highlight w:val="none"/>
        </w:rPr>
      </w:pPr>
      <w:r>
        <w:rPr>
          <w:rFonts w:hint="eastAsia" w:ascii="宋体" w:hAnsi="宋体" w:cs="宋体"/>
          <w:sz w:val="32"/>
          <w:szCs w:val="32"/>
          <w:highlight w:val="none"/>
        </w:rPr>
        <w:t>投标单位（盖单位章）：</w:t>
      </w:r>
      <w:r>
        <w:rPr>
          <w:rFonts w:hint="eastAsia" w:ascii="宋体" w:hAnsi="宋体" w:cs="宋体"/>
          <w:sz w:val="32"/>
          <w:szCs w:val="32"/>
          <w:highlight w:val="none"/>
          <w:u w:val="single"/>
        </w:rPr>
        <w:t xml:space="preserve">                          </w:t>
      </w:r>
    </w:p>
    <w:p w14:paraId="0A5840C5">
      <w:pPr>
        <w:topLinePunct/>
        <w:ind w:firstLine="560" w:firstLineChars="200"/>
        <w:rPr>
          <w:rFonts w:ascii="宋体" w:hAnsi="宋体" w:cs="宋体"/>
          <w:sz w:val="32"/>
          <w:szCs w:val="32"/>
          <w:highlight w:val="none"/>
          <w:u w:val="single"/>
        </w:rPr>
      </w:pPr>
      <w:r>
        <w:rPr>
          <w:rFonts w:hint="eastAsia" w:ascii="宋体" w:hAnsi="宋体" w:cs="宋体"/>
          <w:sz w:val="28"/>
          <w:szCs w:val="28"/>
          <w:highlight w:val="none"/>
        </w:rPr>
        <w:t>法定代表人（负责人）或委托代理人（签名或盖章）：</w:t>
      </w:r>
      <w:r>
        <w:rPr>
          <w:rFonts w:hint="eastAsia" w:ascii="宋体" w:hAnsi="宋体" w:cs="宋体"/>
          <w:sz w:val="28"/>
          <w:szCs w:val="28"/>
          <w:highlight w:val="none"/>
          <w:u w:val="single"/>
        </w:rPr>
        <w:t xml:space="preserve">       </w:t>
      </w:r>
      <w:r>
        <w:rPr>
          <w:rFonts w:hint="eastAsia" w:ascii="宋体" w:hAnsi="宋体" w:cs="宋体"/>
          <w:sz w:val="32"/>
          <w:szCs w:val="32"/>
          <w:highlight w:val="none"/>
          <w:u w:val="single"/>
        </w:rPr>
        <w:t xml:space="preserve"> </w:t>
      </w:r>
    </w:p>
    <w:p w14:paraId="6361699F">
      <w:pPr>
        <w:topLinePunct/>
        <w:ind w:firstLine="640" w:firstLineChars="200"/>
        <w:rPr>
          <w:rFonts w:ascii="宋体" w:hAnsi="宋体" w:cs="宋体"/>
          <w:sz w:val="32"/>
          <w:szCs w:val="32"/>
          <w:highlight w:val="none"/>
          <w:u w:val="single"/>
        </w:rPr>
      </w:pPr>
      <w:r>
        <w:rPr>
          <w:rFonts w:hint="eastAsia" w:ascii="宋体" w:hAnsi="宋体" w:cs="宋体"/>
          <w:sz w:val="32"/>
          <w:szCs w:val="32"/>
          <w:highlight w:val="none"/>
        </w:rPr>
        <w:t>电话：</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 电子邮箱：</w:t>
      </w:r>
      <w:r>
        <w:rPr>
          <w:rFonts w:hint="eastAsia" w:ascii="宋体" w:hAnsi="宋体" w:cs="宋体"/>
          <w:sz w:val="32"/>
          <w:szCs w:val="32"/>
          <w:highlight w:val="none"/>
          <w:u w:val="single"/>
        </w:rPr>
        <w:t xml:space="preserve">                  </w:t>
      </w:r>
    </w:p>
    <w:p w14:paraId="1EABE340">
      <w:pPr>
        <w:topLinePunct/>
        <w:ind w:firstLine="640" w:firstLineChars="200"/>
        <w:rPr>
          <w:rFonts w:ascii="宋体" w:hAnsi="宋体" w:cs="宋体"/>
          <w:sz w:val="32"/>
          <w:szCs w:val="32"/>
          <w:highlight w:val="none"/>
          <w:u w:val="single"/>
        </w:rPr>
      </w:pPr>
      <w:r>
        <w:rPr>
          <w:rFonts w:hint="eastAsia" w:ascii="宋体" w:hAnsi="宋体" w:cs="宋体"/>
          <w:sz w:val="32"/>
          <w:szCs w:val="32"/>
          <w:highlight w:val="none"/>
        </w:rPr>
        <w:t>地址：</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 邮编： </w:t>
      </w:r>
      <w:r>
        <w:rPr>
          <w:rFonts w:hint="eastAsia" w:ascii="宋体" w:hAnsi="宋体" w:cs="宋体"/>
          <w:sz w:val="32"/>
          <w:szCs w:val="32"/>
          <w:highlight w:val="none"/>
          <w:u w:val="single"/>
        </w:rPr>
        <w:t xml:space="preserve">                     </w:t>
      </w:r>
    </w:p>
    <w:p w14:paraId="4797A7A0">
      <w:pPr>
        <w:jc w:val="left"/>
        <w:rPr>
          <w:rFonts w:ascii="宋体" w:hAnsi="宋体"/>
          <w:sz w:val="28"/>
          <w:szCs w:val="28"/>
          <w:highlight w:val="none"/>
        </w:rPr>
      </w:pPr>
      <w:r>
        <w:rPr>
          <w:rFonts w:hint="eastAsia" w:ascii="宋体" w:hAnsi="宋体" w:cs="宋体"/>
          <w:sz w:val="32"/>
          <w:szCs w:val="32"/>
          <w:highlight w:val="none"/>
        </w:rPr>
        <w:t xml:space="preserve">                               </w:t>
      </w:r>
      <w:r>
        <w:rPr>
          <w:rFonts w:hint="eastAsia" w:ascii="宋体" w:hAnsi="宋体" w:cs="宋体"/>
          <w:sz w:val="32"/>
          <w:szCs w:val="32"/>
          <w:highlight w:val="none"/>
          <w:u w:val="single"/>
        </w:rPr>
        <w:t xml:space="preserve">       </w:t>
      </w:r>
      <w:r>
        <w:rPr>
          <w:rFonts w:hint="eastAsia" w:ascii="宋体" w:hAnsi="宋体" w:cs="宋体"/>
          <w:sz w:val="32"/>
          <w:szCs w:val="32"/>
          <w:highlight w:val="none"/>
        </w:rPr>
        <w:t>年</w:t>
      </w:r>
      <w:r>
        <w:rPr>
          <w:rFonts w:hint="eastAsia" w:ascii="宋体" w:hAnsi="宋体" w:cs="宋体"/>
          <w:sz w:val="32"/>
          <w:szCs w:val="32"/>
          <w:highlight w:val="none"/>
          <w:u w:val="single"/>
        </w:rPr>
        <w:t xml:space="preserve">  </w:t>
      </w:r>
      <w:r>
        <w:rPr>
          <w:rFonts w:hint="eastAsia" w:ascii="宋体" w:hAnsi="宋体" w:cs="宋体"/>
          <w:sz w:val="32"/>
          <w:szCs w:val="32"/>
          <w:highlight w:val="none"/>
        </w:rPr>
        <w:t>月</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日 </w:t>
      </w:r>
      <w:r>
        <w:rPr>
          <w:rFonts w:hint="eastAsia" w:ascii="宋体" w:hAnsi="宋体" w:cs="仿宋_GB2312"/>
          <w:sz w:val="32"/>
          <w:szCs w:val="32"/>
          <w:highlight w:val="none"/>
        </w:rPr>
        <w:t xml:space="preserve">    </w:t>
      </w:r>
      <w:r>
        <w:rPr>
          <w:rFonts w:ascii="宋体" w:hAnsi="宋体"/>
          <w:sz w:val="44"/>
          <w:szCs w:val="44"/>
          <w:highlight w:val="none"/>
        </w:rPr>
        <w:br w:type="page"/>
      </w:r>
      <w:r>
        <w:rPr>
          <w:rFonts w:hint="eastAsia" w:ascii="宋体" w:hAnsi="宋体" w:cs="宋体"/>
          <w:sz w:val="28"/>
          <w:szCs w:val="28"/>
          <w:highlight w:val="none"/>
          <w:lang w:val="en-US" w:eastAsia="zh-CN"/>
        </w:rPr>
        <w:t>法定代表人资格证明或授权委托书（实质性要求）</w:t>
      </w:r>
    </w:p>
    <w:p w14:paraId="575BF43B">
      <w:pPr>
        <w:jc w:val="center"/>
        <w:outlineLvl w:val="1"/>
        <w:rPr>
          <w:rFonts w:ascii="宋体" w:hAnsi="宋体"/>
          <w:sz w:val="32"/>
          <w:szCs w:val="32"/>
          <w:highlight w:val="none"/>
        </w:rPr>
      </w:pPr>
      <w:bookmarkStart w:id="776" w:name="_Toc17423"/>
      <w:r>
        <w:rPr>
          <w:rFonts w:hint="eastAsia" w:ascii="宋体" w:hAnsi="宋体"/>
          <w:b/>
          <w:kern w:val="44"/>
          <w:sz w:val="44"/>
          <w:szCs w:val="44"/>
          <w:highlight w:val="none"/>
        </w:rPr>
        <w:t>二　法定代表人资格证明</w:t>
      </w:r>
      <w:bookmarkEnd w:id="776"/>
    </w:p>
    <w:p w14:paraId="6526FCBB">
      <w:pPr>
        <w:ind w:firstLine="640" w:firstLineChars="200"/>
        <w:rPr>
          <w:rFonts w:hint="eastAsia" w:ascii="宋体" w:hAnsi="宋体"/>
          <w:sz w:val="32"/>
          <w:szCs w:val="32"/>
          <w:highlight w:val="none"/>
        </w:rPr>
      </w:pPr>
      <w:bookmarkStart w:id="777" w:name="_Toc288114460"/>
    </w:p>
    <w:p w14:paraId="09B57A6B">
      <w:pPr>
        <w:ind w:firstLine="640" w:firstLineChars="200"/>
        <w:rPr>
          <w:rFonts w:hint="eastAsia" w:ascii="宋体" w:hAnsi="宋体"/>
          <w:sz w:val="32"/>
          <w:szCs w:val="32"/>
          <w:highlight w:val="none"/>
        </w:rPr>
      </w:pPr>
    </w:p>
    <w:bookmarkEnd w:id="777"/>
    <w:p w14:paraId="0DF90F86">
      <w:pPr>
        <w:rPr>
          <w:rFonts w:hint="default" w:ascii="Times New Roman" w:hAnsi="Times New Roman" w:eastAsia="宋体"/>
          <w:sz w:val="32"/>
          <w:szCs w:val="32"/>
          <w:highlight w:val="none"/>
          <w:u w:val="single"/>
          <w:lang w:val="en-US" w:eastAsia="zh-CN"/>
        </w:rPr>
      </w:pPr>
      <w:bookmarkStart w:id="778" w:name="_Toc288114465"/>
      <w:r>
        <w:rPr>
          <w:rFonts w:ascii="Times New Roman" w:hAnsi="Times New Roman"/>
          <w:sz w:val="32"/>
          <w:szCs w:val="32"/>
          <w:highlight w:val="none"/>
        </w:rPr>
        <w:t>致：</w:t>
      </w:r>
      <w:r>
        <w:rPr>
          <w:rFonts w:hint="eastAsia"/>
          <w:sz w:val="32"/>
          <w:szCs w:val="32"/>
          <w:highlight w:val="none"/>
          <w:u w:val="single"/>
          <w:lang w:val="en-US" w:eastAsia="zh-CN"/>
        </w:rPr>
        <w:t xml:space="preserve">  </w:t>
      </w:r>
      <w:r>
        <w:rPr>
          <w:rFonts w:ascii="Times New Roman" w:hAnsi="Times New Roman"/>
          <w:i/>
          <w:iCs/>
          <w:sz w:val="28"/>
          <w:szCs w:val="28"/>
          <w:highlight w:val="none"/>
          <w:u w:val="single"/>
        </w:rPr>
        <w:t>（采购人）</w:t>
      </w:r>
      <w:r>
        <w:rPr>
          <w:rFonts w:hint="eastAsia"/>
          <w:i/>
          <w:iCs/>
          <w:sz w:val="32"/>
          <w:szCs w:val="32"/>
          <w:highlight w:val="none"/>
          <w:u w:val="single"/>
          <w:lang w:val="en-US" w:eastAsia="zh-CN"/>
        </w:rPr>
        <w:t xml:space="preserve">     </w:t>
      </w:r>
    </w:p>
    <w:p w14:paraId="4857F99F">
      <w:pPr>
        <w:ind w:firstLine="640" w:firstLineChars="200"/>
        <w:rPr>
          <w:rFonts w:ascii="Times New Roman" w:hAnsi="Times New Roman"/>
          <w:sz w:val="32"/>
          <w:szCs w:val="32"/>
          <w:highlight w:val="none"/>
        </w:rPr>
      </w:pPr>
      <w:r>
        <w:rPr>
          <w:rFonts w:ascii="Times New Roman" w:hAnsi="Times New Roman"/>
          <w:sz w:val="32"/>
          <w:szCs w:val="32"/>
          <w:highlight w:val="none"/>
        </w:rPr>
        <w:t>兹证明</w:t>
      </w:r>
      <w:r>
        <w:rPr>
          <w:rFonts w:hint="eastAsia"/>
          <w:sz w:val="32"/>
          <w:szCs w:val="32"/>
          <w:highlight w:val="none"/>
          <w:lang w:eastAsia="zh-CN"/>
        </w:rPr>
        <w:t>，</w:t>
      </w:r>
      <w:r>
        <w:rPr>
          <w:rFonts w:hint="eastAsia"/>
          <w:sz w:val="32"/>
          <w:szCs w:val="32"/>
          <w:highlight w:val="none"/>
          <w:lang w:val="en-US" w:eastAsia="zh-CN"/>
        </w:rPr>
        <w:t xml:space="preserve"> </w:t>
      </w:r>
      <w:r>
        <w:rPr>
          <w:rFonts w:ascii="Times New Roman" w:hAnsi="Times New Roman"/>
          <w:sz w:val="32"/>
          <w:szCs w:val="32"/>
          <w:highlight w:val="none"/>
        </w:rPr>
        <w:t>姓名：</w:t>
      </w:r>
      <w:r>
        <w:rPr>
          <w:rFonts w:hint="eastAsia"/>
          <w:sz w:val="32"/>
          <w:szCs w:val="32"/>
          <w:highlight w:val="none"/>
          <w:u w:val="single"/>
          <w:lang w:val="en-US" w:eastAsia="zh-CN"/>
        </w:rPr>
        <w:t xml:space="preserve">           </w:t>
      </w:r>
      <w:r>
        <w:rPr>
          <w:rFonts w:ascii="Times New Roman" w:hAnsi="Times New Roman"/>
          <w:sz w:val="32"/>
          <w:szCs w:val="32"/>
          <w:highlight w:val="none"/>
        </w:rPr>
        <w:t>性别：</w:t>
      </w:r>
      <w:r>
        <w:rPr>
          <w:rFonts w:hint="eastAsia"/>
          <w:sz w:val="32"/>
          <w:szCs w:val="32"/>
          <w:highlight w:val="none"/>
          <w:u w:val="single"/>
          <w:lang w:val="en-US" w:eastAsia="zh-CN"/>
        </w:rPr>
        <w:t xml:space="preserve">     </w:t>
      </w:r>
      <w:r>
        <w:rPr>
          <w:rFonts w:ascii="Times New Roman" w:hAnsi="Times New Roman"/>
          <w:sz w:val="32"/>
          <w:szCs w:val="32"/>
          <w:highlight w:val="none"/>
        </w:rPr>
        <w:t>年龄：</w:t>
      </w:r>
      <w:r>
        <w:rPr>
          <w:rFonts w:hint="eastAsia"/>
          <w:sz w:val="32"/>
          <w:szCs w:val="32"/>
          <w:highlight w:val="none"/>
          <w:u w:val="single"/>
          <w:lang w:val="en-US" w:eastAsia="zh-CN"/>
        </w:rPr>
        <w:t xml:space="preserve">     </w:t>
      </w:r>
      <w:r>
        <w:rPr>
          <w:rFonts w:ascii="Times New Roman" w:hAnsi="Times New Roman"/>
          <w:sz w:val="32"/>
          <w:szCs w:val="32"/>
          <w:highlight w:val="none"/>
        </w:rPr>
        <w:t>职务：</w:t>
      </w:r>
      <w:r>
        <w:rPr>
          <w:rFonts w:hint="eastAsia"/>
          <w:sz w:val="32"/>
          <w:szCs w:val="32"/>
          <w:highlight w:val="none"/>
          <w:u w:val="single"/>
          <w:lang w:val="en-US" w:eastAsia="zh-CN"/>
        </w:rPr>
        <w:t xml:space="preserve">                </w:t>
      </w:r>
      <w:r>
        <w:rPr>
          <w:rFonts w:hint="eastAsia" w:ascii="Times New Roman" w:hAnsi="Times New Roman"/>
          <w:sz w:val="32"/>
          <w:szCs w:val="32"/>
          <w:highlight w:val="none"/>
        </w:rPr>
        <w:t>（身份证号：</w:t>
      </w:r>
      <w:r>
        <w:rPr>
          <w:rFonts w:hint="eastAsia"/>
          <w:sz w:val="32"/>
          <w:szCs w:val="32"/>
          <w:highlight w:val="none"/>
          <w:u w:val="single"/>
          <w:lang w:val="en-US" w:eastAsia="zh-CN"/>
        </w:rPr>
        <w:t xml:space="preserve">                </w:t>
      </w:r>
      <w:r>
        <w:rPr>
          <w:rFonts w:hint="eastAsia" w:ascii="Times New Roman" w:hAnsi="Times New Roman"/>
          <w:sz w:val="32"/>
          <w:szCs w:val="32"/>
          <w:highlight w:val="none"/>
        </w:rPr>
        <w:t xml:space="preserve"> ）</w:t>
      </w:r>
      <w:r>
        <w:rPr>
          <w:rFonts w:ascii="Times New Roman" w:hAnsi="Times New Roman"/>
          <w:sz w:val="32"/>
          <w:szCs w:val="32"/>
          <w:highlight w:val="none"/>
        </w:rPr>
        <w:t>系</w:t>
      </w:r>
      <w:r>
        <w:rPr>
          <w:rFonts w:ascii="Times New Roman" w:hAnsi="Times New Roman"/>
          <w:sz w:val="32"/>
          <w:szCs w:val="32"/>
          <w:highlight w:val="none"/>
          <w:u w:val="single"/>
        </w:rPr>
        <w:tab/>
      </w:r>
      <w:r>
        <w:rPr>
          <w:rFonts w:hint="eastAsia"/>
          <w:sz w:val="32"/>
          <w:szCs w:val="32"/>
          <w:highlight w:val="none"/>
          <w:u w:val="single"/>
          <w:lang w:val="en-US" w:eastAsia="zh-CN"/>
        </w:rPr>
        <w:t xml:space="preserve">   </w:t>
      </w:r>
      <w:r>
        <w:rPr>
          <w:rFonts w:ascii="Times New Roman" w:hAnsi="Times New Roman"/>
          <w:i/>
          <w:iCs/>
          <w:sz w:val="28"/>
          <w:szCs w:val="28"/>
          <w:highlight w:val="none"/>
          <w:u w:val="single"/>
        </w:rPr>
        <w:t>（投标人名称）</w:t>
      </w:r>
      <w:r>
        <w:rPr>
          <w:rFonts w:hint="eastAsia"/>
          <w:sz w:val="32"/>
          <w:szCs w:val="32"/>
          <w:highlight w:val="none"/>
          <w:u w:val="single"/>
          <w:lang w:val="en-US" w:eastAsia="zh-CN"/>
        </w:rPr>
        <w:t xml:space="preserve">     </w:t>
      </w:r>
      <w:r>
        <w:rPr>
          <w:rFonts w:ascii="Times New Roman" w:hAnsi="Times New Roman"/>
          <w:sz w:val="32"/>
          <w:szCs w:val="32"/>
          <w:highlight w:val="none"/>
        </w:rPr>
        <w:t>的法定代表人（单位负责人）。</w:t>
      </w:r>
      <w:bookmarkEnd w:id="778"/>
    </w:p>
    <w:p w14:paraId="7AC3EF56">
      <w:pPr>
        <w:ind w:firstLine="640" w:firstLineChars="200"/>
        <w:rPr>
          <w:rFonts w:ascii="Times New Roman" w:hAnsi="Times New Roman"/>
          <w:sz w:val="32"/>
          <w:szCs w:val="32"/>
          <w:highlight w:val="none"/>
        </w:rPr>
      </w:pPr>
      <w:r>
        <w:rPr>
          <w:rFonts w:hint="eastAsia" w:ascii="Times New Roman" w:hAnsi="Times New Roman"/>
          <w:sz w:val="32"/>
          <w:szCs w:val="32"/>
          <w:highlight w:val="none"/>
        </w:rPr>
        <w:t xml:space="preserve">    </w:t>
      </w:r>
      <w:bookmarkStart w:id="779" w:name="_Toc288114467"/>
      <w:r>
        <w:rPr>
          <w:rFonts w:hint="eastAsia" w:ascii="Times New Roman" w:hAnsi="Times New Roman"/>
          <w:sz w:val="32"/>
          <w:szCs w:val="32"/>
          <w:highlight w:val="none"/>
        </w:rPr>
        <w:t>特此证明。</w:t>
      </w:r>
      <w:bookmarkEnd w:id="779"/>
    </w:p>
    <w:p w14:paraId="63F17BD9">
      <w:pPr>
        <w:rPr>
          <w:rFonts w:ascii="宋体" w:hAnsi="宋体"/>
          <w:sz w:val="32"/>
          <w:szCs w:val="32"/>
          <w:highlight w:val="none"/>
        </w:rPr>
      </w:pPr>
      <w:r>
        <w:rPr>
          <w:rFonts w:ascii="宋体" w:hAnsi="宋体"/>
          <w:b/>
          <w:color w:val="000000"/>
          <w:kern w:val="0"/>
          <w:sz w:val="32"/>
          <w:szCs w:val="32"/>
          <w:highlight w:val="none"/>
        </w:rPr>
        <w:t>此处附：法定代表人</w:t>
      </w:r>
      <w:r>
        <w:rPr>
          <w:rFonts w:hint="eastAsia" w:ascii="宋体" w:hAnsi="宋体"/>
          <w:b/>
          <w:color w:val="000000"/>
          <w:kern w:val="0"/>
          <w:sz w:val="32"/>
          <w:szCs w:val="32"/>
          <w:highlight w:val="none"/>
        </w:rPr>
        <w:t>（负责人）</w:t>
      </w:r>
      <w:r>
        <w:rPr>
          <w:rFonts w:ascii="宋体" w:hAnsi="宋体"/>
          <w:b/>
          <w:color w:val="000000"/>
          <w:kern w:val="0"/>
          <w:sz w:val="32"/>
          <w:szCs w:val="32"/>
          <w:highlight w:val="none"/>
        </w:rPr>
        <w:t>身份证</w:t>
      </w:r>
      <w:r>
        <w:rPr>
          <w:rFonts w:hint="eastAsia" w:ascii="宋体" w:hAnsi="宋体"/>
          <w:b/>
          <w:sz w:val="32"/>
          <w:szCs w:val="32"/>
          <w:highlight w:val="none"/>
        </w:rPr>
        <w:t>复印件</w:t>
      </w:r>
    </w:p>
    <w:p w14:paraId="57586509">
      <w:pPr>
        <w:rPr>
          <w:rFonts w:ascii="宋体" w:hAnsi="宋体"/>
          <w:sz w:val="32"/>
          <w:szCs w:val="32"/>
          <w:highlight w:val="none"/>
        </w:rPr>
      </w:pPr>
    </w:p>
    <w:p w14:paraId="1E056A79">
      <w:pPr>
        <w:rPr>
          <w:rFonts w:ascii="宋体" w:hAnsi="宋体"/>
          <w:sz w:val="32"/>
          <w:szCs w:val="32"/>
          <w:highlight w:val="none"/>
        </w:rPr>
      </w:pPr>
    </w:p>
    <w:p w14:paraId="79195BE2">
      <w:pPr>
        <w:rPr>
          <w:rFonts w:ascii="宋体" w:hAnsi="宋体"/>
          <w:sz w:val="32"/>
          <w:szCs w:val="32"/>
          <w:highlight w:val="none"/>
        </w:rPr>
      </w:pPr>
    </w:p>
    <w:p w14:paraId="3F24CB8E">
      <w:pPr>
        <w:rPr>
          <w:rFonts w:ascii="宋体" w:hAnsi="宋体"/>
          <w:sz w:val="32"/>
          <w:szCs w:val="32"/>
          <w:highlight w:val="none"/>
        </w:rPr>
      </w:pPr>
    </w:p>
    <w:p w14:paraId="2FDA2E45">
      <w:pPr>
        <w:autoSpaceDE w:val="0"/>
        <w:autoSpaceDN w:val="0"/>
        <w:adjustRightInd w:val="0"/>
        <w:jc w:val="left"/>
        <w:rPr>
          <w:rFonts w:ascii="宋体" w:hAnsi="宋体" w:cs="宋体"/>
          <w:color w:val="000000"/>
          <w:kern w:val="0"/>
          <w:sz w:val="24"/>
          <w:highlight w:val="none"/>
        </w:rPr>
      </w:pPr>
    </w:p>
    <w:p w14:paraId="002055C6">
      <w:pPr>
        <w:rPr>
          <w:rFonts w:hint="eastAsia" w:ascii="宋体" w:hAnsi="宋体" w:eastAsia="宋体"/>
          <w:sz w:val="32"/>
          <w:szCs w:val="32"/>
          <w:highlight w:val="none"/>
          <w:u w:val="single"/>
          <w:lang w:val="en-US" w:eastAsia="zh-CN"/>
        </w:rPr>
      </w:pPr>
      <w:bookmarkStart w:id="780" w:name="_Toc338840466"/>
      <w:bookmarkStart w:id="781" w:name="_Toc289238793"/>
      <w:bookmarkStart w:id="782" w:name="_Toc289096748"/>
      <w:bookmarkStart w:id="783" w:name="_Toc338840257"/>
      <w:bookmarkStart w:id="784" w:name="_Toc289241541"/>
      <w:bookmarkStart w:id="785" w:name="_Toc289241364"/>
      <w:bookmarkStart w:id="786" w:name="_Toc289182822"/>
      <w:bookmarkStart w:id="787" w:name="_Toc288748133"/>
      <w:bookmarkStart w:id="788" w:name="_Toc338840505"/>
      <w:bookmarkStart w:id="789" w:name="_Toc289182444"/>
      <w:r>
        <w:rPr>
          <w:rFonts w:hint="eastAsia" w:ascii="宋体" w:hAnsi="宋体"/>
          <w:sz w:val="32"/>
          <w:szCs w:val="32"/>
          <w:highlight w:val="none"/>
        </w:rPr>
        <w:t xml:space="preserve">    </w:t>
      </w:r>
      <w:bookmarkStart w:id="790" w:name="_Toc288114468"/>
      <w:r>
        <w:rPr>
          <w:rFonts w:hint="eastAsia" w:ascii="宋体" w:hAnsi="宋体"/>
          <w:sz w:val="32"/>
          <w:szCs w:val="32"/>
          <w:highlight w:val="none"/>
        </w:rPr>
        <w:t xml:space="preserve">     </w:t>
      </w:r>
      <w:r>
        <w:rPr>
          <w:rFonts w:hint="eastAsia" w:ascii="宋体" w:hAnsi="宋体"/>
          <w:sz w:val="32"/>
          <w:szCs w:val="32"/>
          <w:highlight w:val="none"/>
          <w:lang w:val="en-US" w:eastAsia="zh-CN"/>
        </w:rPr>
        <w:t>供应商</w:t>
      </w:r>
      <w:r>
        <w:rPr>
          <w:rFonts w:hint="eastAsia" w:ascii="宋体" w:hAnsi="宋体"/>
          <w:sz w:val="32"/>
          <w:szCs w:val="32"/>
          <w:highlight w:val="none"/>
        </w:rPr>
        <w:t>（</w:t>
      </w:r>
      <w:r>
        <w:rPr>
          <w:rFonts w:hint="eastAsia" w:ascii="宋体" w:hAnsi="宋体"/>
          <w:sz w:val="32"/>
          <w:szCs w:val="32"/>
          <w:highlight w:val="none"/>
          <w:lang w:val="en-US" w:eastAsia="zh-CN"/>
        </w:rPr>
        <w:t>加</w:t>
      </w:r>
      <w:r>
        <w:rPr>
          <w:rFonts w:hint="eastAsia" w:ascii="宋体" w:hAnsi="宋体"/>
          <w:sz w:val="32"/>
          <w:szCs w:val="32"/>
          <w:highlight w:val="none"/>
        </w:rPr>
        <w:t>盖</w:t>
      </w:r>
      <w:r>
        <w:rPr>
          <w:rFonts w:hint="eastAsia" w:ascii="宋体" w:hAnsi="宋体"/>
          <w:sz w:val="32"/>
          <w:szCs w:val="32"/>
          <w:highlight w:val="none"/>
          <w:lang w:val="en-US" w:eastAsia="zh-CN"/>
        </w:rPr>
        <w:t>公</w:t>
      </w:r>
      <w:r>
        <w:rPr>
          <w:rFonts w:hint="eastAsia" w:ascii="宋体" w:hAnsi="宋体"/>
          <w:sz w:val="32"/>
          <w:szCs w:val="32"/>
          <w:highlight w:val="none"/>
        </w:rPr>
        <w:t>章）：</w:t>
      </w:r>
      <w:r>
        <w:rPr>
          <w:rFonts w:hint="eastAsia" w:ascii="宋体" w:hAnsi="宋体"/>
          <w:sz w:val="32"/>
          <w:szCs w:val="32"/>
          <w:highlight w:val="none"/>
          <w:u w:val="single"/>
        </w:rPr>
        <w:t xml:space="preserve">    </w:t>
      </w:r>
      <w:r>
        <w:rPr>
          <w:rFonts w:hint="eastAsia" w:ascii="宋体" w:hAnsi="宋体"/>
          <w:sz w:val="32"/>
          <w:szCs w:val="32"/>
          <w:highlight w:val="none"/>
          <w:u w:val="single"/>
          <w:lang w:val="en-US" w:eastAsia="zh-CN"/>
        </w:rPr>
        <w:t xml:space="preserve">            </w:t>
      </w:r>
      <w:r>
        <w:rPr>
          <w:rFonts w:hint="eastAsia" w:ascii="宋体" w:hAnsi="宋体"/>
          <w:sz w:val="32"/>
          <w:szCs w:val="32"/>
          <w:highlight w:val="none"/>
          <w:u w:val="single"/>
        </w:rPr>
        <w:t xml:space="preserve">      </w:t>
      </w:r>
      <w:bookmarkEnd w:id="790"/>
      <w:r>
        <w:rPr>
          <w:rFonts w:hint="eastAsia" w:ascii="宋体" w:hAnsi="宋体"/>
          <w:sz w:val="32"/>
          <w:szCs w:val="32"/>
          <w:highlight w:val="none"/>
          <w:u w:val="single"/>
          <w:lang w:val="en-US" w:eastAsia="zh-CN"/>
        </w:rPr>
        <w:t xml:space="preserve"> </w:t>
      </w:r>
    </w:p>
    <w:p w14:paraId="3062F513">
      <w:pPr>
        <w:rPr>
          <w:rFonts w:ascii="宋体" w:hAnsi="宋体"/>
          <w:sz w:val="32"/>
          <w:szCs w:val="32"/>
          <w:highlight w:val="none"/>
        </w:rPr>
      </w:pPr>
      <w:r>
        <w:rPr>
          <w:rFonts w:hint="eastAsia" w:ascii="宋体" w:hAnsi="宋体"/>
          <w:sz w:val="32"/>
          <w:szCs w:val="32"/>
          <w:highlight w:val="none"/>
        </w:rPr>
        <w:t xml:space="preserve">    </w:t>
      </w:r>
      <w:r>
        <w:rPr>
          <w:rFonts w:hint="eastAsia" w:ascii="宋体" w:hAnsi="宋体"/>
          <w:sz w:val="32"/>
          <w:szCs w:val="32"/>
          <w:highlight w:val="none"/>
          <w:lang w:val="en-US" w:eastAsia="zh-CN"/>
        </w:rPr>
        <w:t xml:space="preserve">     </w:t>
      </w:r>
      <w:r>
        <w:rPr>
          <w:rFonts w:hint="eastAsia" w:ascii="宋体" w:hAnsi="宋体"/>
          <w:sz w:val="32"/>
          <w:szCs w:val="32"/>
          <w:highlight w:val="none"/>
        </w:rPr>
        <w:t>法定代表人或负责人（签名或盖章）：</w:t>
      </w:r>
      <w:r>
        <w:rPr>
          <w:rFonts w:hint="eastAsia" w:ascii="宋体" w:hAnsi="宋体"/>
          <w:sz w:val="32"/>
          <w:szCs w:val="32"/>
          <w:highlight w:val="none"/>
          <w:u w:val="single"/>
        </w:rPr>
        <w:t xml:space="preserve"> 　　　　</w:t>
      </w:r>
    </w:p>
    <w:p w14:paraId="0A571EC2">
      <w:pPr>
        <w:rPr>
          <w:rFonts w:ascii="宋体" w:hAnsi="宋体"/>
          <w:sz w:val="32"/>
          <w:szCs w:val="32"/>
          <w:highlight w:val="none"/>
        </w:rPr>
      </w:pPr>
      <w:r>
        <w:rPr>
          <w:rFonts w:hint="eastAsia" w:ascii="宋体" w:hAnsi="宋体"/>
          <w:sz w:val="32"/>
          <w:szCs w:val="32"/>
          <w:highlight w:val="none"/>
        </w:rPr>
        <w:t xml:space="preserve">                          　 </w:t>
      </w:r>
      <w:r>
        <w:rPr>
          <w:rFonts w:hint="eastAsia" w:ascii="宋体" w:hAnsi="宋体"/>
          <w:sz w:val="32"/>
          <w:szCs w:val="32"/>
          <w:highlight w:val="none"/>
          <w:u w:val="single"/>
        </w:rPr>
        <w:t xml:space="preserve">     </w:t>
      </w:r>
      <w:bookmarkStart w:id="791" w:name="_Toc288114469"/>
      <w:r>
        <w:rPr>
          <w:rFonts w:hint="eastAsia" w:ascii="宋体" w:hAnsi="宋体"/>
          <w:sz w:val="32"/>
          <w:szCs w:val="32"/>
          <w:highlight w:val="none"/>
        </w:rPr>
        <w:t>年</w:t>
      </w:r>
      <w:r>
        <w:rPr>
          <w:rFonts w:hint="eastAsia" w:ascii="宋体" w:hAnsi="宋体"/>
          <w:sz w:val="32"/>
          <w:szCs w:val="32"/>
          <w:highlight w:val="none"/>
          <w:u w:val="single"/>
        </w:rPr>
        <w:t xml:space="preserve">    </w:t>
      </w:r>
      <w:r>
        <w:rPr>
          <w:rFonts w:hint="eastAsia" w:ascii="宋体" w:hAnsi="宋体"/>
          <w:sz w:val="32"/>
          <w:szCs w:val="32"/>
          <w:highlight w:val="none"/>
        </w:rPr>
        <w:t>月</w:t>
      </w:r>
      <w:r>
        <w:rPr>
          <w:rFonts w:hint="eastAsia" w:ascii="宋体" w:hAnsi="宋体"/>
          <w:sz w:val="32"/>
          <w:szCs w:val="32"/>
          <w:highlight w:val="none"/>
          <w:u w:val="single"/>
        </w:rPr>
        <w:t xml:space="preserve">   </w:t>
      </w:r>
      <w:r>
        <w:rPr>
          <w:rFonts w:hint="eastAsia" w:ascii="宋体" w:hAnsi="宋体"/>
          <w:sz w:val="32"/>
          <w:szCs w:val="32"/>
          <w:highlight w:val="none"/>
        </w:rPr>
        <w:t>日</w:t>
      </w:r>
      <w:bookmarkEnd w:id="791"/>
    </w:p>
    <w:p w14:paraId="6749543B">
      <w:pPr>
        <w:jc w:val="center"/>
        <w:rPr>
          <w:rFonts w:ascii="宋体" w:hAnsi="宋体"/>
          <w:sz w:val="32"/>
          <w:szCs w:val="32"/>
          <w:highlight w:val="none"/>
        </w:rPr>
      </w:pPr>
    </w:p>
    <w:p w14:paraId="40A5125D">
      <w:pPr>
        <w:jc w:val="center"/>
        <w:rPr>
          <w:rFonts w:ascii="宋体" w:hAnsi="宋体"/>
          <w:sz w:val="32"/>
          <w:szCs w:val="32"/>
          <w:highlight w:val="none"/>
        </w:rPr>
      </w:pPr>
    </w:p>
    <w:p w14:paraId="6B23C6F8">
      <w:pPr>
        <w:ind w:firstLine="420" w:firstLineChars="200"/>
        <w:jc w:val="center"/>
        <w:rPr>
          <w:rFonts w:ascii="宋体" w:hAnsi="宋体"/>
          <w:sz w:val="32"/>
          <w:szCs w:val="32"/>
          <w:highlight w:val="none"/>
        </w:rPr>
      </w:pPr>
      <w:r>
        <w:rPr>
          <w:rFonts w:hint="eastAsia" w:ascii="宋体" w:hAnsi="宋体"/>
          <w:kern w:val="0"/>
          <w:szCs w:val="21"/>
          <w:highlight w:val="none"/>
          <w:lang w:val="en-US" w:eastAsia="zh-CN"/>
        </w:rPr>
        <w:t>注：</w:t>
      </w:r>
      <w:r>
        <w:rPr>
          <w:rFonts w:hint="eastAsia" w:ascii="宋体" w:hAnsi="宋体"/>
          <w:kern w:val="0"/>
          <w:szCs w:val="21"/>
          <w:highlight w:val="none"/>
        </w:rPr>
        <w:t>法定代表人</w:t>
      </w:r>
      <w:r>
        <w:rPr>
          <w:rFonts w:hint="eastAsia" w:ascii="宋体" w:hAnsi="宋体"/>
          <w:kern w:val="0"/>
          <w:szCs w:val="21"/>
          <w:highlight w:val="none"/>
          <w:lang w:val="en-US" w:eastAsia="zh-CN"/>
        </w:rPr>
        <w:t>本人</w:t>
      </w:r>
      <w:r>
        <w:rPr>
          <w:rFonts w:hint="eastAsia" w:ascii="宋体" w:hAnsi="宋体" w:eastAsia="宋体"/>
          <w:kern w:val="0"/>
          <w:szCs w:val="21"/>
          <w:highlight w:val="none"/>
        </w:rPr>
        <w:t>投标时提供</w:t>
      </w:r>
      <w:r>
        <w:rPr>
          <w:rFonts w:hint="eastAsia" w:ascii="宋体" w:hAnsi="宋体" w:eastAsia="宋体"/>
          <w:kern w:val="0"/>
          <w:szCs w:val="21"/>
          <w:highlight w:val="none"/>
          <w:lang w:eastAsia="zh-CN"/>
        </w:rPr>
        <w:t>《</w:t>
      </w:r>
      <w:r>
        <w:rPr>
          <w:rFonts w:hint="eastAsia" w:ascii="宋体" w:hAnsi="宋体" w:eastAsia="宋体"/>
          <w:kern w:val="0"/>
          <w:szCs w:val="21"/>
          <w:highlight w:val="none"/>
        </w:rPr>
        <w:t>法定代表人资格证明</w:t>
      </w:r>
      <w:r>
        <w:rPr>
          <w:rFonts w:hint="eastAsia" w:ascii="宋体" w:hAnsi="宋体" w:eastAsia="宋体"/>
          <w:kern w:val="0"/>
          <w:szCs w:val="21"/>
          <w:highlight w:val="none"/>
          <w:lang w:eastAsia="zh-CN"/>
        </w:rPr>
        <w:t>》，</w:t>
      </w:r>
      <w:r>
        <w:rPr>
          <w:rFonts w:hint="eastAsia" w:ascii="宋体" w:hAnsi="宋体" w:eastAsia="宋体"/>
          <w:kern w:val="0"/>
          <w:szCs w:val="21"/>
          <w:highlight w:val="none"/>
          <w:lang w:val="en-US" w:eastAsia="zh-CN"/>
        </w:rPr>
        <w:t>无需提供《授权委托书》；法定代表人委托其他人投标时提供《授权委托书》，无需提供</w:t>
      </w:r>
      <w:r>
        <w:rPr>
          <w:rFonts w:hint="eastAsia" w:ascii="宋体" w:hAnsi="宋体" w:eastAsia="宋体"/>
          <w:kern w:val="0"/>
          <w:szCs w:val="21"/>
          <w:highlight w:val="none"/>
          <w:lang w:eastAsia="zh-CN"/>
        </w:rPr>
        <w:t>《</w:t>
      </w:r>
      <w:r>
        <w:rPr>
          <w:rFonts w:hint="eastAsia" w:ascii="宋体" w:hAnsi="宋体" w:eastAsia="宋体"/>
          <w:kern w:val="0"/>
          <w:szCs w:val="21"/>
          <w:highlight w:val="none"/>
        </w:rPr>
        <w:t>法定代表人资格证明</w:t>
      </w:r>
      <w:r>
        <w:rPr>
          <w:rFonts w:hint="eastAsia" w:ascii="宋体" w:hAnsi="宋体" w:eastAsia="宋体"/>
          <w:kern w:val="0"/>
          <w:szCs w:val="21"/>
          <w:highlight w:val="none"/>
          <w:lang w:eastAsia="zh-CN"/>
        </w:rPr>
        <w:t>》。</w:t>
      </w:r>
      <w:r>
        <w:rPr>
          <w:rFonts w:hint="eastAsia" w:ascii="宋体" w:hAnsi="宋体" w:eastAsia="宋体"/>
          <w:kern w:val="0"/>
          <w:szCs w:val="21"/>
          <w:highlight w:val="none"/>
        </w:rPr>
        <w:br w:type="page"/>
      </w:r>
      <w:bookmarkEnd w:id="780"/>
      <w:bookmarkEnd w:id="781"/>
      <w:bookmarkEnd w:id="782"/>
      <w:bookmarkEnd w:id="783"/>
      <w:bookmarkEnd w:id="784"/>
      <w:bookmarkEnd w:id="785"/>
      <w:bookmarkEnd w:id="786"/>
      <w:bookmarkEnd w:id="787"/>
      <w:bookmarkEnd w:id="788"/>
      <w:bookmarkEnd w:id="789"/>
      <w:bookmarkStart w:id="792" w:name="_Toc338840467"/>
      <w:bookmarkStart w:id="793" w:name="_Toc338840506"/>
      <w:bookmarkStart w:id="794" w:name="_Toc338840258"/>
      <w:r>
        <w:rPr>
          <w:rFonts w:hint="eastAsia" w:ascii="宋体" w:hAnsi="宋体"/>
          <w:b/>
          <w:bCs/>
          <w:kern w:val="44"/>
          <w:sz w:val="44"/>
          <w:szCs w:val="44"/>
          <w:highlight w:val="none"/>
        </w:rPr>
        <w:t>二　授权委托书</w:t>
      </w:r>
    </w:p>
    <w:p w14:paraId="45946630">
      <w:pPr>
        <w:keepNext w:val="0"/>
        <w:keepLines w:val="0"/>
        <w:pageBreakBefore w:val="0"/>
        <w:widowControl w:val="0"/>
        <w:kinsoku/>
        <w:wordWrap/>
        <w:overflowPunct/>
        <w:topLinePunct/>
        <w:autoSpaceDE/>
        <w:autoSpaceDN/>
        <w:bidi w:val="0"/>
        <w:adjustRightInd/>
        <w:snapToGrid/>
        <w:spacing w:line="500" w:lineRule="exact"/>
        <w:textAlignment w:val="auto"/>
        <w:rPr>
          <w:rFonts w:ascii="宋体" w:hAnsi="宋体"/>
          <w:sz w:val="32"/>
          <w:szCs w:val="32"/>
          <w:highlight w:val="none"/>
        </w:rPr>
      </w:pPr>
    </w:p>
    <w:p w14:paraId="4C122B50">
      <w:pPr>
        <w:keepNext w:val="0"/>
        <w:keepLines w:val="0"/>
        <w:pageBreakBefore w:val="0"/>
        <w:widowControl w:val="0"/>
        <w:kinsoku/>
        <w:wordWrap/>
        <w:overflowPunct/>
        <w:topLinePunct/>
        <w:autoSpaceDE/>
        <w:autoSpaceDN/>
        <w:bidi w:val="0"/>
        <w:adjustRightInd/>
        <w:snapToGrid/>
        <w:spacing w:line="500" w:lineRule="exact"/>
        <w:textAlignment w:val="auto"/>
        <w:rPr>
          <w:rFonts w:ascii="宋体" w:hAnsi="宋体"/>
          <w:sz w:val="32"/>
          <w:szCs w:val="32"/>
          <w:highlight w:val="none"/>
        </w:rPr>
      </w:pPr>
    </w:p>
    <w:p w14:paraId="30F2CC7F">
      <w:pPr>
        <w:keepNext w:val="0"/>
        <w:keepLines w:val="0"/>
        <w:pageBreakBefore w:val="0"/>
        <w:widowControl w:val="0"/>
        <w:kinsoku/>
        <w:wordWrap/>
        <w:overflowPunct/>
        <w:autoSpaceDE/>
        <w:autoSpaceDN/>
        <w:bidi w:val="0"/>
        <w:adjustRightInd/>
        <w:snapToGrid/>
        <w:spacing w:line="500" w:lineRule="exact"/>
        <w:ind w:firstLine="525"/>
        <w:jc w:val="left"/>
        <w:textAlignment w:val="auto"/>
        <w:rPr>
          <w:rFonts w:ascii="宋体" w:hAnsi="宋体"/>
          <w:sz w:val="32"/>
          <w:szCs w:val="32"/>
          <w:highlight w:val="none"/>
        </w:rPr>
      </w:pPr>
      <w:r>
        <w:rPr>
          <w:rFonts w:hint="eastAsia" w:ascii="宋体" w:hAnsi="宋体"/>
          <w:sz w:val="32"/>
          <w:szCs w:val="32"/>
          <w:highlight w:val="none"/>
        </w:rPr>
        <w:t>本人</w:t>
      </w:r>
      <w:r>
        <w:rPr>
          <w:rFonts w:hint="eastAsia" w:ascii="宋体" w:hAnsi="宋体"/>
          <w:sz w:val="32"/>
          <w:szCs w:val="32"/>
          <w:highlight w:val="none"/>
          <w:u w:val="single"/>
        </w:rPr>
        <w:t xml:space="preserve">    　　</w:t>
      </w:r>
      <w:r>
        <w:rPr>
          <w:rFonts w:hint="eastAsia" w:ascii="宋体" w:hAnsi="宋体"/>
          <w:sz w:val="32"/>
          <w:szCs w:val="32"/>
          <w:highlight w:val="none"/>
        </w:rPr>
        <w:t>（姓名） 系</w:t>
      </w:r>
      <w:r>
        <w:rPr>
          <w:rFonts w:hint="eastAsia" w:ascii="宋体" w:hAnsi="宋体"/>
          <w:sz w:val="32"/>
          <w:szCs w:val="32"/>
          <w:highlight w:val="none"/>
          <w:u w:val="single"/>
        </w:rPr>
        <w:t xml:space="preserve">                     </w:t>
      </w:r>
      <w:r>
        <w:rPr>
          <w:rFonts w:hint="eastAsia" w:ascii="宋体" w:hAnsi="宋体"/>
          <w:sz w:val="32"/>
          <w:szCs w:val="32"/>
          <w:highlight w:val="none"/>
        </w:rPr>
        <w:t>（投标</w:t>
      </w:r>
      <w:r>
        <w:rPr>
          <w:rFonts w:hint="eastAsia" w:ascii="宋体" w:hAnsi="宋体"/>
          <w:sz w:val="32"/>
          <w:szCs w:val="32"/>
          <w:highlight w:val="none"/>
          <w:lang w:val="en-US" w:eastAsia="zh-CN"/>
        </w:rPr>
        <w:t>人</w:t>
      </w:r>
      <w:r>
        <w:rPr>
          <w:rFonts w:hint="eastAsia" w:ascii="宋体" w:hAnsi="宋体"/>
          <w:sz w:val="32"/>
          <w:szCs w:val="32"/>
          <w:highlight w:val="none"/>
        </w:rPr>
        <w:t>名称）的法定代表人（负责人）</w:t>
      </w:r>
      <w:r>
        <w:rPr>
          <w:rFonts w:hint="eastAsia" w:ascii="宋体" w:hAnsi="宋体"/>
          <w:sz w:val="32"/>
          <w:szCs w:val="32"/>
          <w:highlight w:val="none"/>
          <w:lang w:eastAsia="zh-CN"/>
        </w:rPr>
        <w:t>，</w:t>
      </w:r>
      <w:r>
        <w:rPr>
          <w:rFonts w:hint="eastAsia" w:ascii="宋体" w:hAnsi="宋体"/>
          <w:sz w:val="32"/>
          <w:szCs w:val="32"/>
          <w:highlight w:val="none"/>
        </w:rPr>
        <w:t>现委托</w:t>
      </w:r>
      <w:r>
        <w:rPr>
          <w:rFonts w:hint="eastAsia" w:ascii="宋体" w:hAnsi="宋体"/>
          <w:sz w:val="32"/>
          <w:szCs w:val="32"/>
          <w:highlight w:val="none"/>
          <w:u w:val="single"/>
        </w:rPr>
        <w:t xml:space="preserve">   　　　　</w:t>
      </w:r>
      <w:r>
        <w:rPr>
          <w:rFonts w:hint="eastAsia" w:ascii="宋体" w:hAnsi="宋体"/>
          <w:sz w:val="32"/>
          <w:szCs w:val="32"/>
          <w:highlight w:val="none"/>
        </w:rPr>
        <w:t>（姓名）作为我方代理人。代理人根据授权，以我方名义签署、澄清、</w:t>
      </w:r>
      <w:r>
        <w:rPr>
          <w:rFonts w:hint="eastAsia" w:ascii="宋体" w:hAnsi="宋体"/>
          <w:sz w:val="32"/>
          <w:szCs w:val="32"/>
          <w:highlight w:val="none"/>
          <w:lang w:val="en-US" w:eastAsia="zh-CN"/>
        </w:rPr>
        <w:t>确认、</w:t>
      </w:r>
      <w:r>
        <w:rPr>
          <w:rFonts w:hint="eastAsia" w:ascii="宋体" w:hAnsi="宋体"/>
          <w:sz w:val="32"/>
          <w:szCs w:val="32"/>
          <w:highlight w:val="none"/>
        </w:rPr>
        <w:t>说明、补正、</w:t>
      </w:r>
      <w:r>
        <w:rPr>
          <w:rFonts w:hint="eastAsia" w:ascii="宋体" w:hAnsi="宋体"/>
          <w:sz w:val="32"/>
          <w:szCs w:val="32"/>
          <w:highlight w:val="none"/>
          <w:lang w:val="en-US" w:eastAsia="zh-CN"/>
        </w:rPr>
        <w:t>提</w:t>
      </w:r>
      <w:r>
        <w:rPr>
          <w:rFonts w:hint="eastAsia" w:ascii="宋体" w:hAnsi="宋体"/>
          <w:sz w:val="32"/>
          <w:szCs w:val="32"/>
          <w:highlight w:val="none"/>
        </w:rPr>
        <w:t>交、撤回、修改</w:t>
      </w:r>
      <w:r>
        <w:rPr>
          <w:rFonts w:hint="eastAsia" w:ascii="宋体" w:hAnsi="宋体"/>
          <w:sz w:val="32"/>
          <w:szCs w:val="32"/>
          <w:highlight w:val="none"/>
          <w:u w:val="single"/>
        </w:rPr>
        <w:t xml:space="preserve">           　　　</w:t>
      </w:r>
      <w:r>
        <w:rPr>
          <w:rFonts w:hint="eastAsia" w:ascii="宋体" w:hAnsi="宋体"/>
          <w:sz w:val="32"/>
          <w:szCs w:val="32"/>
          <w:highlight w:val="none"/>
        </w:rPr>
        <w:t>项目（</w:t>
      </w:r>
      <w:r>
        <w:rPr>
          <w:rFonts w:hint="eastAsia" w:ascii="宋体" w:hAnsi="宋体" w:cs="宋体"/>
          <w:sz w:val="32"/>
          <w:szCs w:val="32"/>
          <w:highlight w:val="none"/>
        </w:rPr>
        <w:t>项目编号：</w:t>
      </w:r>
      <w:r>
        <w:rPr>
          <w:rFonts w:hint="eastAsia" w:ascii="宋体" w:hAnsi="宋体" w:cs="宋体"/>
          <w:sz w:val="32"/>
          <w:szCs w:val="32"/>
          <w:highlight w:val="none"/>
          <w:u w:val="single"/>
        </w:rPr>
        <w:t xml:space="preserve">      </w:t>
      </w:r>
      <w:r>
        <w:rPr>
          <w:rFonts w:hint="eastAsia" w:ascii="宋体" w:hAnsi="宋体"/>
          <w:sz w:val="32"/>
          <w:szCs w:val="32"/>
          <w:highlight w:val="none"/>
        </w:rPr>
        <w:t>）</w:t>
      </w:r>
      <w:r>
        <w:rPr>
          <w:rFonts w:hint="eastAsia" w:ascii="宋体" w:hAnsi="宋体"/>
          <w:sz w:val="32"/>
          <w:szCs w:val="32"/>
          <w:highlight w:val="none"/>
          <w:u w:val="single"/>
        </w:rPr>
        <w:t xml:space="preserve">　  </w:t>
      </w:r>
      <w:r>
        <w:rPr>
          <w:rFonts w:hint="eastAsia" w:ascii="宋体" w:hAnsi="宋体"/>
          <w:sz w:val="32"/>
          <w:szCs w:val="32"/>
          <w:highlight w:val="none"/>
        </w:rPr>
        <w:t>标段投标文件、签订合同和处理有关事宜，其法律后果由我方承担。</w:t>
      </w:r>
    </w:p>
    <w:p w14:paraId="50A65183">
      <w:pPr>
        <w:keepNext w:val="0"/>
        <w:keepLines w:val="0"/>
        <w:pageBreakBefore w:val="0"/>
        <w:widowControl w:val="0"/>
        <w:kinsoku/>
        <w:wordWrap/>
        <w:overflowPunct/>
        <w:autoSpaceDE/>
        <w:autoSpaceDN/>
        <w:bidi w:val="0"/>
        <w:adjustRightInd/>
        <w:snapToGrid/>
        <w:spacing w:line="500" w:lineRule="exact"/>
        <w:ind w:firstLine="525"/>
        <w:jc w:val="left"/>
        <w:textAlignment w:val="auto"/>
        <w:rPr>
          <w:rFonts w:hint="eastAsia" w:ascii="宋体" w:hAnsi="宋体"/>
          <w:sz w:val="32"/>
          <w:szCs w:val="32"/>
          <w:highlight w:val="none"/>
        </w:rPr>
      </w:pPr>
      <w:r>
        <w:rPr>
          <w:rFonts w:hint="eastAsia" w:ascii="宋体" w:hAnsi="宋体"/>
          <w:sz w:val="32"/>
          <w:szCs w:val="32"/>
          <w:highlight w:val="none"/>
        </w:rPr>
        <w:t>委托期限：自本授权委托书签署之日起至投标有效期届满之日止。</w:t>
      </w:r>
    </w:p>
    <w:p w14:paraId="2AE165C6">
      <w:pPr>
        <w:keepNext w:val="0"/>
        <w:keepLines w:val="0"/>
        <w:pageBreakBefore w:val="0"/>
        <w:widowControl w:val="0"/>
        <w:kinsoku/>
        <w:wordWrap/>
        <w:overflowPunct/>
        <w:autoSpaceDE/>
        <w:autoSpaceDN/>
        <w:bidi w:val="0"/>
        <w:adjustRightInd/>
        <w:snapToGrid/>
        <w:spacing w:line="500" w:lineRule="exact"/>
        <w:ind w:firstLine="525"/>
        <w:jc w:val="left"/>
        <w:textAlignment w:val="auto"/>
        <w:rPr>
          <w:rFonts w:ascii="宋体" w:hAnsi="宋体"/>
          <w:sz w:val="32"/>
          <w:szCs w:val="32"/>
          <w:highlight w:val="none"/>
        </w:rPr>
      </w:pPr>
      <w:r>
        <w:rPr>
          <w:rFonts w:hint="eastAsia" w:ascii="宋体" w:hAnsi="宋体"/>
          <w:sz w:val="32"/>
          <w:szCs w:val="32"/>
          <w:highlight w:val="none"/>
        </w:rPr>
        <w:t>代理人无转委托权。</w:t>
      </w:r>
    </w:p>
    <w:p w14:paraId="444FBBBE">
      <w:pPr>
        <w:keepNext w:val="0"/>
        <w:keepLines w:val="0"/>
        <w:pageBreakBefore w:val="0"/>
        <w:widowControl w:val="0"/>
        <w:kinsoku/>
        <w:wordWrap/>
        <w:overflowPunct/>
        <w:autoSpaceDE/>
        <w:autoSpaceDN/>
        <w:bidi w:val="0"/>
        <w:adjustRightInd/>
        <w:snapToGrid/>
        <w:spacing w:line="500" w:lineRule="exact"/>
        <w:ind w:firstLine="525"/>
        <w:jc w:val="left"/>
        <w:textAlignment w:val="auto"/>
        <w:rPr>
          <w:rFonts w:ascii="宋体" w:hAnsi="宋体"/>
          <w:b/>
          <w:sz w:val="32"/>
          <w:szCs w:val="32"/>
          <w:highlight w:val="none"/>
        </w:rPr>
      </w:pPr>
      <w:r>
        <w:rPr>
          <w:rFonts w:hint="eastAsia" w:ascii="宋体" w:hAnsi="宋体"/>
          <w:b/>
          <w:sz w:val="32"/>
          <w:szCs w:val="32"/>
          <w:highlight w:val="none"/>
        </w:rPr>
        <w:t>此处附：法定代表人（负责人）身份证复印件及委托代理人身份证复印件</w:t>
      </w:r>
    </w:p>
    <w:p w14:paraId="575AF83D">
      <w:pPr>
        <w:spacing w:line="600" w:lineRule="exact"/>
        <w:ind w:firstLine="525"/>
        <w:jc w:val="left"/>
        <w:rPr>
          <w:rFonts w:ascii="宋体" w:hAnsi="宋体"/>
          <w:b/>
          <w:sz w:val="32"/>
          <w:szCs w:val="32"/>
          <w:highlight w:val="none"/>
        </w:rPr>
      </w:pPr>
    </w:p>
    <w:p w14:paraId="3C58FCB3">
      <w:pPr>
        <w:spacing w:line="600" w:lineRule="exact"/>
        <w:ind w:firstLine="525"/>
        <w:jc w:val="left"/>
        <w:rPr>
          <w:rFonts w:ascii="宋体" w:hAnsi="宋体"/>
          <w:sz w:val="32"/>
          <w:szCs w:val="32"/>
          <w:highlight w:val="none"/>
        </w:rPr>
      </w:pPr>
    </w:p>
    <w:p w14:paraId="3FC50345">
      <w:pPr>
        <w:spacing w:line="600" w:lineRule="exact"/>
        <w:jc w:val="left"/>
        <w:rPr>
          <w:rFonts w:ascii="宋体" w:hAnsi="宋体"/>
          <w:sz w:val="32"/>
          <w:szCs w:val="32"/>
          <w:highlight w:val="none"/>
        </w:rPr>
      </w:pPr>
    </w:p>
    <w:p w14:paraId="3DAA0ABF">
      <w:pPr>
        <w:keepNext w:val="0"/>
        <w:keepLines w:val="0"/>
        <w:pageBreakBefore w:val="0"/>
        <w:widowControl w:val="0"/>
        <w:kinsoku/>
        <w:wordWrap/>
        <w:overflowPunct/>
        <w:autoSpaceDE/>
        <w:autoSpaceDN/>
        <w:bidi w:val="0"/>
        <w:adjustRightInd/>
        <w:snapToGrid/>
        <w:spacing w:line="500" w:lineRule="exact"/>
        <w:ind w:firstLine="1280" w:firstLineChars="400"/>
        <w:textAlignment w:val="auto"/>
        <w:rPr>
          <w:rFonts w:hint="eastAsia" w:ascii="宋体" w:hAnsi="宋体" w:eastAsia="宋体"/>
          <w:sz w:val="32"/>
          <w:szCs w:val="32"/>
          <w:highlight w:val="none"/>
          <w:u w:val="single"/>
          <w:lang w:val="en-US" w:eastAsia="zh-CN"/>
        </w:rPr>
      </w:pPr>
      <w:r>
        <w:rPr>
          <w:rFonts w:hint="eastAsia" w:ascii="宋体" w:hAnsi="宋体"/>
          <w:sz w:val="32"/>
          <w:szCs w:val="32"/>
          <w:highlight w:val="none"/>
          <w:lang w:val="en-US" w:eastAsia="zh-CN"/>
        </w:rPr>
        <w:t>供应商</w:t>
      </w:r>
      <w:r>
        <w:rPr>
          <w:rFonts w:hint="eastAsia" w:ascii="宋体" w:hAnsi="宋体"/>
          <w:sz w:val="32"/>
          <w:szCs w:val="32"/>
          <w:highlight w:val="none"/>
        </w:rPr>
        <w:t>（</w:t>
      </w:r>
      <w:r>
        <w:rPr>
          <w:rFonts w:hint="eastAsia" w:ascii="宋体" w:hAnsi="宋体"/>
          <w:sz w:val="32"/>
          <w:szCs w:val="32"/>
          <w:highlight w:val="none"/>
          <w:lang w:val="en-US" w:eastAsia="zh-CN"/>
        </w:rPr>
        <w:t>加</w:t>
      </w:r>
      <w:r>
        <w:rPr>
          <w:rFonts w:hint="eastAsia" w:ascii="宋体" w:hAnsi="宋体"/>
          <w:sz w:val="32"/>
          <w:szCs w:val="32"/>
          <w:highlight w:val="none"/>
        </w:rPr>
        <w:t>盖</w:t>
      </w:r>
      <w:r>
        <w:rPr>
          <w:rFonts w:hint="eastAsia" w:ascii="宋体" w:hAnsi="宋体"/>
          <w:sz w:val="32"/>
          <w:szCs w:val="32"/>
          <w:highlight w:val="none"/>
          <w:lang w:val="en-US" w:eastAsia="zh-CN"/>
        </w:rPr>
        <w:t>公</w:t>
      </w:r>
      <w:r>
        <w:rPr>
          <w:rFonts w:hint="eastAsia" w:ascii="宋体" w:hAnsi="宋体"/>
          <w:sz w:val="32"/>
          <w:szCs w:val="32"/>
          <w:highlight w:val="none"/>
        </w:rPr>
        <w:t>章）：</w:t>
      </w:r>
      <w:r>
        <w:rPr>
          <w:rFonts w:hint="eastAsia" w:ascii="宋体" w:hAnsi="宋体"/>
          <w:sz w:val="32"/>
          <w:szCs w:val="32"/>
          <w:highlight w:val="none"/>
          <w:u w:val="single"/>
        </w:rPr>
        <w:t xml:space="preserve">    </w:t>
      </w:r>
      <w:r>
        <w:rPr>
          <w:rFonts w:hint="eastAsia" w:ascii="宋体" w:hAnsi="宋体"/>
          <w:sz w:val="32"/>
          <w:szCs w:val="32"/>
          <w:highlight w:val="none"/>
          <w:u w:val="single"/>
          <w:lang w:val="en-US" w:eastAsia="zh-CN"/>
        </w:rPr>
        <w:t xml:space="preserve">            </w:t>
      </w:r>
      <w:r>
        <w:rPr>
          <w:rFonts w:hint="eastAsia" w:ascii="宋体" w:hAnsi="宋体"/>
          <w:sz w:val="32"/>
          <w:szCs w:val="32"/>
          <w:highlight w:val="none"/>
          <w:u w:val="single"/>
        </w:rPr>
        <w:t xml:space="preserve">      </w:t>
      </w:r>
      <w:r>
        <w:rPr>
          <w:rFonts w:hint="eastAsia" w:ascii="宋体" w:hAnsi="宋体"/>
          <w:sz w:val="32"/>
          <w:szCs w:val="32"/>
          <w:highlight w:val="none"/>
          <w:u w:val="single"/>
          <w:lang w:val="en-US" w:eastAsia="zh-CN"/>
        </w:rPr>
        <w:t xml:space="preserve"> </w:t>
      </w:r>
    </w:p>
    <w:p w14:paraId="2786D87E">
      <w:pPr>
        <w:keepNext w:val="0"/>
        <w:keepLines w:val="0"/>
        <w:pageBreakBefore w:val="0"/>
        <w:widowControl w:val="0"/>
        <w:kinsoku/>
        <w:wordWrap/>
        <w:overflowPunct/>
        <w:autoSpaceDE/>
        <w:autoSpaceDN/>
        <w:bidi w:val="0"/>
        <w:adjustRightInd/>
        <w:snapToGrid/>
        <w:spacing w:line="500" w:lineRule="exact"/>
        <w:ind w:firstLine="1280" w:firstLineChars="400"/>
        <w:jc w:val="left"/>
        <w:textAlignment w:val="auto"/>
        <w:rPr>
          <w:rFonts w:ascii="宋体" w:hAnsi="宋体"/>
          <w:sz w:val="32"/>
          <w:szCs w:val="32"/>
          <w:highlight w:val="none"/>
        </w:rPr>
      </w:pPr>
      <w:r>
        <w:rPr>
          <w:rFonts w:hint="eastAsia" w:ascii="宋体" w:hAnsi="宋体"/>
          <w:sz w:val="32"/>
          <w:szCs w:val="32"/>
          <w:highlight w:val="none"/>
        </w:rPr>
        <w:t>法定代表人或负责人（签名或盖章）：</w:t>
      </w:r>
      <w:r>
        <w:rPr>
          <w:rFonts w:hint="eastAsia" w:ascii="宋体" w:hAnsi="宋体"/>
          <w:sz w:val="32"/>
          <w:szCs w:val="32"/>
          <w:highlight w:val="none"/>
          <w:u w:val="single"/>
        </w:rPr>
        <w:t xml:space="preserve"> 　　　　</w:t>
      </w:r>
    </w:p>
    <w:p w14:paraId="756972F9">
      <w:pPr>
        <w:keepNext w:val="0"/>
        <w:keepLines w:val="0"/>
        <w:pageBreakBefore w:val="0"/>
        <w:widowControl w:val="0"/>
        <w:kinsoku/>
        <w:wordWrap/>
        <w:overflowPunct/>
        <w:autoSpaceDE/>
        <w:autoSpaceDN/>
        <w:bidi w:val="0"/>
        <w:adjustRightInd/>
        <w:snapToGrid/>
        <w:spacing w:line="500" w:lineRule="exact"/>
        <w:ind w:firstLine="525"/>
        <w:jc w:val="left"/>
        <w:textAlignment w:val="auto"/>
        <w:rPr>
          <w:rFonts w:ascii="宋体" w:hAnsi="宋体"/>
          <w:sz w:val="32"/>
          <w:szCs w:val="32"/>
          <w:highlight w:val="none"/>
          <w:u w:val="single"/>
        </w:rPr>
      </w:pPr>
      <w:r>
        <w:rPr>
          <w:rFonts w:hint="eastAsia" w:ascii="宋体" w:hAnsi="宋体"/>
          <w:sz w:val="32"/>
          <w:szCs w:val="32"/>
          <w:highlight w:val="none"/>
        </w:rPr>
        <w:t>　　 代理人（签名或盖章）：</w:t>
      </w:r>
      <w:r>
        <w:rPr>
          <w:rFonts w:hint="eastAsia" w:ascii="宋体" w:hAnsi="宋体"/>
          <w:sz w:val="32"/>
          <w:szCs w:val="32"/>
          <w:highlight w:val="none"/>
          <w:u w:val="single"/>
        </w:rPr>
        <w:t xml:space="preserve">　　　　　　   </w:t>
      </w:r>
      <w:r>
        <w:rPr>
          <w:rFonts w:hint="eastAsia" w:ascii="宋体" w:hAnsi="宋体"/>
          <w:sz w:val="32"/>
          <w:szCs w:val="32"/>
          <w:highlight w:val="none"/>
          <w:u w:val="single"/>
          <w:lang w:val="en-US" w:eastAsia="zh-CN"/>
        </w:rPr>
        <w:t xml:space="preserve"> </w:t>
      </w:r>
      <w:r>
        <w:rPr>
          <w:rFonts w:hint="eastAsia" w:ascii="宋体" w:hAnsi="宋体"/>
          <w:sz w:val="32"/>
          <w:szCs w:val="32"/>
          <w:highlight w:val="none"/>
          <w:u w:val="single"/>
        </w:rPr>
        <w:t xml:space="preserve"> 　　</w:t>
      </w:r>
      <w:r>
        <w:rPr>
          <w:rFonts w:hint="eastAsia" w:ascii="宋体" w:hAnsi="宋体"/>
          <w:sz w:val="32"/>
          <w:szCs w:val="32"/>
          <w:highlight w:val="none"/>
        </w:rPr>
        <w:t xml:space="preserve">                              </w:t>
      </w:r>
      <w:r>
        <w:rPr>
          <w:rFonts w:hint="eastAsia" w:ascii="宋体" w:hAnsi="宋体"/>
          <w:sz w:val="32"/>
          <w:szCs w:val="32"/>
          <w:highlight w:val="none"/>
          <w:u w:val="single"/>
        </w:rPr>
        <w:t xml:space="preserve"> 　　  </w:t>
      </w:r>
    </w:p>
    <w:p w14:paraId="6330C67B">
      <w:pPr>
        <w:keepNext w:val="0"/>
        <w:keepLines w:val="0"/>
        <w:pageBreakBefore w:val="0"/>
        <w:widowControl w:val="0"/>
        <w:kinsoku/>
        <w:wordWrap/>
        <w:overflowPunct/>
        <w:autoSpaceDE/>
        <w:autoSpaceDN/>
        <w:bidi w:val="0"/>
        <w:adjustRightInd/>
        <w:snapToGrid/>
        <w:spacing w:line="500" w:lineRule="exact"/>
        <w:ind w:firstLine="3840" w:firstLineChars="1200"/>
        <w:jc w:val="left"/>
        <w:textAlignment w:val="auto"/>
        <w:rPr>
          <w:rFonts w:ascii="宋体" w:hAnsi="宋体"/>
          <w:sz w:val="32"/>
          <w:szCs w:val="32"/>
          <w:highlight w:val="none"/>
        </w:rPr>
      </w:pPr>
      <w:r>
        <w:rPr>
          <w:rFonts w:hint="eastAsia" w:ascii="宋体" w:hAnsi="宋体"/>
          <w:sz w:val="32"/>
          <w:szCs w:val="32"/>
          <w:highlight w:val="none"/>
          <w:u w:val="none"/>
          <w:lang w:val="en-US" w:eastAsia="zh-CN"/>
        </w:rPr>
        <w:t>日期：</w:t>
      </w:r>
      <w:r>
        <w:rPr>
          <w:rFonts w:hint="eastAsia" w:ascii="宋体" w:hAnsi="宋体"/>
          <w:sz w:val="32"/>
          <w:szCs w:val="32"/>
          <w:highlight w:val="none"/>
          <w:u w:val="single"/>
        </w:rPr>
        <w:t xml:space="preserve">  </w:t>
      </w:r>
      <w:r>
        <w:rPr>
          <w:rFonts w:hint="eastAsia" w:ascii="宋体" w:hAnsi="宋体"/>
          <w:sz w:val="32"/>
          <w:szCs w:val="32"/>
          <w:highlight w:val="none"/>
          <w:u w:val="single"/>
          <w:lang w:val="en-US" w:eastAsia="zh-CN"/>
        </w:rPr>
        <w:t xml:space="preserve">    </w:t>
      </w:r>
      <w:r>
        <w:rPr>
          <w:rFonts w:hint="eastAsia" w:ascii="宋体" w:hAnsi="宋体"/>
          <w:sz w:val="32"/>
          <w:szCs w:val="32"/>
          <w:highlight w:val="none"/>
          <w:u w:val="single"/>
        </w:rPr>
        <w:t xml:space="preserve">   </w:t>
      </w:r>
      <w:r>
        <w:rPr>
          <w:rFonts w:hint="eastAsia" w:ascii="宋体" w:hAnsi="宋体"/>
          <w:sz w:val="32"/>
          <w:szCs w:val="32"/>
          <w:highlight w:val="none"/>
        </w:rPr>
        <w:t>年</w:t>
      </w:r>
      <w:r>
        <w:rPr>
          <w:rFonts w:hint="eastAsia" w:ascii="宋体" w:hAnsi="宋体"/>
          <w:sz w:val="32"/>
          <w:szCs w:val="32"/>
          <w:highlight w:val="none"/>
          <w:u w:val="single"/>
        </w:rPr>
        <w:t xml:space="preserve">   </w:t>
      </w:r>
      <w:r>
        <w:rPr>
          <w:rFonts w:hint="eastAsia" w:ascii="宋体" w:hAnsi="宋体"/>
          <w:sz w:val="32"/>
          <w:szCs w:val="32"/>
          <w:highlight w:val="none"/>
        </w:rPr>
        <w:t>月</w:t>
      </w:r>
      <w:r>
        <w:rPr>
          <w:rFonts w:hint="eastAsia" w:ascii="宋体" w:hAnsi="宋体"/>
          <w:sz w:val="32"/>
          <w:szCs w:val="32"/>
          <w:highlight w:val="none"/>
          <w:u w:val="single"/>
        </w:rPr>
        <w:t xml:space="preserve">  </w:t>
      </w:r>
      <w:r>
        <w:rPr>
          <w:rFonts w:hint="eastAsia" w:ascii="宋体" w:hAnsi="宋体"/>
          <w:sz w:val="32"/>
          <w:szCs w:val="32"/>
          <w:highlight w:val="none"/>
        </w:rPr>
        <w:t>日</w:t>
      </w:r>
    </w:p>
    <w:p w14:paraId="4E24D2DB">
      <w:pPr>
        <w:ind w:firstLine="640" w:firstLineChars="200"/>
        <w:rPr>
          <w:rFonts w:ascii="宋体" w:hAnsi="宋体"/>
          <w:highlight w:val="none"/>
        </w:rPr>
      </w:pPr>
      <w:r>
        <w:rPr>
          <w:rFonts w:ascii="宋体" w:hAnsi="宋体"/>
          <w:sz w:val="32"/>
          <w:szCs w:val="32"/>
          <w:highlight w:val="none"/>
        </w:rPr>
        <w:br w:type="page"/>
      </w:r>
      <w:r>
        <w:rPr>
          <w:rFonts w:hint="eastAsia" w:ascii="宋体" w:hAnsi="宋体"/>
          <w:b/>
          <w:sz w:val="44"/>
          <w:szCs w:val="44"/>
          <w:highlight w:val="none"/>
        </w:rPr>
        <w:t>三　</w:t>
      </w:r>
      <w:bookmarkEnd w:id="774"/>
      <w:bookmarkEnd w:id="775"/>
      <w:bookmarkEnd w:id="792"/>
      <w:bookmarkEnd w:id="793"/>
      <w:bookmarkEnd w:id="794"/>
      <w:bookmarkStart w:id="795" w:name="_Toc289182438"/>
      <w:bookmarkStart w:id="796" w:name="_Toc289182816"/>
      <w:bookmarkStart w:id="797" w:name="_Toc289241358"/>
      <w:bookmarkStart w:id="798" w:name="_Toc338840470"/>
      <w:bookmarkStart w:id="799" w:name="_Toc289096742"/>
      <w:bookmarkStart w:id="800" w:name="_Toc288748127"/>
      <w:bookmarkStart w:id="801" w:name="_Toc338840509"/>
      <w:bookmarkStart w:id="802" w:name="_Toc338840261"/>
      <w:bookmarkStart w:id="803" w:name="_Toc289238787"/>
      <w:bookmarkStart w:id="804" w:name="_Toc289241535"/>
      <w:r>
        <w:rPr>
          <w:rFonts w:hint="eastAsia" w:ascii="宋体" w:hAnsi="宋体" w:cs="宋体"/>
          <w:b/>
          <w:kern w:val="44"/>
          <w:sz w:val="44"/>
          <w:szCs w:val="44"/>
          <w:highlight w:val="none"/>
        </w:rPr>
        <w:t>供应商基本情况和资格证明材料</w:t>
      </w:r>
    </w:p>
    <w:p w14:paraId="7C46BC64">
      <w:pPr>
        <w:widowControl/>
        <w:spacing w:line="480" w:lineRule="atLeast"/>
        <w:jc w:val="left"/>
        <w:rPr>
          <w:rFonts w:ascii="宋体" w:hAnsi="宋体" w:cs="宋体"/>
          <w:color w:val="555555"/>
          <w:kern w:val="0"/>
          <w:sz w:val="32"/>
          <w:szCs w:val="32"/>
          <w:highlight w:val="none"/>
        </w:rPr>
      </w:pPr>
    </w:p>
    <w:p w14:paraId="50E47EF5">
      <w:pPr>
        <w:topLinePunct/>
        <w:spacing w:line="440" w:lineRule="exact"/>
        <w:jc w:val="center"/>
        <w:outlineLvl w:val="1"/>
        <w:rPr>
          <w:rFonts w:ascii="宋体" w:hAnsi="宋体" w:cs="宋体"/>
          <w:b/>
          <w:bCs/>
          <w:sz w:val="32"/>
          <w:szCs w:val="32"/>
          <w:highlight w:val="none"/>
        </w:rPr>
      </w:pPr>
      <w:bookmarkStart w:id="805" w:name="_Toc18182"/>
      <w:r>
        <w:rPr>
          <w:rFonts w:hint="eastAsia" w:ascii="宋体" w:hAnsi="宋体" w:cs="宋体"/>
          <w:b/>
          <w:bCs/>
          <w:sz w:val="32"/>
          <w:szCs w:val="32"/>
          <w:highlight w:val="none"/>
        </w:rPr>
        <w:t>（一）、供应商基本情况表</w:t>
      </w:r>
      <w:bookmarkEnd w:id="805"/>
    </w:p>
    <w:tbl>
      <w:tblPr>
        <w:tblStyle w:val="34"/>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05"/>
        <w:gridCol w:w="1261"/>
        <w:gridCol w:w="1440"/>
        <w:gridCol w:w="538"/>
        <w:gridCol w:w="1080"/>
        <w:gridCol w:w="2344"/>
      </w:tblGrid>
      <w:tr w14:paraId="7F88D2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905" w:type="dxa"/>
            <w:tcBorders>
              <w:top w:val="single" w:color="auto" w:sz="4" w:space="0"/>
              <w:left w:val="single" w:color="auto" w:sz="4" w:space="0"/>
              <w:bottom w:val="single" w:color="auto" w:sz="4" w:space="0"/>
              <w:right w:val="single" w:color="auto" w:sz="4" w:space="0"/>
            </w:tcBorders>
            <w:vAlign w:val="center"/>
          </w:tcPr>
          <w:p w14:paraId="614CF617">
            <w:pPr>
              <w:topLinePunct/>
              <w:spacing w:line="440" w:lineRule="exact"/>
              <w:jc w:val="center"/>
              <w:rPr>
                <w:rFonts w:ascii="宋体" w:hAnsi="宋体" w:cs="宋体"/>
                <w:sz w:val="32"/>
                <w:szCs w:val="32"/>
                <w:highlight w:val="none"/>
              </w:rPr>
            </w:pPr>
            <w:r>
              <w:rPr>
                <w:rFonts w:hint="eastAsia" w:ascii="宋体" w:hAnsi="宋体" w:cs="宋体"/>
                <w:sz w:val="32"/>
                <w:szCs w:val="32"/>
                <w:highlight w:val="none"/>
              </w:rPr>
              <w:t>供应商名称</w:t>
            </w:r>
          </w:p>
        </w:tc>
        <w:tc>
          <w:tcPr>
            <w:tcW w:w="6663" w:type="dxa"/>
            <w:gridSpan w:val="5"/>
            <w:tcBorders>
              <w:top w:val="single" w:color="auto" w:sz="4" w:space="0"/>
              <w:left w:val="single" w:color="auto" w:sz="4" w:space="0"/>
              <w:bottom w:val="single" w:color="auto" w:sz="4" w:space="0"/>
              <w:right w:val="single" w:color="auto" w:sz="4" w:space="0"/>
            </w:tcBorders>
            <w:vAlign w:val="center"/>
          </w:tcPr>
          <w:p w14:paraId="0B67FF19">
            <w:pPr>
              <w:topLinePunct/>
              <w:spacing w:line="440" w:lineRule="exact"/>
              <w:jc w:val="center"/>
              <w:rPr>
                <w:rFonts w:ascii="宋体" w:hAnsi="宋体" w:cs="宋体"/>
                <w:sz w:val="32"/>
                <w:szCs w:val="32"/>
                <w:highlight w:val="none"/>
              </w:rPr>
            </w:pPr>
          </w:p>
        </w:tc>
      </w:tr>
      <w:tr w14:paraId="2911C8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905" w:type="dxa"/>
            <w:tcBorders>
              <w:top w:val="single" w:color="auto" w:sz="4" w:space="0"/>
              <w:left w:val="single" w:color="auto" w:sz="4" w:space="0"/>
              <w:bottom w:val="single" w:color="auto" w:sz="4" w:space="0"/>
              <w:right w:val="single" w:color="auto" w:sz="4" w:space="0"/>
            </w:tcBorders>
            <w:vAlign w:val="center"/>
          </w:tcPr>
          <w:p w14:paraId="6C3D5030">
            <w:pPr>
              <w:topLinePunct/>
              <w:spacing w:line="440" w:lineRule="exact"/>
              <w:jc w:val="center"/>
              <w:rPr>
                <w:rFonts w:ascii="宋体" w:hAnsi="宋体" w:cs="宋体"/>
                <w:sz w:val="32"/>
                <w:szCs w:val="32"/>
                <w:highlight w:val="none"/>
              </w:rPr>
            </w:pPr>
            <w:r>
              <w:rPr>
                <w:rFonts w:hint="eastAsia" w:ascii="宋体" w:hAnsi="宋体" w:cs="宋体"/>
                <w:sz w:val="32"/>
                <w:szCs w:val="32"/>
                <w:highlight w:val="none"/>
              </w:rPr>
              <w:t>注册地址</w:t>
            </w:r>
          </w:p>
        </w:tc>
        <w:tc>
          <w:tcPr>
            <w:tcW w:w="3239" w:type="dxa"/>
            <w:gridSpan w:val="3"/>
            <w:tcBorders>
              <w:top w:val="single" w:color="auto" w:sz="4" w:space="0"/>
              <w:left w:val="single" w:color="auto" w:sz="4" w:space="0"/>
              <w:bottom w:val="single" w:color="auto" w:sz="4" w:space="0"/>
              <w:right w:val="single" w:color="auto" w:sz="4" w:space="0"/>
            </w:tcBorders>
            <w:vAlign w:val="center"/>
          </w:tcPr>
          <w:p w14:paraId="1BA0CCDC">
            <w:pPr>
              <w:topLinePunct/>
              <w:spacing w:line="440" w:lineRule="exact"/>
              <w:jc w:val="center"/>
              <w:rPr>
                <w:rFonts w:ascii="宋体" w:hAnsi="宋体" w:cs="宋体"/>
                <w:sz w:val="32"/>
                <w:szCs w:val="32"/>
                <w:highlight w:val="none"/>
              </w:rPr>
            </w:pPr>
          </w:p>
        </w:tc>
        <w:tc>
          <w:tcPr>
            <w:tcW w:w="1080" w:type="dxa"/>
            <w:tcBorders>
              <w:top w:val="single" w:color="auto" w:sz="4" w:space="0"/>
              <w:left w:val="single" w:color="auto" w:sz="4" w:space="0"/>
              <w:bottom w:val="single" w:color="auto" w:sz="4" w:space="0"/>
              <w:right w:val="single" w:color="auto" w:sz="4" w:space="0"/>
            </w:tcBorders>
            <w:vAlign w:val="center"/>
          </w:tcPr>
          <w:p w14:paraId="0BEC05B2">
            <w:pPr>
              <w:topLinePunct/>
              <w:spacing w:line="440" w:lineRule="exact"/>
              <w:jc w:val="center"/>
              <w:rPr>
                <w:rFonts w:ascii="宋体" w:hAnsi="宋体" w:cs="宋体"/>
                <w:sz w:val="32"/>
                <w:szCs w:val="32"/>
                <w:highlight w:val="none"/>
              </w:rPr>
            </w:pPr>
            <w:r>
              <w:rPr>
                <w:rFonts w:hint="eastAsia" w:ascii="宋体" w:hAnsi="宋体" w:cs="宋体"/>
                <w:sz w:val="32"/>
                <w:szCs w:val="32"/>
                <w:highlight w:val="none"/>
              </w:rPr>
              <w:t>邮编</w:t>
            </w:r>
          </w:p>
        </w:tc>
        <w:tc>
          <w:tcPr>
            <w:tcW w:w="2344" w:type="dxa"/>
            <w:tcBorders>
              <w:top w:val="single" w:color="auto" w:sz="4" w:space="0"/>
              <w:left w:val="single" w:color="auto" w:sz="4" w:space="0"/>
              <w:bottom w:val="single" w:color="auto" w:sz="4" w:space="0"/>
              <w:right w:val="single" w:color="auto" w:sz="4" w:space="0"/>
            </w:tcBorders>
            <w:vAlign w:val="center"/>
          </w:tcPr>
          <w:p w14:paraId="3FE9282D">
            <w:pPr>
              <w:topLinePunct/>
              <w:spacing w:line="440" w:lineRule="exact"/>
              <w:jc w:val="center"/>
              <w:rPr>
                <w:rFonts w:ascii="宋体" w:hAnsi="宋体" w:cs="宋体"/>
                <w:sz w:val="32"/>
                <w:szCs w:val="32"/>
                <w:highlight w:val="none"/>
              </w:rPr>
            </w:pPr>
          </w:p>
        </w:tc>
      </w:tr>
      <w:tr w14:paraId="2F4881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905" w:type="dxa"/>
            <w:tcBorders>
              <w:top w:val="single" w:color="auto" w:sz="4" w:space="0"/>
              <w:left w:val="single" w:color="auto" w:sz="4" w:space="0"/>
              <w:bottom w:val="single" w:color="auto" w:sz="4" w:space="0"/>
              <w:right w:val="single" w:color="auto" w:sz="4" w:space="0"/>
            </w:tcBorders>
            <w:vAlign w:val="center"/>
          </w:tcPr>
          <w:p w14:paraId="12A37C9C">
            <w:pPr>
              <w:topLinePunct/>
              <w:spacing w:line="440" w:lineRule="exact"/>
              <w:jc w:val="center"/>
              <w:rPr>
                <w:rFonts w:ascii="宋体" w:hAnsi="宋体" w:cs="宋体"/>
                <w:sz w:val="32"/>
                <w:szCs w:val="32"/>
                <w:highlight w:val="none"/>
              </w:rPr>
            </w:pPr>
            <w:r>
              <w:rPr>
                <w:rFonts w:hint="eastAsia" w:ascii="宋体" w:hAnsi="宋体" w:cs="宋体"/>
                <w:sz w:val="32"/>
                <w:szCs w:val="32"/>
                <w:highlight w:val="none"/>
              </w:rPr>
              <w:t>法定代表人</w:t>
            </w:r>
          </w:p>
        </w:tc>
        <w:tc>
          <w:tcPr>
            <w:tcW w:w="3239" w:type="dxa"/>
            <w:gridSpan w:val="3"/>
            <w:tcBorders>
              <w:top w:val="single" w:color="auto" w:sz="4" w:space="0"/>
              <w:left w:val="single" w:color="auto" w:sz="4" w:space="0"/>
              <w:bottom w:val="single" w:color="auto" w:sz="4" w:space="0"/>
              <w:right w:val="single" w:color="auto" w:sz="4" w:space="0"/>
            </w:tcBorders>
            <w:vAlign w:val="center"/>
          </w:tcPr>
          <w:p w14:paraId="4DEFA9BA">
            <w:pPr>
              <w:topLinePunct/>
              <w:spacing w:line="440" w:lineRule="exact"/>
              <w:jc w:val="center"/>
              <w:rPr>
                <w:rFonts w:ascii="宋体" w:hAnsi="宋体" w:cs="宋体"/>
                <w:sz w:val="32"/>
                <w:szCs w:val="32"/>
                <w:highlight w:val="none"/>
              </w:rPr>
            </w:pPr>
          </w:p>
        </w:tc>
        <w:tc>
          <w:tcPr>
            <w:tcW w:w="1080" w:type="dxa"/>
            <w:tcBorders>
              <w:top w:val="single" w:color="auto" w:sz="4" w:space="0"/>
              <w:left w:val="single" w:color="auto" w:sz="4" w:space="0"/>
              <w:bottom w:val="single" w:color="auto" w:sz="4" w:space="0"/>
              <w:right w:val="single" w:color="auto" w:sz="4" w:space="0"/>
            </w:tcBorders>
            <w:vAlign w:val="center"/>
          </w:tcPr>
          <w:p w14:paraId="79FDE5D5">
            <w:pPr>
              <w:topLinePunct/>
              <w:spacing w:line="440" w:lineRule="exact"/>
              <w:jc w:val="center"/>
              <w:rPr>
                <w:rFonts w:ascii="宋体" w:hAnsi="宋体" w:cs="宋体"/>
                <w:sz w:val="32"/>
                <w:szCs w:val="32"/>
                <w:highlight w:val="none"/>
              </w:rPr>
            </w:pPr>
            <w:r>
              <w:rPr>
                <w:rFonts w:hint="eastAsia" w:ascii="宋体" w:hAnsi="宋体" w:cs="宋体"/>
                <w:sz w:val="32"/>
                <w:szCs w:val="32"/>
                <w:highlight w:val="none"/>
              </w:rPr>
              <w:t>电话</w:t>
            </w:r>
          </w:p>
        </w:tc>
        <w:tc>
          <w:tcPr>
            <w:tcW w:w="2344" w:type="dxa"/>
            <w:tcBorders>
              <w:top w:val="single" w:color="auto" w:sz="4" w:space="0"/>
              <w:left w:val="single" w:color="auto" w:sz="4" w:space="0"/>
              <w:bottom w:val="single" w:color="auto" w:sz="4" w:space="0"/>
              <w:right w:val="single" w:color="auto" w:sz="4" w:space="0"/>
            </w:tcBorders>
            <w:vAlign w:val="center"/>
          </w:tcPr>
          <w:p w14:paraId="40C75D6B">
            <w:pPr>
              <w:topLinePunct/>
              <w:spacing w:line="440" w:lineRule="exact"/>
              <w:jc w:val="center"/>
              <w:rPr>
                <w:rFonts w:ascii="宋体" w:hAnsi="宋体" w:cs="宋体"/>
                <w:sz w:val="32"/>
                <w:szCs w:val="32"/>
                <w:highlight w:val="none"/>
              </w:rPr>
            </w:pPr>
          </w:p>
        </w:tc>
      </w:tr>
      <w:tr w14:paraId="2446BE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trPr>
        <w:tc>
          <w:tcPr>
            <w:tcW w:w="1905" w:type="dxa"/>
            <w:vMerge w:val="restart"/>
            <w:tcBorders>
              <w:top w:val="single" w:color="auto" w:sz="4" w:space="0"/>
              <w:left w:val="single" w:color="auto" w:sz="4" w:space="0"/>
              <w:bottom w:val="single" w:color="auto" w:sz="4" w:space="0"/>
              <w:right w:val="single" w:color="auto" w:sz="4" w:space="0"/>
            </w:tcBorders>
            <w:vAlign w:val="center"/>
          </w:tcPr>
          <w:p w14:paraId="487FD8FB">
            <w:pPr>
              <w:topLinePunct/>
              <w:spacing w:line="440" w:lineRule="exact"/>
              <w:jc w:val="center"/>
              <w:rPr>
                <w:rFonts w:ascii="宋体" w:hAnsi="宋体" w:cs="宋体"/>
                <w:sz w:val="32"/>
                <w:szCs w:val="32"/>
                <w:highlight w:val="none"/>
              </w:rPr>
            </w:pPr>
            <w:r>
              <w:rPr>
                <w:rFonts w:hint="eastAsia" w:ascii="宋体" w:hAnsi="宋体" w:cs="宋体"/>
                <w:sz w:val="32"/>
                <w:szCs w:val="32"/>
                <w:highlight w:val="none"/>
              </w:rPr>
              <w:t>联系方式</w:t>
            </w:r>
          </w:p>
        </w:tc>
        <w:tc>
          <w:tcPr>
            <w:tcW w:w="1261" w:type="dxa"/>
            <w:tcBorders>
              <w:top w:val="single" w:color="auto" w:sz="4" w:space="0"/>
              <w:left w:val="single" w:color="auto" w:sz="4" w:space="0"/>
              <w:bottom w:val="single" w:color="auto" w:sz="4" w:space="0"/>
              <w:right w:val="single" w:color="auto" w:sz="4" w:space="0"/>
            </w:tcBorders>
            <w:vAlign w:val="center"/>
          </w:tcPr>
          <w:p w14:paraId="68E887B2">
            <w:pPr>
              <w:topLinePunct/>
              <w:spacing w:line="440" w:lineRule="exact"/>
              <w:jc w:val="center"/>
              <w:rPr>
                <w:rFonts w:ascii="宋体" w:hAnsi="宋体" w:cs="宋体"/>
                <w:sz w:val="32"/>
                <w:szCs w:val="32"/>
                <w:highlight w:val="none"/>
              </w:rPr>
            </w:pPr>
            <w:r>
              <w:rPr>
                <w:rFonts w:hint="eastAsia" w:ascii="宋体" w:hAnsi="宋体" w:cs="宋体"/>
                <w:sz w:val="32"/>
                <w:szCs w:val="32"/>
                <w:highlight w:val="none"/>
              </w:rPr>
              <w:t>联系人</w:t>
            </w:r>
          </w:p>
        </w:tc>
        <w:tc>
          <w:tcPr>
            <w:tcW w:w="1978" w:type="dxa"/>
            <w:gridSpan w:val="2"/>
            <w:tcBorders>
              <w:top w:val="single" w:color="auto" w:sz="4" w:space="0"/>
              <w:left w:val="single" w:color="auto" w:sz="4" w:space="0"/>
              <w:bottom w:val="single" w:color="auto" w:sz="4" w:space="0"/>
              <w:right w:val="single" w:color="auto" w:sz="4" w:space="0"/>
            </w:tcBorders>
            <w:vAlign w:val="center"/>
          </w:tcPr>
          <w:p w14:paraId="3E50E204">
            <w:pPr>
              <w:topLinePunct/>
              <w:spacing w:line="440" w:lineRule="exact"/>
              <w:jc w:val="center"/>
              <w:rPr>
                <w:rFonts w:ascii="宋体" w:hAnsi="宋体" w:cs="宋体"/>
                <w:sz w:val="32"/>
                <w:szCs w:val="32"/>
                <w:highlight w:val="none"/>
              </w:rPr>
            </w:pPr>
          </w:p>
        </w:tc>
        <w:tc>
          <w:tcPr>
            <w:tcW w:w="1080" w:type="dxa"/>
            <w:tcBorders>
              <w:top w:val="single" w:color="auto" w:sz="4" w:space="0"/>
              <w:left w:val="single" w:color="auto" w:sz="4" w:space="0"/>
              <w:bottom w:val="single" w:color="auto" w:sz="4" w:space="0"/>
              <w:right w:val="single" w:color="auto" w:sz="4" w:space="0"/>
            </w:tcBorders>
            <w:vAlign w:val="center"/>
          </w:tcPr>
          <w:p w14:paraId="021A42AE">
            <w:pPr>
              <w:topLinePunct/>
              <w:spacing w:line="440" w:lineRule="exact"/>
              <w:jc w:val="center"/>
              <w:rPr>
                <w:rFonts w:ascii="宋体" w:hAnsi="宋体" w:cs="宋体"/>
                <w:sz w:val="32"/>
                <w:szCs w:val="32"/>
                <w:highlight w:val="none"/>
              </w:rPr>
            </w:pPr>
            <w:r>
              <w:rPr>
                <w:rFonts w:hint="eastAsia" w:ascii="宋体" w:hAnsi="宋体" w:cs="宋体"/>
                <w:sz w:val="32"/>
                <w:szCs w:val="32"/>
                <w:highlight w:val="none"/>
              </w:rPr>
              <w:t>电 话</w:t>
            </w:r>
          </w:p>
        </w:tc>
        <w:tc>
          <w:tcPr>
            <w:tcW w:w="2344" w:type="dxa"/>
            <w:tcBorders>
              <w:top w:val="single" w:color="auto" w:sz="4" w:space="0"/>
              <w:left w:val="single" w:color="auto" w:sz="4" w:space="0"/>
              <w:bottom w:val="single" w:color="auto" w:sz="4" w:space="0"/>
              <w:right w:val="single" w:color="auto" w:sz="4" w:space="0"/>
            </w:tcBorders>
            <w:vAlign w:val="center"/>
          </w:tcPr>
          <w:p w14:paraId="51CFFD9C">
            <w:pPr>
              <w:topLinePunct/>
              <w:spacing w:line="440" w:lineRule="exact"/>
              <w:jc w:val="center"/>
              <w:rPr>
                <w:rFonts w:ascii="宋体" w:hAnsi="宋体" w:cs="宋体"/>
                <w:sz w:val="32"/>
                <w:szCs w:val="32"/>
                <w:highlight w:val="none"/>
              </w:rPr>
            </w:pPr>
          </w:p>
        </w:tc>
      </w:tr>
      <w:tr w14:paraId="6CC0D3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905" w:type="dxa"/>
            <w:vMerge w:val="continue"/>
            <w:tcBorders>
              <w:top w:val="single" w:color="auto" w:sz="4" w:space="0"/>
              <w:left w:val="single" w:color="auto" w:sz="4" w:space="0"/>
              <w:bottom w:val="single" w:color="auto" w:sz="4" w:space="0"/>
              <w:right w:val="single" w:color="auto" w:sz="4" w:space="0"/>
            </w:tcBorders>
            <w:vAlign w:val="center"/>
          </w:tcPr>
          <w:p w14:paraId="1A37EE9A">
            <w:pPr>
              <w:topLinePunct/>
              <w:spacing w:line="440" w:lineRule="exact"/>
              <w:jc w:val="center"/>
              <w:rPr>
                <w:rFonts w:ascii="宋体" w:hAnsi="宋体" w:cs="宋体"/>
                <w:sz w:val="32"/>
                <w:szCs w:val="32"/>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1FF00246">
            <w:pPr>
              <w:topLinePunct/>
              <w:spacing w:line="440" w:lineRule="exact"/>
              <w:jc w:val="center"/>
              <w:rPr>
                <w:rFonts w:ascii="宋体" w:hAnsi="宋体" w:cs="宋体"/>
                <w:sz w:val="32"/>
                <w:szCs w:val="32"/>
                <w:highlight w:val="none"/>
              </w:rPr>
            </w:pPr>
            <w:r>
              <w:rPr>
                <w:rFonts w:hint="eastAsia" w:ascii="宋体" w:hAnsi="宋体" w:cs="宋体"/>
                <w:sz w:val="32"/>
                <w:szCs w:val="32"/>
                <w:highlight w:val="none"/>
              </w:rPr>
              <w:t>传真</w:t>
            </w:r>
          </w:p>
        </w:tc>
        <w:tc>
          <w:tcPr>
            <w:tcW w:w="1978" w:type="dxa"/>
            <w:gridSpan w:val="2"/>
            <w:tcBorders>
              <w:top w:val="single" w:color="auto" w:sz="4" w:space="0"/>
              <w:left w:val="single" w:color="auto" w:sz="4" w:space="0"/>
              <w:bottom w:val="single" w:color="auto" w:sz="4" w:space="0"/>
              <w:right w:val="single" w:color="auto" w:sz="4" w:space="0"/>
            </w:tcBorders>
            <w:vAlign w:val="center"/>
          </w:tcPr>
          <w:p w14:paraId="651B4C3E">
            <w:pPr>
              <w:topLinePunct/>
              <w:spacing w:line="440" w:lineRule="exact"/>
              <w:jc w:val="center"/>
              <w:rPr>
                <w:rFonts w:ascii="宋体" w:hAnsi="宋体" w:cs="宋体"/>
                <w:sz w:val="32"/>
                <w:szCs w:val="32"/>
                <w:highlight w:val="none"/>
              </w:rPr>
            </w:pPr>
          </w:p>
        </w:tc>
        <w:tc>
          <w:tcPr>
            <w:tcW w:w="1080" w:type="dxa"/>
            <w:tcBorders>
              <w:top w:val="single" w:color="auto" w:sz="4" w:space="0"/>
              <w:left w:val="single" w:color="auto" w:sz="4" w:space="0"/>
              <w:bottom w:val="single" w:color="auto" w:sz="4" w:space="0"/>
              <w:right w:val="single" w:color="auto" w:sz="4" w:space="0"/>
            </w:tcBorders>
            <w:vAlign w:val="center"/>
          </w:tcPr>
          <w:p w14:paraId="0B2A54C4">
            <w:pPr>
              <w:topLinePunct/>
              <w:spacing w:line="440" w:lineRule="exact"/>
              <w:jc w:val="center"/>
              <w:rPr>
                <w:rFonts w:ascii="宋体" w:hAnsi="宋体" w:cs="宋体"/>
                <w:sz w:val="32"/>
                <w:szCs w:val="32"/>
                <w:highlight w:val="none"/>
              </w:rPr>
            </w:pPr>
            <w:r>
              <w:rPr>
                <w:rFonts w:hint="eastAsia" w:ascii="宋体" w:hAnsi="宋体" w:cs="宋体"/>
                <w:sz w:val="32"/>
                <w:szCs w:val="32"/>
                <w:highlight w:val="none"/>
              </w:rPr>
              <w:t>网 址</w:t>
            </w:r>
          </w:p>
        </w:tc>
        <w:tc>
          <w:tcPr>
            <w:tcW w:w="2344" w:type="dxa"/>
            <w:tcBorders>
              <w:top w:val="single" w:color="auto" w:sz="4" w:space="0"/>
              <w:left w:val="single" w:color="auto" w:sz="4" w:space="0"/>
              <w:bottom w:val="single" w:color="auto" w:sz="4" w:space="0"/>
              <w:right w:val="single" w:color="auto" w:sz="4" w:space="0"/>
            </w:tcBorders>
            <w:vAlign w:val="center"/>
          </w:tcPr>
          <w:p w14:paraId="2A24DBEC">
            <w:pPr>
              <w:topLinePunct/>
              <w:spacing w:line="440" w:lineRule="exact"/>
              <w:jc w:val="center"/>
              <w:rPr>
                <w:rFonts w:ascii="宋体" w:hAnsi="宋体" w:cs="宋体"/>
                <w:sz w:val="32"/>
                <w:szCs w:val="32"/>
                <w:highlight w:val="none"/>
              </w:rPr>
            </w:pPr>
          </w:p>
        </w:tc>
      </w:tr>
      <w:tr w14:paraId="05F0FF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905" w:type="dxa"/>
            <w:tcBorders>
              <w:top w:val="single" w:color="auto" w:sz="4" w:space="0"/>
              <w:left w:val="single" w:color="auto" w:sz="4" w:space="0"/>
              <w:bottom w:val="single" w:color="auto" w:sz="4" w:space="0"/>
              <w:right w:val="single" w:color="auto" w:sz="4" w:space="0"/>
            </w:tcBorders>
            <w:vAlign w:val="center"/>
          </w:tcPr>
          <w:p w14:paraId="77D3A32D">
            <w:pPr>
              <w:topLinePunct/>
              <w:spacing w:line="440" w:lineRule="exact"/>
              <w:jc w:val="center"/>
              <w:rPr>
                <w:rFonts w:ascii="宋体" w:hAnsi="宋体" w:cs="宋体"/>
                <w:sz w:val="32"/>
                <w:szCs w:val="32"/>
                <w:highlight w:val="none"/>
              </w:rPr>
            </w:pPr>
            <w:r>
              <w:rPr>
                <w:rFonts w:hint="eastAsia" w:ascii="宋体" w:hAnsi="宋体" w:cs="宋体"/>
                <w:sz w:val="32"/>
                <w:szCs w:val="32"/>
                <w:highlight w:val="none"/>
              </w:rPr>
              <w:t>成立时间</w:t>
            </w:r>
          </w:p>
        </w:tc>
        <w:tc>
          <w:tcPr>
            <w:tcW w:w="2701" w:type="dxa"/>
            <w:gridSpan w:val="2"/>
            <w:tcBorders>
              <w:top w:val="single" w:color="auto" w:sz="4" w:space="0"/>
              <w:left w:val="single" w:color="auto" w:sz="4" w:space="0"/>
              <w:bottom w:val="single" w:color="auto" w:sz="4" w:space="0"/>
              <w:right w:val="single" w:color="auto" w:sz="4" w:space="0"/>
            </w:tcBorders>
            <w:vAlign w:val="center"/>
          </w:tcPr>
          <w:p w14:paraId="79742D7A">
            <w:pPr>
              <w:topLinePunct/>
              <w:spacing w:line="440" w:lineRule="exact"/>
              <w:jc w:val="center"/>
              <w:rPr>
                <w:rFonts w:ascii="宋体" w:hAnsi="宋体" w:cs="宋体"/>
                <w:sz w:val="32"/>
                <w:szCs w:val="32"/>
                <w:highlight w:val="none"/>
              </w:rPr>
            </w:pPr>
          </w:p>
        </w:tc>
        <w:tc>
          <w:tcPr>
            <w:tcW w:w="3962" w:type="dxa"/>
            <w:gridSpan w:val="3"/>
            <w:tcBorders>
              <w:top w:val="single" w:color="auto" w:sz="4" w:space="0"/>
              <w:left w:val="single" w:color="auto" w:sz="4" w:space="0"/>
              <w:bottom w:val="single" w:color="auto" w:sz="4" w:space="0"/>
              <w:right w:val="single" w:color="auto" w:sz="4" w:space="0"/>
            </w:tcBorders>
            <w:vAlign w:val="center"/>
          </w:tcPr>
          <w:p w14:paraId="48E72F58">
            <w:pPr>
              <w:topLinePunct/>
              <w:spacing w:line="440" w:lineRule="exact"/>
              <w:rPr>
                <w:rFonts w:ascii="宋体" w:hAnsi="宋体" w:cs="宋体"/>
                <w:sz w:val="32"/>
                <w:szCs w:val="32"/>
                <w:highlight w:val="none"/>
              </w:rPr>
            </w:pPr>
            <w:r>
              <w:rPr>
                <w:rFonts w:hint="eastAsia" w:ascii="宋体" w:hAnsi="宋体" w:cs="宋体"/>
                <w:sz w:val="32"/>
                <w:szCs w:val="32"/>
                <w:highlight w:val="none"/>
              </w:rPr>
              <w:t>员工总人数：</w:t>
            </w:r>
          </w:p>
        </w:tc>
      </w:tr>
      <w:tr w14:paraId="035CCF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1905" w:type="dxa"/>
            <w:tcBorders>
              <w:top w:val="single" w:color="auto" w:sz="4" w:space="0"/>
              <w:left w:val="single" w:color="auto" w:sz="4" w:space="0"/>
              <w:bottom w:val="single" w:color="auto" w:sz="4" w:space="0"/>
              <w:right w:val="single" w:color="auto" w:sz="4" w:space="0"/>
            </w:tcBorders>
            <w:vAlign w:val="center"/>
          </w:tcPr>
          <w:p w14:paraId="3EF81C4F">
            <w:pPr>
              <w:topLinePunct/>
              <w:spacing w:line="440" w:lineRule="exact"/>
              <w:jc w:val="center"/>
              <w:rPr>
                <w:rFonts w:ascii="宋体" w:hAnsi="宋体" w:cs="宋体"/>
                <w:sz w:val="32"/>
                <w:szCs w:val="32"/>
                <w:highlight w:val="none"/>
              </w:rPr>
            </w:pPr>
            <w:r>
              <w:rPr>
                <w:rFonts w:hint="eastAsia" w:ascii="宋体" w:hAnsi="宋体" w:cs="宋体"/>
                <w:sz w:val="32"/>
                <w:szCs w:val="32"/>
                <w:highlight w:val="none"/>
              </w:rPr>
              <w:t>营业执照号</w:t>
            </w:r>
          </w:p>
        </w:tc>
        <w:tc>
          <w:tcPr>
            <w:tcW w:w="2701" w:type="dxa"/>
            <w:gridSpan w:val="2"/>
            <w:tcBorders>
              <w:top w:val="single" w:color="auto" w:sz="4" w:space="0"/>
              <w:left w:val="single" w:color="auto" w:sz="4" w:space="0"/>
              <w:bottom w:val="single" w:color="auto" w:sz="4" w:space="0"/>
              <w:right w:val="single" w:color="auto" w:sz="4" w:space="0"/>
            </w:tcBorders>
            <w:vAlign w:val="center"/>
          </w:tcPr>
          <w:p w14:paraId="2806D9C6">
            <w:pPr>
              <w:topLinePunct/>
              <w:spacing w:line="440" w:lineRule="exact"/>
              <w:jc w:val="center"/>
              <w:rPr>
                <w:rFonts w:ascii="宋体" w:hAnsi="宋体" w:cs="宋体"/>
                <w:sz w:val="32"/>
                <w:szCs w:val="32"/>
                <w:highlight w:val="none"/>
              </w:rPr>
            </w:pPr>
          </w:p>
        </w:tc>
        <w:tc>
          <w:tcPr>
            <w:tcW w:w="3962" w:type="dxa"/>
            <w:gridSpan w:val="3"/>
            <w:tcBorders>
              <w:top w:val="single" w:color="auto" w:sz="4" w:space="0"/>
              <w:left w:val="single" w:color="auto" w:sz="4" w:space="0"/>
              <w:bottom w:val="single" w:color="auto" w:sz="4" w:space="0"/>
              <w:right w:val="single" w:color="auto" w:sz="4" w:space="0"/>
            </w:tcBorders>
            <w:vAlign w:val="center"/>
          </w:tcPr>
          <w:p w14:paraId="69D42EC9">
            <w:pPr>
              <w:topLinePunct/>
              <w:spacing w:line="440" w:lineRule="exact"/>
              <w:rPr>
                <w:rFonts w:ascii="宋体" w:hAnsi="宋体" w:cs="宋体"/>
                <w:sz w:val="32"/>
                <w:szCs w:val="32"/>
                <w:highlight w:val="none"/>
              </w:rPr>
            </w:pPr>
            <w:r>
              <w:rPr>
                <w:rFonts w:hint="eastAsia" w:ascii="宋体" w:hAnsi="宋体" w:cs="宋体"/>
                <w:sz w:val="32"/>
                <w:szCs w:val="32"/>
                <w:highlight w:val="none"/>
              </w:rPr>
              <w:t>注册资金：</w:t>
            </w:r>
          </w:p>
        </w:tc>
      </w:tr>
      <w:tr w14:paraId="41FF5B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1905" w:type="dxa"/>
            <w:tcBorders>
              <w:top w:val="single" w:color="auto" w:sz="4" w:space="0"/>
              <w:left w:val="single" w:color="auto" w:sz="4" w:space="0"/>
              <w:bottom w:val="single" w:color="auto" w:sz="4" w:space="0"/>
              <w:right w:val="single" w:color="auto" w:sz="4" w:space="0"/>
            </w:tcBorders>
            <w:vAlign w:val="center"/>
          </w:tcPr>
          <w:p w14:paraId="61A4B84E">
            <w:pPr>
              <w:topLinePunct/>
              <w:spacing w:line="440" w:lineRule="exact"/>
              <w:jc w:val="center"/>
              <w:rPr>
                <w:rFonts w:ascii="宋体" w:hAnsi="宋体" w:cs="宋体"/>
                <w:sz w:val="32"/>
                <w:szCs w:val="32"/>
                <w:highlight w:val="none"/>
              </w:rPr>
            </w:pPr>
            <w:r>
              <w:rPr>
                <w:rFonts w:hint="eastAsia" w:ascii="宋体" w:hAnsi="宋体" w:cs="宋体"/>
                <w:sz w:val="32"/>
                <w:szCs w:val="32"/>
                <w:highlight w:val="none"/>
              </w:rPr>
              <w:t>开户银行</w:t>
            </w:r>
          </w:p>
        </w:tc>
        <w:tc>
          <w:tcPr>
            <w:tcW w:w="2701" w:type="dxa"/>
            <w:gridSpan w:val="2"/>
            <w:tcBorders>
              <w:top w:val="single" w:color="auto" w:sz="4" w:space="0"/>
              <w:left w:val="single" w:color="auto" w:sz="4" w:space="0"/>
              <w:bottom w:val="single" w:color="auto" w:sz="4" w:space="0"/>
              <w:right w:val="single" w:color="auto" w:sz="4" w:space="0"/>
            </w:tcBorders>
            <w:vAlign w:val="center"/>
          </w:tcPr>
          <w:p w14:paraId="45F9FA50">
            <w:pPr>
              <w:topLinePunct/>
              <w:spacing w:line="440" w:lineRule="exact"/>
              <w:jc w:val="center"/>
              <w:rPr>
                <w:rFonts w:ascii="宋体" w:hAnsi="宋体" w:cs="宋体"/>
                <w:sz w:val="32"/>
                <w:szCs w:val="32"/>
                <w:highlight w:val="none"/>
              </w:rPr>
            </w:pPr>
          </w:p>
        </w:tc>
        <w:tc>
          <w:tcPr>
            <w:tcW w:w="3962" w:type="dxa"/>
            <w:gridSpan w:val="3"/>
            <w:tcBorders>
              <w:top w:val="single" w:color="auto" w:sz="4" w:space="0"/>
              <w:left w:val="single" w:color="auto" w:sz="4" w:space="0"/>
              <w:bottom w:val="single" w:color="auto" w:sz="4" w:space="0"/>
              <w:right w:val="single" w:color="auto" w:sz="4" w:space="0"/>
            </w:tcBorders>
            <w:vAlign w:val="center"/>
          </w:tcPr>
          <w:p w14:paraId="642A3A1E">
            <w:pPr>
              <w:topLinePunct/>
              <w:spacing w:line="440" w:lineRule="exact"/>
              <w:rPr>
                <w:rFonts w:ascii="宋体" w:hAnsi="宋体" w:cs="宋体"/>
                <w:sz w:val="32"/>
                <w:szCs w:val="32"/>
                <w:highlight w:val="none"/>
              </w:rPr>
            </w:pPr>
            <w:r>
              <w:rPr>
                <w:rFonts w:hint="eastAsia" w:ascii="宋体" w:hAnsi="宋体" w:cs="宋体"/>
                <w:sz w:val="32"/>
                <w:szCs w:val="32"/>
                <w:highlight w:val="none"/>
              </w:rPr>
              <w:t>账号：</w:t>
            </w:r>
          </w:p>
        </w:tc>
      </w:tr>
      <w:tr w14:paraId="12A1BA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87" w:hRule="atLeast"/>
        </w:trPr>
        <w:tc>
          <w:tcPr>
            <w:tcW w:w="1905" w:type="dxa"/>
            <w:tcBorders>
              <w:top w:val="single" w:color="auto" w:sz="4" w:space="0"/>
              <w:left w:val="single" w:color="auto" w:sz="4" w:space="0"/>
              <w:right w:val="single" w:color="auto" w:sz="4" w:space="0"/>
            </w:tcBorders>
            <w:vAlign w:val="center"/>
          </w:tcPr>
          <w:p w14:paraId="4DC571CB">
            <w:pPr>
              <w:topLinePunct/>
              <w:spacing w:line="440" w:lineRule="exact"/>
              <w:ind w:firstLine="320" w:firstLineChars="100"/>
              <w:jc w:val="center"/>
              <w:rPr>
                <w:rFonts w:ascii="宋体" w:hAnsi="宋体" w:cs="宋体"/>
                <w:sz w:val="32"/>
                <w:szCs w:val="32"/>
                <w:highlight w:val="none"/>
              </w:rPr>
            </w:pPr>
            <w:r>
              <w:rPr>
                <w:rFonts w:hint="eastAsia" w:ascii="宋体" w:hAnsi="宋体" w:cs="宋体"/>
                <w:sz w:val="32"/>
                <w:szCs w:val="32"/>
                <w:highlight w:val="none"/>
              </w:rPr>
              <w:t>核定的经营范围</w:t>
            </w:r>
          </w:p>
        </w:tc>
        <w:tc>
          <w:tcPr>
            <w:tcW w:w="6663" w:type="dxa"/>
            <w:gridSpan w:val="5"/>
            <w:tcBorders>
              <w:top w:val="single" w:color="auto" w:sz="4" w:space="0"/>
              <w:left w:val="single" w:color="auto" w:sz="4" w:space="0"/>
              <w:right w:val="single" w:color="auto" w:sz="4" w:space="0"/>
            </w:tcBorders>
            <w:vAlign w:val="center"/>
          </w:tcPr>
          <w:p w14:paraId="1E08417B">
            <w:pPr>
              <w:topLinePunct/>
              <w:spacing w:line="440" w:lineRule="exact"/>
              <w:rPr>
                <w:rFonts w:ascii="宋体" w:hAnsi="宋体" w:cs="宋体"/>
                <w:sz w:val="32"/>
                <w:szCs w:val="32"/>
                <w:highlight w:val="none"/>
              </w:rPr>
            </w:pPr>
          </w:p>
        </w:tc>
      </w:tr>
      <w:tr w14:paraId="3AAA2D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1905" w:type="dxa"/>
            <w:tcBorders>
              <w:top w:val="single" w:color="auto" w:sz="4" w:space="0"/>
              <w:left w:val="single" w:color="auto" w:sz="4" w:space="0"/>
              <w:bottom w:val="single" w:color="auto" w:sz="4" w:space="0"/>
              <w:right w:val="single" w:color="auto" w:sz="4" w:space="0"/>
            </w:tcBorders>
            <w:vAlign w:val="center"/>
          </w:tcPr>
          <w:p w14:paraId="231E1381">
            <w:pPr>
              <w:topLinePunct/>
              <w:spacing w:line="440" w:lineRule="exact"/>
              <w:jc w:val="center"/>
              <w:rPr>
                <w:rFonts w:ascii="宋体" w:hAnsi="宋体" w:cs="宋体"/>
                <w:sz w:val="32"/>
                <w:szCs w:val="32"/>
                <w:highlight w:val="none"/>
              </w:rPr>
            </w:pPr>
            <w:r>
              <w:rPr>
                <w:rFonts w:hint="eastAsia" w:ascii="宋体" w:hAnsi="宋体" w:cs="宋体"/>
                <w:sz w:val="32"/>
                <w:szCs w:val="32"/>
                <w:highlight w:val="none"/>
              </w:rPr>
              <w:t>备注</w:t>
            </w:r>
          </w:p>
        </w:tc>
        <w:tc>
          <w:tcPr>
            <w:tcW w:w="6663" w:type="dxa"/>
            <w:gridSpan w:val="5"/>
            <w:tcBorders>
              <w:top w:val="single" w:color="auto" w:sz="4" w:space="0"/>
              <w:left w:val="single" w:color="auto" w:sz="4" w:space="0"/>
              <w:bottom w:val="single" w:color="auto" w:sz="4" w:space="0"/>
              <w:right w:val="single" w:color="auto" w:sz="4" w:space="0"/>
            </w:tcBorders>
            <w:vAlign w:val="center"/>
          </w:tcPr>
          <w:p w14:paraId="7366E73A">
            <w:pPr>
              <w:topLinePunct/>
              <w:spacing w:line="440" w:lineRule="exact"/>
              <w:jc w:val="center"/>
              <w:rPr>
                <w:rFonts w:ascii="宋体" w:hAnsi="宋体" w:cs="宋体"/>
                <w:sz w:val="32"/>
                <w:szCs w:val="32"/>
                <w:highlight w:val="none"/>
              </w:rPr>
            </w:pPr>
          </w:p>
        </w:tc>
      </w:tr>
    </w:tbl>
    <w:p w14:paraId="3CA4229F">
      <w:pPr>
        <w:tabs>
          <w:tab w:val="left" w:pos="8280"/>
        </w:tabs>
        <w:spacing w:line="480" w:lineRule="exact"/>
        <w:ind w:right="6"/>
        <w:rPr>
          <w:rFonts w:ascii="宋体" w:hAnsi="宋体" w:cs="宋体"/>
          <w:b/>
          <w:sz w:val="32"/>
          <w:szCs w:val="32"/>
          <w:highlight w:val="none"/>
        </w:rPr>
      </w:pPr>
    </w:p>
    <w:p w14:paraId="563D4213">
      <w:pPr>
        <w:numPr>
          <w:ilvl w:val="0"/>
          <w:numId w:val="0"/>
        </w:numPr>
        <w:ind w:leftChars="0"/>
        <w:jc w:val="both"/>
        <w:rPr>
          <w:rFonts w:hint="eastAsia" w:ascii="宋体" w:hAnsi="宋体" w:cs="仿宋_GB2312"/>
          <w:b w:val="0"/>
          <w:bCs w:val="0"/>
          <w:sz w:val="28"/>
          <w:szCs w:val="28"/>
          <w:highlight w:val="none"/>
          <w:lang w:val="en-US" w:eastAsia="zh-CN"/>
        </w:rPr>
      </w:pPr>
      <w:r>
        <w:rPr>
          <w:rFonts w:hint="eastAsia" w:ascii="宋体" w:hAnsi="宋体" w:cs="宋体"/>
          <w:b/>
          <w:sz w:val="32"/>
          <w:szCs w:val="32"/>
          <w:highlight w:val="none"/>
        </w:rPr>
        <w:br w:type="page"/>
      </w:r>
      <w:r>
        <w:rPr>
          <w:rFonts w:hint="eastAsia" w:ascii="宋体" w:hAnsi="宋体" w:cs="仿宋_GB2312"/>
          <w:b w:val="0"/>
          <w:bCs w:val="0"/>
          <w:sz w:val="28"/>
          <w:szCs w:val="28"/>
          <w:highlight w:val="none"/>
          <w:lang w:val="en-US" w:eastAsia="zh-CN"/>
        </w:rPr>
        <w:t>资格证明材料（实质性要求）</w:t>
      </w:r>
    </w:p>
    <w:p w14:paraId="370D20F7">
      <w:pPr>
        <w:numPr>
          <w:ilvl w:val="0"/>
          <w:numId w:val="0"/>
        </w:numPr>
        <w:ind w:left="0" w:leftChars="0" w:firstLine="0" w:firstLineChars="0"/>
        <w:jc w:val="center"/>
        <w:outlineLvl w:val="1"/>
        <w:rPr>
          <w:rFonts w:ascii="宋体" w:hAnsi="宋体" w:cs="宋体"/>
          <w:b/>
          <w:sz w:val="32"/>
          <w:szCs w:val="32"/>
          <w:highlight w:val="none"/>
        </w:rPr>
      </w:pPr>
      <w:bookmarkStart w:id="806" w:name="_Toc30544"/>
      <w:r>
        <w:rPr>
          <w:rFonts w:hint="eastAsia" w:ascii="宋体" w:hAnsi="宋体" w:cs="宋体"/>
          <w:b/>
          <w:sz w:val="32"/>
          <w:szCs w:val="32"/>
          <w:highlight w:val="none"/>
          <w:lang w:eastAsia="zh-CN"/>
        </w:rPr>
        <w:t>（</w:t>
      </w:r>
      <w:r>
        <w:rPr>
          <w:rFonts w:hint="eastAsia" w:ascii="宋体" w:hAnsi="宋体" w:cs="宋体"/>
          <w:b/>
          <w:sz w:val="32"/>
          <w:szCs w:val="32"/>
          <w:highlight w:val="none"/>
          <w:lang w:val="en-US" w:eastAsia="zh-CN"/>
        </w:rPr>
        <w:t>二</w:t>
      </w:r>
      <w:r>
        <w:rPr>
          <w:rFonts w:hint="eastAsia" w:ascii="宋体" w:hAnsi="宋体" w:cs="宋体"/>
          <w:b/>
          <w:sz w:val="32"/>
          <w:szCs w:val="32"/>
          <w:highlight w:val="none"/>
          <w:lang w:eastAsia="zh-CN"/>
        </w:rPr>
        <w:t>）</w:t>
      </w:r>
      <w:r>
        <w:rPr>
          <w:rFonts w:hint="eastAsia" w:ascii="宋体" w:hAnsi="宋体" w:cs="宋体"/>
          <w:b/>
          <w:sz w:val="32"/>
          <w:szCs w:val="32"/>
          <w:highlight w:val="none"/>
        </w:rPr>
        <w:t>资格证明材料</w:t>
      </w:r>
      <w:bookmarkEnd w:id="806"/>
    </w:p>
    <w:p w14:paraId="2AA4FB4F">
      <w:pPr>
        <w:ind w:left="479" w:leftChars="228" w:firstLine="160" w:firstLineChars="50"/>
        <w:rPr>
          <w:rFonts w:ascii="宋体" w:hAnsi="宋体"/>
          <w:sz w:val="32"/>
          <w:szCs w:val="32"/>
          <w:highlight w:val="none"/>
        </w:rPr>
      </w:pPr>
    </w:p>
    <w:p w14:paraId="134D7B57">
      <w:pPr>
        <w:pStyle w:val="32"/>
        <w:ind w:left="0" w:leftChars="0" w:firstLine="640" w:firstLineChars="200"/>
        <w:rPr>
          <w:highlight w:val="none"/>
        </w:rPr>
      </w:pPr>
      <w:r>
        <w:rPr>
          <w:rFonts w:hint="eastAsia" w:ascii="宋体" w:hAnsi="宋体"/>
          <w:sz w:val="32"/>
          <w:szCs w:val="32"/>
          <w:highlight w:val="none"/>
        </w:rPr>
        <w:t>说明：</w:t>
      </w:r>
    </w:p>
    <w:p w14:paraId="78D15080">
      <w:pPr>
        <w:rPr>
          <w:rFonts w:ascii="宋体" w:hAnsi="宋体"/>
          <w:sz w:val="32"/>
          <w:szCs w:val="32"/>
          <w:highlight w:val="none"/>
        </w:rPr>
      </w:pPr>
      <w:r>
        <w:rPr>
          <w:rFonts w:hint="eastAsia" w:ascii="宋体" w:hAnsi="宋体"/>
          <w:sz w:val="32"/>
          <w:szCs w:val="32"/>
          <w:highlight w:val="none"/>
        </w:rPr>
        <w:t>　　1、供应商在此处完整提供“供应商资格要求”的全部资格证明材料，否则，自行承担资格审查不通过的风险责任。</w:t>
      </w:r>
    </w:p>
    <w:p w14:paraId="58AD7644">
      <w:pPr>
        <w:ind w:firstLine="640" w:firstLineChars="200"/>
        <w:rPr>
          <w:rFonts w:ascii="宋体" w:hAnsi="宋体"/>
          <w:sz w:val="32"/>
          <w:szCs w:val="32"/>
          <w:highlight w:val="none"/>
        </w:rPr>
      </w:pPr>
      <w:r>
        <w:rPr>
          <w:rFonts w:hint="eastAsia" w:ascii="宋体" w:hAnsi="宋体"/>
          <w:sz w:val="32"/>
          <w:szCs w:val="32"/>
          <w:highlight w:val="none"/>
        </w:rPr>
        <w:t>2、《供应商开标前三年内在经营活动中无重大违法记录的书面声明》和《供应商具备履行合同所必需的设备和专业技术能力的承诺书》格式见后附参考格式。</w:t>
      </w:r>
    </w:p>
    <w:p w14:paraId="7CCAF051">
      <w:pPr>
        <w:ind w:firstLine="640" w:firstLineChars="200"/>
        <w:rPr>
          <w:rFonts w:ascii="宋体" w:hAnsi="宋体"/>
          <w:sz w:val="32"/>
          <w:szCs w:val="32"/>
          <w:highlight w:val="none"/>
        </w:rPr>
      </w:pPr>
      <w:r>
        <w:rPr>
          <w:rFonts w:hint="eastAsia" w:ascii="宋体" w:hAnsi="宋体"/>
          <w:sz w:val="32"/>
          <w:szCs w:val="32"/>
          <w:highlight w:val="none"/>
        </w:rPr>
        <w:t>3、只面向中小企业采购的项目（以资格要求为准），须在此处提供《中小企业声明函》或《残疾人福利性单位声明函》或《监狱企业证明》。参考格式见“相关证明材料”附件。</w:t>
      </w:r>
    </w:p>
    <w:p w14:paraId="5D5403BC">
      <w:pPr>
        <w:pStyle w:val="30"/>
        <w:spacing w:line="300" w:lineRule="atLeast"/>
        <w:jc w:val="center"/>
        <w:rPr>
          <w:sz w:val="32"/>
          <w:szCs w:val="32"/>
          <w:highlight w:val="none"/>
        </w:rPr>
      </w:pPr>
      <w:r>
        <w:rPr>
          <w:rFonts w:hint="eastAsia"/>
          <w:sz w:val="32"/>
          <w:szCs w:val="32"/>
          <w:highlight w:val="none"/>
        </w:rPr>
        <w:br w:type="page"/>
      </w:r>
    </w:p>
    <w:p w14:paraId="30DA89CC">
      <w:pPr>
        <w:pStyle w:val="30"/>
        <w:spacing w:line="300" w:lineRule="atLeast"/>
        <w:jc w:val="center"/>
        <w:outlineLvl w:val="2"/>
        <w:rPr>
          <w:b/>
          <w:sz w:val="36"/>
          <w:szCs w:val="36"/>
          <w:highlight w:val="none"/>
        </w:rPr>
      </w:pPr>
      <w:r>
        <w:rPr>
          <w:rFonts w:hint="eastAsia"/>
          <w:b/>
          <w:sz w:val="36"/>
          <w:szCs w:val="36"/>
          <w:highlight w:val="none"/>
        </w:rPr>
        <w:t>供应商参与采购活动前三年内在经营活动中没有重大违法记录的书面声明函（</w:t>
      </w:r>
      <w:r>
        <w:rPr>
          <w:rFonts w:hint="eastAsia"/>
          <w:b/>
          <w:kern w:val="44"/>
          <w:sz w:val="32"/>
          <w:szCs w:val="32"/>
          <w:highlight w:val="none"/>
        </w:rPr>
        <w:t>参考格式</w:t>
      </w:r>
      <w:r>
        <w:rPr>
          <w:rFonts w:hint="eastAsia"/>
          <w:b/>
          <w:sz w:val="36"/>
          <w:szCs w:val="36"/>
          <w:highlight w:val="none"/>
        </w:rPr>
        <w:t>）</w:t>
      </w:r>
    </w:p>
    <w:p w14:paraId="69FF1F74">
      <w:pPr>
        <w:spacing w:before="156" w:beforeLines="50" w:after="156" w:afterLines="50" w:line="480" w:lineRule="auto"/>
        <w:rPr>
          <w:rFonts w:ascii="宋体" w:hAnsi="宋体"/>
          <w:sz w:val="32"/>
          <w:szCs w:val="32"/>
          <w:highlight w:val="none"/>
        </w:rPr>
      </w:pPr>
    </w:p>
    <w:p w14:paraId="35BB21A3">
      <w:pPr>
        <w:spacing w:before="156" w:beforeLines="50" w:after="156" w:afterLines="50" w:line="480" w:lineRule="auto"/>
        <w:ind w:firstLine="640" w:firstLineChars="200"/>
        <w:rPr>
          <w:rFonts w:ascii="宋体" w:hAnsi="宋体"/>
          <w:sz w:val="32"/>
          <w:szCs w:val="32"/>
          <w:highlight w:val="none"/>
        </w:rPr>
      </w:pPr>
      <w:r>
        <w:rPr>
          <w:rFonts w:hint="eastAsia" w:ascii="宋体" w:hAnsi="宋体"/>
          <w:sz w:val="32"/>
          <w:szCs w:val="32"/>
          <w:highlight w:val="none"/>
        </w:rPr>
        <w:t>我公司声明：在参与本项目采购活动前三年内（截至投标截止时间），没有重大违法记录（因违法经营受到刑事处罚或者责令停产停业、吊销许可证或者执照、较大数额罚款等行政处罚）。若发现我公司承诺不实，我公司投标无效，并承担由此造成的提供虚假材料等一切后果。</w:t>
      </w:r>
    </w:p>
    <w:p w14:paraId="344FA1F8">
      <w:pPr>
        <w:spacing w:before="156" w:beforeLines="50" w:after="156" w:afterLines="50" w:line="480" w:lineRule="auto"/>
        <w:ind w:firstLine="640" w:firstLineChars="200"/>
        <w:rPr>
          <w:rFonts w:ascii="宋体" w:hAnsi="宋体"/>
          <w:sz w:val="32"/>
          <w:szCs w:val="32"/>
          <w:highlight w:val="none"/>
        </w:rPr>
      </w:pPr>
      <w:r>
        <w:rPr>
          <w:rFonts w:hint="eastAsia" w:ascii="宋体" w:hAnsi="宋体"/>
          <w:sz w:val="32"/>
          <w:szCs w:val="32"/>
          <w:highlight w:val="none"/>
        </w:rPr>
        <w:t>特此声明。</w:t>
      </w:r>
    </w:p>
    <w:p w14:paraId="23DFDA4D">
      <w:pPr>
        <w:spacing w:before="156" w:beforeLines="50" w:after="156" w:afterLines="50" w:line="480" w:lineRule="auto"/>
        <w:rPr>
          <w:rFonts w:ascii="宋体" w:hAnsi="宋体"/>
          <w:sz w:val="32"/>
          <w:szCs w:val="32"/>
          <w:highlight w:val="none"/>
        </w:rPr>
      </w:pPr>
    </w:p>
    <w:p w14:paraId="140EA5B8">
      <w:pPr>
        <w:spacing w:before="156" w:beforeLines="50" w:after="156" w:afterLines="50" w:line="480" w:lineRule="auto"/>
        <w:rPr>
          <w:rFonts w:ascii="宋体" w:hAnsi="宋体"/>
          <w:sz w:val="32"/>
          <w:szCs w:val="32"/>
          <w:highlight w:val="none"/>
        </w:rPr>
      </w:pPr>
    </w:p>
    <w:p w14:paraId="45F385E4">
      <w:pPr>
        <w:spacing w:before="156" w:beforeLines="50" w:after="156" w:afterLines="50" w:line="480" w:lineRule="auto"/>
        <w:rPr>
          <w:rFonts w:ascii="宋体" w:hAnsi="宋体"/>
          <w:sz w:val="32"/>
          <w:szCs w:val="32"/>
          <w:highlight w:val="none"/>
        </w:rPr>
      </w:pPr>
      <w:r>
        <w:rPr>
          <w:rFonts w:hint="eastAsia" w:ascii="宋体" w:hAnsi="宋体"/>
          <w:sz w:val="32"/>
          <w:szCs w:val="32"/>
          <w:highlight w:val="none"/>
        </w:rPr>
        <w:t xml:space="preserve">                  投标单位：</w:t>
      </w:r>
    </w:p>
    <w:p w14:paraId="7F13E83E">
      <w:pPr>
        <w:spacing w:before="156" w:beforeLines="50" w:after="156" w:afterLines="50" w:line="480" w:lineRule="auto"/>
        <w:rPr>
          <w:rFonts w:ascii="宋体" w:hAnsi="宋体"/>
          <w:sz w:val="32"/>
          <w:szCs w:val="32"/>
          <w:highlight w:val="none"/>
        </w:rPr>
      </w:pPr>
      <w:r>
        <w:rPr>
          <w:rFonts w:hint="eastAsia" w:ascii="宋体" w:hAnsi="宋体"/>
          <w:sz w:val="32"/>
          <w:szCs w:val="32"/>
          <w:highlight w:val="none"/>
        </w:rPr>
        <w:t xml:space="preserve">                   时间：     年   月   日 </w:t>
      </w:r>
    </w:p>
    <w:p w14:paraId="3C5A0E4C">
      <w:pPr>
        <w:spacing w:before="156" w:beforeLines="50" w:after="156" w:afterLines="50" w:line="480" w:lineRule="auto"/>
        <w:rPr>
          <w:rFonts w:ascii="宋体" w:hAnsi="宋体"/>
          <w:sz w:val="32"/>
          <w:szCs w:val="32"/>
          <w:highlight w:val="none"/>
        </w:rPr>
      </w:pPr>
    </w:p>
    <w:p w14:paraId="1B55888B">
      <w:pPr>
        <w:spacing w:before="156" w:beforeLines="50" w:after="156" w:afterLines="50" w:line="480" w:lineRule="auto"/>
        <w:ind w:firstLine="640" w:firstLineChars="200"/>
        <w:rPr>
          <w:rFonts w:ascii="宋体" w:hAnsi="宋体"/>
          <w:sz w:val="32"/>
          <w:szCs w:val="32"/>
          <w:highlight w:val="none"/>
        </w:rPr>
      </w:pPr>
      <w:r>
        <w:rPr>
          <w:rFonts w:hint="eastAsia" w:ascii="宋体" w:hAnsi="宋体"/>
          <w:sz w:val="32"/>
          <w:szCs w:val="32"/>
          <w:highlight w:val="none"/>
        </w:rPr>
        <w:t>注：供应商在参加政府采购活动前三年内因违法经营被禁止在一定期限内参加政府采购活动，期限届满的，可以参加政府采购活动，但应在此处详细注明。</w:t>
      </w:r>
    </w:p>
    <w:p w14:paraId="069669C7">
      <w:pPr>
        <w:spacing w:before="156" w:beforeLines="50" w:after="156" w:afterLines="50" w:line="480" w:lineRule="auto"/>
        <w:rPr>
          <w:b/>
          <w:kern w:val="44"/>
          <w:sz w:val="32"/>
          <w:szCs w:val="32"/>
          <w:highlight w:val="none"/>
        </w:rPr>
      </w:pPr>
      <w:r>
        <w:rPr>
          <w:b/>
          <w:kern w:val="44"/>
          <w:sz w:val="32"/>
          <w:szCs w:val="32"/>
          <w:highlight w:val="none"/>
        </w:rPr>
        <w:br w:type="page"/>
      </w:r>
    </w:p>
    <w:p w14:paraId="3988EBAF">
      <w:pPr>
        <w:spacing w:before="156" w:beforeLines="50" w:after="156" w:afterLines="50" w:line="480" w:lineRule="auto"/>
        <w:jc w:val="center"/>
        <w:rPr>
          <w:b/>
          <w:sz w:val="36"/>
          <w:szCs w:val="36"/>
          <w:highlight w:val="none"/>
        </w:rPr>
      </w:pPr>
      <w:r>
        <w:rPr>
          <w:rFonts w:hint="eastAsia"/>
          <w:b/>
          <w:sz w:val="36"/>
          <w:szCs w:val="36"/>
          <w:highlight w:val="none"/>
        </w:rPr>
        <w:t>供应商具备履行合同所必需的设备和专业技术能力的承诺书</w:t>
      </w:r>
      <w:r>
        <w:rPr>
          <w:rFonts w:hint="eastAsia" w:ascii="宋体" w:hAnsi="宋体"/>
          <w:b/>
          <w:sz w:val="36"/>
          <w:szCs w:val="36"/>
          <w:highlight w:val="none"/>
        </w:rPr>
        <w:t>（</w:t>
      </w:r>
      <w:r>
        <w:rPr>
          <w:rFonts w:hint="eastAsia" w:ascii="宋体" w:hAnsi="宋体"/>
          <w:b/>
          <w:kern w:val="44"/>
          <w:sz w:val="32"/>
          <w:szCs w:val="32"/>
          <w:highlight w:val="none"/>
        </w:rPr>
        <w:t>参考格式</w:t>
      </w:r>
      <w:r>
        <w:rPr>
          <w:rFonts w:hint="eastAsia" w:ascii="宋体" w:hAnsi="宋体"/>
          <w:b/>
          <w:sz w:val="36"/>
          <w:szCs w:val="36"/>
          <w:highlight w:val="none"/>
        </w:rPr>
        <w:t>）</w:t>
      </w:r>
    </w:p>
    <w:p w14:paraId="38D5887E">
      <w:pPr>
        <w:spacing w:before="156" w:beforeLines="50" w:after="156" w:afterLines="50" w:line="480" w:lineRule="auto"/>
        <w:rPr>
          <w:rFonts w:ascii="宋体" w:hAnsi="宋体"/>
          <w:sz w:val="32"/>
          <w:szCs w:val="32"/>
          <w:highlight w:val="none"/>
        </w:rPr>
      </w:pPr>
      <w:r>
        <w:rPr>
          <w:rFonts w:hint="eastAsia" w:ascii="宋体" w:hAnsi="宋体"/>
          <w:sz w:val="32"/>
          <w:szCs w:val="32"/>
          <w:highlight w:val="none"/>
        </w:rPr>
        <w:t>我单位承诺：</w:t>
      </w:r>
    </w:p>
    <w:p w14:paraId="2EE00AA7">
      <w:pPr>
        <w:spacing w:before="156" w:beforeLines="50" w:after="156" w:afterLines="50" w:line="480" w:lineRule="auto"/>
        <w:ind w:firstLine="640" w:firstLineChars="200"/>
        <w:rPr>
          <w:rFonts w:ascii="宋体" w:hAnsi="宋体"/>
          <w:sz w:val="32"/>
          <w:szCs w:val="32"/>
          <w:highlight w:val="none"/>
        </w:rPr>
      </w:pPr>
      <w:r>
        <w:rPr>
          <w:rFonts w:hint="eastAsia" w:ascii="宋体" w:hAnsi="宋体"/>
          <w:sz w:val="32"/>
          <w:szCs w:val="32"/>
          <w:highlight w:val="none"/>
        </w:rPr>
        <w:t>我们已认真阅读本项目采购文件，对照项目要求，具备履行采购项目合同必须的设备和专业技术能力，并按照采购文件要求提供相关证明材料。如我方中标、成交，保证能够优质高效完成本项目，如因设备和专业能力不足而影响项目质量和进度，我方愿接受采购人的处罚并承担与之有关的责任和损失。</w:t>
      </w:r>
    </w:p>
    <w:p w14:paraId="0DBF6211">
      <w:pPr>
        <w:spacing w:before="156" w:beforeLines="50" w:after="156" w:afterLines="50" w:line="480" w:lineRule="auto"/>
        <w:ind w:firstLine="640" w:firstLineChars="200"/>
        <w:rPr>
          <w:rFonts w:ascii="宋体" w:hAnsi="宋体"/>
          <w:sz w:val="32"/>
          <w:szCs w:val="32"/>
          <w:highlight w:val="none"/>
        </w:rPr>
      </w:pPr>
      <w:r>
        <w:rPr>
          <w:rFonts w:hint="eastAsia" w:ascii="宋体" w:hAnsi="宋体"/>
          <w:sz w:val="32"/>
          <w:szCs w:val="32"/>
          <w:highlight w:val="none"/>
        </w:rPr>
        <w:t>特此承诺。</w:t>
      </w:r>
    </w:p>
    <w:p w14:paraId="6DEE4A70">
      <w:pPr>
        <w:pStyle w:val="30"/>
        <w:spacing w:line="300" w:lineRule="atLeast"/>
        <w:ind w:firstLine="642"/>
        <w:rPr>
          <w:rFonts w:cs="Times New Roman"/>
          <w:kern w:val="44"/>
          <w:sz w:val="32"/>
          <w:szCs w:val="32"/>
          <w:highlight w:val="none"/>
        </w:rPr>
      </w:pPr>
    </w:p>
    <w:p w14:paraId="69DB9BCD">
      <w:pPr>
        <w:pStyle w:val="30"/>
        <w:wordWrap w:val="0"/>
        <w:spacing w:line="300" w:lineRule="atLeast"/>
        <w:ind w:right="1365" w:rightChars="650" w:firstLine="642"/>
        <w:jc w:val="right"/>
        <w:rPr>
          <w:rFonts w:cs="Times New Roman"/>
          <w:kern w:val="44"/>
          <w:sz w:val="32"/>
          <w:szCs w:val="32"/>
          <w:highlight w:val="none"/>
          <w:u w:val="single"/>
        </w:rPr>
      </w:pPr>
      <w:r>
        <w:rPr>
          <w:rFonts w:hint="eastAsia" w:cs="Times New Roman"/>
          <w:kern w:val="44"/>
          <w:sz w:val="32"/>
          <w:szCs w:val="32"/>
          <w:highlight w:val="none"/>
        </w:rPr>
        <w:t>承诺供应商：</w:t>
      </w:r>
      <w:r>
        <w:rPr>
          <w:rFonts w:hint="eastAsia" w:cs="Times New Roman"/>
          <w:kern w:val="44"/>
          <w:sz w:val="32"/>
          <w:szCs w:val="32"/>
          <w:highlight w:val="none"/>
          <w:u w:val="single"/>
        </w:rPr>
        <w:t xml:space="preserve">            </w:t>
      </w:r>
    </w:p>
    <w:p w14:paraId="26DDD23C">
      <w:pPr>
        <w:pStyle w:val="30"/>
        <w:spacing w:line="300" w:lineRule="atLeast"/>
        <w:ind w:right="1365" w:rightChars="650" w:firstLine="642"/>
        <w:jc w:val="right"/>
        <w:rPr>
          <w:sz w:val="32"/>
          <w:szCs w:val="32"/>
          <w:highlight w:val="none"/>
        </w:rPr>
        <w:sectPr>
          <w:footerReference r:id="rId10" w:type="first"/>
          <w:footerReference r:id="rId9" w:type="default"/>
          <w:pgSz w:w="11906" w:h="16838"/>
          <w:pgMar w:top="1440" w:right="1800" w:bottom="1440" w:left="1800" w:header="851" w:footer="992" w:gutter="0"/>
          <w:pgNumType w:fmt="decimal" w:start="1"/>
          <w:cols w:space="720" w:num="1"/>
          <w:titlePg/>
          <w:docGrid w:type="lines" w:linePitch="312" w:charSpace="0"/>
        </w:sectPr>
      </w:pPr>
      <w:r>
        <w:rPr>
          <w:rFonts w:hint="eastAsia" w:cs="Times New Roman"/>
          <w:kern w:val="44"/>
          <w:sz w:val="32"/>
          <w:szCs w:val="32"/>
          <w:highlight w:val="none"/>
        </w:rPr>
        <w:t>年  月  日</w:t>
      </w:r>
    </w:p>
    <w:bookmarkEnd w:id="795"/>
    <w:bookmarkEnd w:id="796"/>
    <w:bookmarkEnd w:id="797"/>
    <w:bookmarkEnd w:id="798"/>
    <w:bookmarkEnd w:id="799"/>
    <w:bookmarkEnd w:id="800"/>
    <w:bookmarkEnd w:id="801"/>
    <w:bookmarkEnd w:id="802"/>
    <w:bookmarkEnd w:id="803"/>
    <w:bookmarkEnd w:id="804"/>
    <w:p w14:paraId="3084547A">
      <w:pPr>
        <w:jc w:val="center"/>
        <w:rPr>
          <w:rFonts w:ascii="宋体" w:hAnsi="宋体"/>
          <w:b/>
          <w:bCs/>
          <w:kern w:val="44"/>
          <w:sz w:val="44"/>
          <w:szCs w:val="44"/>
          <w:highlight w:val="none"/>
        </w:rPr>
      </w:pPr>
      <w:bookmarkStart w:id="807" w:name="_Toc288748128"/>
      <w:bookmarkStart w:id="808" w:name="_Toc289182439"/>
      <w:bookmarkStart w:id="809" w:name="_Toc289241359"/>
      <w:bookmarkStart w:id="810" w:name="_Toc289182817"/>
      <w:bookmarkStart w:id="811" w:name="_Toc289238788"/>
      <w:bookmarkStart w:id="812" w:name="_Toc289241536"/>
      <w:bookmarkStart w:id="813" w:name="_Toc338840262"/>
      <w:bookmarkStart w:id="814" w:name="_Toc289096743"/>
      <w:bookmarkStart w:id="815" w:name="_Toc338840510"/>
      <w:bookmarkStart w:id="816" w:name="_Toc338840471"/>
      <w:r>
        <w:rPr>
          <w:rFonts w:hint="eastAsia" w:ascii="宋体" w:hAnsi="宋体"/>
          <w:b/>
          <w:bCs/>
          <w:kern w:val="44"/>
          <w:sz w:val="44"/>
          <w:szCs w:val="44"/>
          <w:highlight w:val="none"/>
        </w:rPr>
        <w:t>四　投标内容及报价明细表</w:t>
      </w:r>
    </w:p>
    <w:p w14:paraId="06D2A42A">
      <w:pPr>
        <w:rPr>
          <w:rFonts w:ascii="宋体" w:hAnsi="宋体"/>
          <w:b/>
          <w:bCs/>
          <w:kern w:val="44"/>
          <w:sz w:val="44"/>
          <w:szCs w:val="44"/>
          <w:highlight w:val="none"/>
        </w:rPr>
      </w:pPr>
    </w:p>
    <w:tbl>
      <w:tblPr>
        <w:tblStyle w:val="34"/>
        <w:tblpPr w:leftFromText="180" w:rightFromText="180" w:vertAnchor="text" w:horzAnchor="margin" w:tblpY="3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
        <w:gridCol w:w="3909"/>
        <w:gridCol w:w="1281"/>
        <w:gridCol w:w="877"/>
        <w:gridCol w:w="981"/>
        <w:gridCol w:w="1057"/>
      </w:tblGrid>
      <w:tr w14:paraId="0A8EF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826" w:type="dxa"/>
            <w:vAlign w:val="center"/>
          </w:tcPr>
          <w:p w14:paraId="3B86116A">
            <w:pPr>
              <w:spacing w:line="400" w:lineRule="exact"/>
              <w:jc w:val="center"/>
              <w:rPr>
                <w:rFonts w:ascii="宋体" w:hAnsi="宋体"/>
                <w:highlight w:val="none"/>
              </w:rPr>
            </w:pPr>
            <w:r>
              <w:rPr>
                <w:rFonts w:hint="eastAsia" w:ascii="宋体" w:hAnsi="宋体"/>
                <w:highlight w:val="none"/>
              </w:rPr>
              <w:t>序号</w:t>
            </w:r>
          </w:p>
        </w:tc>
        <w:tc>
          <w:tcPr>
            <w:tcW w:w="3909" w:type="dxa"/>
            <w:vAlign w:val="center"/>
          </w:tcPr>
          <w:p w14:paraId="524B79AF">
            <w:pPr>
              <w:spacing w:line="400" w:lineRule="exact"/>
              <w:ind w:left="223" w:hanging="223"/>
              <w:jc w:val="center"/>
              <w:rPr>
                <w:rFonts w:ascii="宋体" w:hAnsi="宋体"/>
                <w:highlight w:val="none"/>
              </w:rPr>
            </w:pPr>
            <w:r>
              <w:rPr>
                <w:rFonts w:hint="eastAsia" w:ascii="宋体" w:hAnsi="宋体" w:cs="chs_boot"/>
                <w:highlight w:val="none"/>
                <w:lang w:val="en-US" w:eastAsia="zh-CN"/>
              </w:rPr>
              <w:t>分项名称及</w:t>
            </w:r>
            <w:r>
              <w:rPr>
                <w:rFonts w:hint="eastAsia" w:ascii="宋体" w:hAnsi="宋体" w:cs="chs_boot"/>
                <w:highlight w:val="none"/>
              </w:rPr>
              <w:t>内容</w:t>
            </w:r>
          </w:p>
        </w:tc>
        <w:tc>
          <w:tcPr>
            <w:tcW w:w="1281" w:type="dxa"/>
            <w:vAlign w:val="center"/>
          </w:tcPr>
          <w:p w14:paraId="526A4ED9">
            <w:pPr>
              <w:spacing w:line="400" w:lineRule="exact"/>
              <w:ind w:left="223" w:hanging="223"/>
              <w:jc w:val="center"/>
              <w:rPr>
                <w:rFonts w:hint="default" w:ascii="宋体" w:hAnsi="宋体" w:eastAsia="宋体" w:cs="chs_boot"/>
                <w:highlight w:val="none"/>
                <w:lang w:val="en-US" w:eastAsia="zh-CN"/>
              </w:rPr>
            </w:pPr>
            <w:r>
              <w:rPr>
                <w:rFonts w:hint="eastAsia" w:ascii="宋体" w:hAnsi="宋体" w:cs="chs_boot"/>
                <w:highlight w:val="none"/>
                <w:lang w:val="en-US" w:eastAsia="zh-CN"/>
              </w:rPr>
              <w:t>数量及单位</w:t>
            </w:r>
          </w:p>
        </w:tc>
        <w:tc>
          <w:tcPr>
            <w:tcW w:w="877" w:type="dxa"/>
            <w:vAlign w:val="center"/>
          </w:tcPr>
          <w:p w14:paraId="347E2EFB">
            <w:pPr>
              <w:spacing w:line="400" w:lineRule="exact"/>
              <w:ind w:left="223" w:hanging="223"/>
              <w:jc w:val="center"/>
              <w:rPr>
                <w:rFonts w:ascii="宋体" w:hAnsi="宋体" w:cs="chs_boot"/>
                <w:highlight w:val="none"/>
              </w:rPr>
            </w:pPr>
            <w:r>
              <w:rPr>
                <w:rFonts w:hint="eastAsia" w:ascii="宋体" w:hAnsi="宋体" w:cs="chs_boot"/>
                <w:highlight w:val="none"/>
              </w:rPr>
              <w:t>单价</w:t>
            </w:r>
          </w:p>
        </w:tc>
        <w:tc>
          <w:tcPr>
            <w:tcW w:w="981" w:type="dxa"/>
            <w:vAlign w:val="center"/>
          </w:tcPr>
          <w:p w14:paraId="5B1246F5">
            <w:pPr>
              <w:spacing w:line="400" w:lineRule="exact"/>
              <w:jc w:val="center"/>
              <w:rPr>
                <w:rFonts w:ascii="宋体" w:hAnsi="宋体"/>
                <w:highlight w:val="none"/>
              </w:rPr>
            </w:pPr>
            <w:r>
              <w:rPr>
                <w:rFonts w:hint="eastAsia" w:ascii="宋体" w:hAnsi="宋体"/>
                <w:highlight w:val="none"/>
              </w:rPr>
              <w:t>价格合计</w:t>
            </w:r>
          </w:p>
        </w:tc>
        <w:tc>
          <w:tcPr>
            <w:tcW w:w="1057" w:type="dxa"/>
            <w:vAlign w:val="center"/>
          </w:tcPr>
          <w:p w14:paraId="0DCC41A7">
            <w:pPr>
              <w:spacing w:line="400" w:lineRule="exact"/>
              <w:jc w:val="center"/>
              <w:rPr>
                <w:rFonts w:ascii="宋体" w:hAnsi="宋体"/>
                <w:highlight w:val="none"/>
              </w:rPr>
            </w:pPr>
            <w:r>
              <w:rPr>
                <w:rFonts w:hint="eastAsia" w:ascii="宋体" w:hAnsi="宋体"/>
                <w:highlight w:val="none"/>
              </w:rPr>
              <w:t>备注</w:t>
            </w:r>
          </w:p>
        </w:tc>
      </w:tr>
      <w:tr w14:paraId="3DD2B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826" w:type="dxa"/>
          </w:tcPr>
          <w:p w14:paraId="16A7942D">
            <w:pPr>
              <w:spacing w:line="400" w:lineRule="exact"/>
              <w:jc w:val="center"/>
              <w:rPr>
                <w:rFonts w:ascii="宋体" w:hAnsi="宋体"/>
                <w:sz w:val="28"/>
                <w:highlight w:val="none"/>
              </w:rPr>
            </w:pPr>
            <w:r>
              <w:rPr>
                <w:rFonts w:hint="eastAsia" w:ascii="宋体" w:hAnsi="宋体"/>
                <w:sz w:val="28"/>
                <w:highlight w:val="none"/>
              </w:rPr>
              <w:t>1</w:t>
            </w:r>
          </w:p>
        </w:tc>
        <w:tc>
          <w:tcPr>
            <w:tcW w:w="3909" w:type="dxa"/>
          </w:tcPr>
          <w:p w14:paraId="14907E80">
            <w:pPr>
              <w:spacing w:line="400" w:lineRule="exact"/>
              <w:jc w:val="center"/>
              <w:rPr>
                <w:rFonts w:ascii="宋体" w:hAnsi="宋体"/>
                <w:sz w:val="28"/>
                <w:highlight w:val="none"/>
              </w:rPr>
            </w:pPr>
          </w:p>
        </w:tc>
        <w:tc>
          <w:tcPr>
            <w:tcW w:w="1281" w:type="dxa"/>
          </w:tcPr>
          <w:p w14:paraId="6D0C8CB6">
            <w:pPr>
              <w:spacing w:line="400" w:lineRule="exact"/>
              <w:jc w:val="center"/>
              <w:rPr>
                <w:rFonts w:ascii="宋体" w:hAnsi="宋体"/>
                <w:sz w:val="28"/>
                <w:highlight w:val="none"/>
              </w:rPr>
            </w:pPr>
          </w:p>
        </w:tc>
        <w:tc>
          <w:tcPr>
            <w:tcW w:w="877" w:type="dxa"/>
          </w:tcPr>
          <w:p w14:paraId="78496494">
            <w:pPr>
              <w:spacing w:line="400" w:lineRule="exact"/>
              <w:jc w:val="center"/>
              <w:rPr>
                <w:rFonts w:ascii="宋体" w:hAnsi="宋体"/>
                <w:sz w:val="28"/>
                <w:highlight w:val="none"/>
              </w:rPr>
            </w:pPr>
          </w:p>
        </w:tc>
        <w:tc>
          <w:tcPr>
            <w:tcW w:w="981" w:type="dxa"/>
          </w:tcPr>
          <w:p w14:paraId="4CCEAB01">
            <w:pPr>
              <w:spacing w:line="400" w:lineRule="exact"/>
              <w:jc w:val="center"/>
              <w:rPr>
                <w:rFonts w:ascii="宋体" w:hAnsi="宋体"/>
                <w:sz w:val="28"/>
                <w:highlight w:val="none"/>
              </w:rPr>
            </w:pPr>
          </w:p>
        </w:tc>
        <w:tc>
          <w:tcPr>
            <w:tcW w:w="1057" w:type="dxa"/>
          </w:tcPr>
          <w:p w14:paraId="344262F7">
            <w:pPr>
              <w:spacing w:line="400" w:lineRule="exact"/>
              <w:jc w:val="center"/>
              <w:rPr>
                <w:rFonts w:ascii="宋体" w:hAnsi="宋体"/>
                <w:sz w:val="28"/>
                <w:highlight w:val="none"/>
              </w:rPr>
            </w:pPr>
          </w:p>
        </w:tc>
      </w:tr>
      <w:tr w14:paraId="554B0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826" w:type="dxa"/>
          </w:tcPr>
          <w:p w14:paraId="6C0AAC14">
            <w:pPr>
              <w:spacing w:line="400" w:lineRule="exact"/>
              <w:jc w:val="center"/>
              <w:rPr>
                <w:rFonts w:ascii="宋体" w:hAnsi="宋体"/>
                <w:sz w:val="28"/>
                <w:highlight w:val="none"/>
              </w:rPr>
            </w:pPr>
            <w:r>
              <w:rPr>
                <w:rFonts w:hint="eastAsia" w:ascii="宋体" w:hAnsi="宋体"/>
                <w:sz w:val="28"/>
                <w:highlight w:val="none"/>
              </w:rPr>
              <w:t>2</w:t>
            </w:r>
          </w:p>
        </w:tc>
        <w:tc>
          <w:tcPr>
            <w:tcW w:w="3909" w:type="dxa"/>
          </w:tcPr>
          <w:p w14:paraId="1ACF8A3C">
            <w:pPr>
              <w:spacing w:line="400" w:lineRule="exact"/>
              <w:jc w:val="center"/>
              <w:rPr>
                <w:rFonts w:ascii="宋体" w:hAnsi="宋体"/>
                <w:sz w:val="28"/>
                <w:highlight w:val="none"/>
              </w:rPr>
            </w:pPr>
          </w:p>
        </w:tc>
        <w:tc>
          <w:tcPr>
            <w:tcW w:w="1281" w:type="dxa"/>
          </w:tcPr>
          <w:p w14:paraId="20F6B1B1">
            <w:pPr>
              <w:spacing w:line="400" w:lineRule="exact"/>
              <w:jc w:val="center"/>
              <w:rPr>
                <w:rFonts w:ascii="宋体" w:hAnsi="宋体"/>
                <w:sz w:val="28"/>
                <w:highlight w:val="none"/>
              </w:rPr>
            </w:pPr>
          </w:p>
        </w:tc>
        <w:tc>
          <w:tcPr>
            <w:tcW w:w="877" w:type="dxa"/>
          </w:tcPr>
          <w:p w14:paraId="7DD20E33">
            <w:pPr>
              <w:spacing w:line="400" w:lineRule="exact"/>
              <w:jc w:val="center"/>
              <w:rPr>
                <w:rFonts w:ascii="宋体" w:hAnsi="宋体"/>
                <w:sz w:val="28"/>
                <w:highlight w:val="none"/>
              </w:rPr>
            </w:pPr>
          </w:p>
        </w:tc>
        <w:tc>
          <w:tcPr>
            <w:tcW w:w="981" w:type="dxa"/>
          </w:tcPr>
          <w:p w14:paraId="440101E5">
            <w:pPr>
              <w:spacing w:line="400" w:lineRule="exact"/>
              <w:jc w:val="center"/>
              <w:rPr>
                <w:rFonts w:ascii="宋体" w:hAnsi="宋体"/>
                <w:sz w:val="28"/>
                <w:highlight w:val="none"/>
              </w:rPr>
            </w:pPr>
          </w:p>
        </w:tc>
        <w:tc>
          <w:tcPr>
            <w:tcW w:w="1057" w:type="dxa"/>
          </w:tcPr>
          <w:p w14:paraId="275B5E6B">
            <w:pPr>
              <w:spacing w:line="400" w:lineRule="exact"/>
              <w:jc w:val="center"/>
              <w:rPr>
                <w:rFonts w:ascii="宋体" w:hAnsi="宋体"/>
                <w:sz w:val="28"/>
                <w:highlight w:val="none"/>
              </w:rPr>
            </w:pPr>
          </w:p>
        </w:tc>
      </w:tr>
      <w:tr w14:paraId="57DB2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826" w:type="dxa"/>
          </w:tcPr>
          <w:p w14:paraId="172F9C02">
            <w:pPr>
              <w:spacing w:line="400" w:lineRule="exact"/>
              <w:jc w:val="center"/>
              <w:rPr>
                <w:rFonts w:ascii="宋体" w:hAnsi="宋体"/>
                <w:sz w:val="28"/>
                <w:highlight w:val="none"/>
              </w:rPr>
            </w:pPr>
            <w:r>
              <w:rPr>
                <w:rFonts w:ascii="宋体" w:hAnsi="宋体"/>
                <w:sz w:val="28"/>
                <w:highlight w:val="none"/>
              </w:rPr>
              <w:t>…</w:t>
            </w:r>
          </w:p>
        </w:tc>
        <w:tc>
          <w:tcPr>
            <w:tcW w:w="3909" w:type="dxa"/>
          </w:tcPr>
          <w:p w14:paraId="7ACA6C11">
            <w:pPr>
              <w:spacing w:line="400" w:lineRule="exact"/>
              <w:jc w:val="center"/>
              <w:rPr>
                <w:rFonts w:ascii="宋体" w:hAnsi="宋体"/>
                <w:sz w:val="28"/>
                <w:highlight w:val="none"/>
              </w:rPr>
            </w:pPr>
          </w:p>
        </w:tc>
        <w:tc>
          <w:tcPr>
            <w:tcW w:w="1281" w:type="dxa"/>
          </w:tcPr>
          <w:p w14:paraId="18EC8C36">
            <w:pPr>
              <w:spacing w:line="400" w:lineRule="exact"/>
              <w:jc w:val="center"/>
              <w:rPr>
                <w:rFonts w:ascii="宋体" w:hAnsi="宋体"/>
                <w:sz w:val="28"/>
                <w:highlight w:val="none"/>
              </w:rPr>
            </w:pPr>
          </w:p>
        </w:tc>
        <w:tc>
          <w:tcPr>
            <w:tcW w:w="877" w:type="dxa"/>
          </w:tcPr>
          <w:p w14:paraId="7B3B9557">
            <w:pPr>
              <w:spacing w:line="400" w:lineRule="exact"/>
              <w:jc w:val="center"/>
              <w:rPr>
                <w:rFonts w:ascii="宋体" w:hAnsi="宋体"/>
                <w:sz w:val="28"/>
                <w:highlight w:val="none"/>
              </w:rPr>
            </w:pPr>
          </w:p>
        </w:tc>
        <w:tc>
          <w:tcPr>
            <w:tcW w:w="981" w:type="dxa"/>
          </w:tcPr>
          <w:p w14:paraId="7D90690E">
            <w:pPr>
              <w:spacing w:line="400" w:lineRule="exact"/>
              <w:jc w:val="center"/>
              <w:rPr>
                <w:rFonts w:ascii="宋体" w:hAnsi="宋体"/>
                <w:sz w:val="28"/>
                <w:highlight w:val="none"/>
              </w:rPr>
            </w:pPr>
          </w:p>
        </w:tc>
        <w:tc>
          <w:tcPr>
            <w:tcW w:w="1057" w:type="dxa"/>
          </w:tcPr>
          <w:p w14:paraId="142880BC">
            <w:pPr>
              <w:spacing w:line="400" w:lineRule="exact"/>
              <w:jc w:val="center"/>
              <w:rPr>
                <w:rFonts w:ascii="宋体" w:hAnsi="宋体"/>
                <w:sz w:val="28"/>
                <w:highlight w:val="none"/>
              </w:rPr>
            </w:pPr>
          </w:p>
        </w:tc>
      </w:tr>
      <w:tr w14:paraId="5FD73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6893" w:type="dxa"/>
            <w:gridSpan w:val="4"/>
          </w:tcPr>
          <w:p w14:paraId="730A1600">
            <w:pPr>
              <w:spacing w:line="400" w:lineRule="exact"/>
              <w:jc w:val="center"/>
              <w:rPr>
                <w:rFonts w:ascii="宋体" w:hAnsi="宋体"/>
                <w:sz w:val="28"/>
                <w:highlight w:val="none"/>
              </w:rPr>
            </w:pPr>
            <w:r>
              <w:rPr>
                <w:rFonts w:hint="eastAsia" w:ascii="宋体" w:hAnsi="宋体"/>
                <w:b/>
                <w:bCs/>
                <w:sz w:val="24"/>
                <w:szCs w:val="22"/>
                <w:highlight w:val="none"/>
              </w:rPr>
              <w:t>价格总合计</w:t>
            </w:r>
            <w:r>
              <w:rPr>
                <w:rFonts w:hint="eastAsia" w:ascii="宋体" w:hAnsi="宋体"/>
                <w:sz w:val="24"/>
                <w:szCs w:val="22"/>
                <w:highlight w:val="none"/>
              </w:rPr>
              <w:t>（应与投标函中的“投标报价”相同）</w:t>
            </w:r>
          </w:p>
        </w:tc>
        <w:tc>
          <w:tcPr>
            <w:tcW w:w="2038" w:type="dxa"/>
            <w:gridSpan w:val="2"/>
          </w:tcPr>
          <w:p w14:paraId="746300CE">
            <w:pPr>
              <w:spacing w:line="400" w:lineRule="exact"/>
              <w:jc w:val="center"/>
              <w:rPr>
                <w:rFonts w:ascii="宋体" w:hAnsi="宋体"/>
                <w:b/>
                <w:bCs/>
                <w:sz w:val="24"/>
                <w:szCs w:val="22"/>
                <w:highlight w:val="none"/>
              </w:rPr>
            </w:pPr>
            <w:r>
              <w:rPr>
                <w:rFonts w:hint="eastAsia" w:ascii="宋体" w:hAnsi="宋体"/>
                <w:kern w:val="0"/>
                <w:sz w:val="28"/>
                <w:szCs w:val="28"/>
                <w:highlight w:val="none"/>
              </w:rPr>
              <w:t>¥</w:t>
            </w:r>
            <w:r>
              <w:rPr>
                <w:rFonts w:hint="eastAsia" w:ascii="宋体" w:hAnsi="宋体"/>
                <w:sz w:val="24"/>
                <w:szCs w:val="22"/>
                <w:highlight w:val="none"/>
              </w:rPr>
              <w:t>：</w:t>
            </w:r>
            <w:r>
              <w:rPr>
                <w:rFonts w:hint="eastAsia" w:ascii="宋体" w:hAnsi="宋体"/>
                <w:sz w:val="24"/>
                <w:szCs w:val="22"/>
                <w:highlight w:val="none"/>
                <w:u w:val="single"/>
              </w:rPr>
              <w:t xml:space="preserve"> 　　　    </w:t>
            </w:r>
            <w:r>
              <w:rPr>
                <w:rFonts w:hint="eastAsia" w:ascii="宋体" w:hAnsi="宋体"/>
                <w:sz w:val="24"/>
                <w:szCs w:val="22"/>
                <w:highlight w:val="none"/>
              </w:rPr>
              <w:t>元</w:t>
            </w:r>
          </w:p>
        </w:tc>
      </w:tr>
    </w:tbl>
    <w:p w14:paraId="1310C8ED">
      <w:pPr>
        <w:spacing w:line="340" w:lineRule="exact"/>
        <w:ind w:left="-315" w:leftChars="-150" w:right="-525" w:rightChars="-250"/>
        <w:rPr>
          <w:rFonts w:ascii="宋体" w:hAnsi="宋体"/>
          <w:b/>
          <w:szCs w:val="21"/>
          <w:highlight w:val="none"/>
        </w:rPr>
      </w:pPr>
    </w:p>
    <w:p w14:paraId="1F8848A5">
      <w:pPr>
        <w:spacing w:line="340" w:lineRule="exact"/>
        <w:ind w:left="-315" w:leftChars="-150" w:right="-525" w:rightChars="-250"/>
        <w:rPr>
          <w:rFonts w:ascii="宋体" w:hAnsi="宋体"/>
          <w:b/>
          <w:szCs w:val="21"/>
          <w:highlight w:val="none"/>
        </w:rPr>
      </w:pPr>
    </w:p>
    <w:p w14:paraId="3D24B2EC">
      <w:pPr>
        <w:spacing w:line="340" w:lineRule="exact"/>
        <w:ind w:left="-315" w:leftChars="-150" w:right="-525" w:rightChars="-250"/>
        <w:rPr>
          <w:rFonts w:ascii="宋体" w:hAnsi="宋体"/>
          <w:b/>
          <w:szCs w:val="21"/>
          <w:highlight w:val="none"/>
        </w:rPr>
      </w:pPr>
      <w:r>
        <w:rPr>
          <w:rFonts w:hint="eastAsia" w:ascii="宋体" w:hAnsi="宋体"/>
          <w:b/>
          <w:szCs w:val="21"/>
          <w:highlight w:val="none"/>
        </w:rPr>
        <w:t>注：“分项名称及内容”</w:t>
      </w:r>
      <w:r>
        <w:rPr>
          <w:rFonts w:hint="eastAsia" w:ascii="宋体" w:hAnsi="宋体"/>
          <w:b/>
          <w:szCs w:val="21"/>
          <w:highlight w:val="none"/>
          <w:lang w:val="en-US" w:eastAsia="zh-CN"/>
        </w:rPr>
        <w:t>按照“第五章 三、招标内容及技术要求 （一）项目清单”内容</w:t>
      </w:r>
      <w:r>
        <w:rPr>
          <w:rFonts w:hint="eastAsia" w:ascii="宋体" w:hAnsi="宋体"/>
          <w:b/>
          <w:szCs w:val="21"/>
          <w:highlight w:val="none"/>
        </w:rPr>
        <w:t>填写。</w:t>
      </w:r>
    </w:p>
    <w:p w14:paraId="7F500076">
      <w:pPr>
        <w:jc w:val="both"/>
        <w:rPr>
          <w:rFonts w:hint="eastAsia" w:ascii="宋体" w:hAnsi="宋体" w:cs="仿宋_GB2312"/>
          <w:b w:val="0"/>
          <w:bCs w:val="0"/>
          <w:sz w:val="28"/>
          <w:szCs w:val="28"/>
          <w:highlight w:val="none"/>
          <w:lang w:val="en-US" w:eastAsia="zh-CN"/>
        </w:rPr>
      </w:pPr>
      <w:r>
        <w:rPr>
          <w:rFonts w:hint="eastAsia" w:ascii="宋体" w:hAnsi="宋体"/>
          <w:b/>
          <w:bCs/>
          <w:kern w:val="44"/>
          <w:sz w:val="32"/>
          <w:szCs w:val="32"/>
          <w:highlight w:val="none"/>
        </w:rPr>
        <w:br w:type="page"/>
      </w:r>
      <w:bookmarkEnd w:id="807"/>
      <w:bookmarkEnd w:id="808"/>
      <w:bookmarkEnd w:id="809"/>
      <w:bookmarkEnd w:id="810"/>
      <w:bookmarkEnd w:id="811"/>
      <w:bookmarkEnd w:id="812"/>
      <w:bookmarkEnd w:id="813"/>
      <w:bookmarkEnd w:id="814"/>
      <w:bookmarkEnd w:id="815"/>
      <w:bookmarkEnd w:id="816"/>
      <w:r>
        <w:rPr>
          <w:rFonts w:hint="eastAsia" w:ascii="宋体" w:hAnsi="宋体" w:cs="仿宋_GB2312"/>
          <w:b w:val="0"/>
          <w:bCs w:val="0"/>
          <w:sz w:val="28"/>
          <w:szCs w:val="28"/>
          <w:highlight w:val="none"/>
          <w:lang w:val="en-US" w:eastAsia="zh-CN"/>
        </w:rPr>
        <w:t>技术及商务偏差表（实质性要求）</w:t>
      </w:r>
    </w:p>
    <w:p w14:paraId="5CBDC2FE">
      <w:pPr>
        <w:jc w:val="center"/>
        <w:rPr>
          <w:rFonts w:ascii="宋体" w:hAnsi="宋体"/>
          <w:bCs/>
          <w:kern w:val="44"/>
          <w:sz w:val="44"/>
          <w:szCs w:val="44"/>
          <w:highlight w:val="none"/>
        </w:rPr>
      </w:pPr>
      <w:r>
        <w:rPr>
          <w:rFonts w:hint="eastAsia" w:ascii="宋体" w:hAnsi="宋体"/>
          <w:b/>
          <w:bCs/>
          <w:kern w:val="44"/>
          <w:sz w:val="44"/>
          <w:szCs w:val="44"/>
          <w:highlight w:val="none"/>
        </w:rPr>
        <w:t>五　技术及商务偏差表</w:t>
      </w:r>
    </w:p>
    <w:p w14:paraId="730331E1">
      <w:pPr>
        <w:rPr>
          <w:rFonts w:ascii="宋体" w:hAnsi="宋体"/>
          <w:sz w:val="28"/>
          <w:highlight w:val="none"/>
          <w:u w:val="single"/>
        </w:rPr>
      </w:pPr>
      <w:r>
        <w:rPr>
          <w:rFonts w:hint="eastAsia" w:ascii="宋体" w:hAnsi="宋体"/>
          <w:sz w:val="32"/>
          <w:szCs w:val="32"/>
          <w:highlight w:val="none"/>
        </w:rPr>
        <w:t xml:space="preserve"> </w:t>
      </w:r>
      <w:r>
        <w:rPr>
          <w:rFonts w:hint="eastAsia" w:ascii="宋体" w:hAnsi="宋体"/>
          <w:sz w:val="28"/>
          <w:highlight w:val="none"/>
        </w:rPr>
        <w:t xml:space="preserve">           </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9"/>
        <w:gridCol w:w="1594"/>
        <w:gridCol w:w="2195"/>
        <w:gridCol w:w="2520"/>
        <w:gridCol w:w="1980"/>
      </w:tblGrid>
      <w:tr w14:paraId="66F8F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7" w:hRule="exact"/>
          <w:jc w:val="center"/>
        </w:trPr>
        <w:tc>
          <w:tcPr>
            <w:tcW w:w="8928" w:type="dxa"/>
            <w:gridSpan w:val="5"/>
            <w:vAlign w:val="center"/>
          </w:tcPr>
          <w:p w14:paraId="430C022A">
            <w:pPr>
              <w:pStyle w:val="58"/>
              <w:keepNext w:val="0"/>
              <w:keepLines w:val="0"/>
              <w:pageBreakBefore w:val="0"/>
              <w:widowControl w:val="0"/>
              <w:kinsoku/>
              <w:wordWrap/>
              <w:overflowPunct/>
              <w:topLinePunct w:val="0"/>
              <w:autoSpaceDE/>
              <w:autoSpaceDN/>
              <w:bidi w:val="0"/>
              <w:adjustRightInd/>
              <w:snapToGrid w:val="0"/>
              <w:spacing w:line="240" w:lineRule="auto"/>
              <w:textAlignment w:val="auto"/>
              <w:outlineLvl w:val="9"/>
              <w:rPr>
                <w:rFonts w:hint="eastAsia" w:hAnsi="宋体" w:cs="宋体"/>
                <w:bCs/>
                <w:color w:val="auto"/>
                <w:sz w:val="24"/>
                <w:szCs w:val="24"/>
                <w:highlight w:val="none"/>
              </w:rPr>
            </w:pPr>
            <w:r>
              <w:rPr>
                <w:rFonts w:hint="eastAsia" w:hAnsi="宋体" w:cs="宋体"/>
                <w:bCs/>
                <w:color w:val="auto"/>
                <w:sz w:val="24"/>
                <w:szCs w:val="24"/>
                <w:highlight w:val="none"/>
                <w:lang w:val="en-US" w:eastAsia="zh-CN"/>
              </w:rPr>
              <w:t>投标内容</w:t>
            </w:r>
            <w:r>
              <w:rPr>
                <w:rFonts w:hint="eastAsia" w:hAnsi="宋体" w:cs="宋体"/>
                <w:bCs/>
                <w:color w:val="auto"/>
                <w:sz w:val="24"/>
                <w:szCs w:val="24"/>
                <w:highlight w:val="none"/>
              </w:rPr>
              <w:t>对本项</w:t>
            </w:r>
            <w:r>
              <w:rPr>
                <w:rFonts w:hint="eastAsia" w:ascii="宋体" w:hAnsi="宋体" w:eastAsia="宋体" w:cs="宋体"/>
                <w:bCs/>
                <w:color w:val="auto"/>
                <w:sz w:val="24"/>
                <w:szCs w:val="24"/>
                <w:highlight w:val="none"/>
              </w:rPr>
              <w:t>目技术及商务</w:t>
            </w:r>
            <w:r>
              <w:rPr>
                <w:rFonts w:hint="eastAsia" w:ascii="宋体" w:hAnsi="宋体" w:eastAsia="宋体" w:cs="宋体"/>
                <w:bCs/>
                <w:color w:val="auto"/>
                <w:sz w:val="24"/>
                <w:szCs w:val="24"/>
                <w:highlight w:val="none"/>
                <w:lang w:val="en-US" w:eastAsia="zh-CN"/>
              </w:rPr>
              <w:t>要求的</w:t>
            </w:r>
            <w:r>
              <w:rPr>
                <w:rFonts w:hint="eastAsia" w:ascii="宋体" w:hAnsi="宋体" w:eastAsia="宋体" w:cs="宋体"/>
                <w:bCs/>
                <w:color w:val="auto"/>
                <w:sz w:val="24"/>
                <w:szCs w:val="24"/>
                <w:highlight w:val="none"/>
              </w:rPr>
              <w:t>偏差情况</w:t>
            </w:r>
            <w:r>
              <w:rPr>
                <w:rFonts w:hint="eastAsia" w:hAnsi="宋体" w:cs="宋体"/>
                <w:bCs/>
                <w:color w:val="auto"/>
                <w:sz w:val="24"/>
                <w:szCs w:val="24"/>
                <w:highlight w:val="none"/>
              </w:rPr>
              <w:t>（请进行勾选）：</w:t>
            </w:r>
          </w:p>
          <w:p w14:paraId="146A2875">
            <w:pPr>
              <w:pStyle w:val="58"/>
              <w:keepNext w:val="0"/>
              <w:keepLines w:val="0"/>
              <w:pageBreakBefore w:val="0"/>
              <w:widowControl w:val="0"/>
              <w:kinsoku/>
              <w:wordWrap/>
              <w:overflowPunct/>
              <w:topLinePunct w:val="0"/>
              <w:autoSpaceDE/>
              <w:autoSpaceDN/>
              <w:bidi w:val="0"/>
              <w:adjustRightInd/>
              <w:snapToGrid w:val="0"/>
              <w:spacing w:line="240" w:lineRule="auto"/>
              <w:textAlignment w:val="auto"/>
              <w:outlineLvl w:val="9"/>
              <w:rPr>
                <w:rFonts w:hint="eastAsia" w:hAnsi="宋体" w:cs="宋体"/>
                <w:bCs/>
                <w:color w:val="auto"/>
                <w:sz w:val="24"/>
                <w:szCs w:val="24"/>
                <w:highlight w:val="none"/>
              </w:rPr>
            </w:pPr>
            <w:r>
              <w:rPr>
                <w:rFonts w:hint="eastAsia" w:hAnsi="宋体" w:cs="宋体"/>
                <w:bCs/>
                <w:color w:val="auto"/>
                <w:sz w:val="24"/>
                <w:szCs w:val="24"/>
                <w:highlight w:val="none"/>
              </w:rPr>
              <w:t>□无偏</w:t>
            </w:r>
            <w:r>
              <w:rPr>
                <w:rFonts w:hint="eastAsia" w:hAnsi="宋体" w:cs="宋体"/>
                <w:bCs/>
                <w:color w:val="auto"/>
                <w:sz w:val="24"/>
                <w:szCs w:val="24"/>
                <w:highlight w:val="none"/>
                <w:lang w:val="en-US" w:eastAsia="zh-CN"/>
              </w:rPr>
              <w:t>差</w:t>
            </w:r>
            <w:r>
              <w:rPr>
                <w:rFonts w:hint="eastAsia" w:hAnsi="宋体" w:cs="宋体"/>
                <w:bCs/>
                <w:color w:val="auto"/>
                <w:sz w:val="24"/>
                <w:szCs w:val="24"/>
                <w:highlight w:val="none"/>
              </w:rPr>
              <w:t>（如无</w:t>
            </w:r>
            <w:r>
              <w:rPr>
                <w:rFonts w:hint="eastAsia" w:hAnsi="宋体" w:cs="宋体"/>
                <w:bCs/>
                <w:color w:val="auto"/>
                <w:sz w:val="24"/>
                <w:szCs w:val="24"/>
                <w:highlight w:val="none"/>
                <w:lang w:val="en-US" w:eastAsia="zh-CN"/>
              </w:rPr>
              <w:t>偏差</w:t>
            </w:r>
            <w:r>
              <w:rPr>
                <w:rFonts w:hint="eastAsia" w:hAnsi="宋体" w:cs="宋体"/>
                <w:bCs/>
                <w:color w:val="auto"/>
                <w:sz w:val="24"/>
                <w:szCs w:val="24"/>
                <w:highlight w:val="none"/>
              </w:rPr>
              <w:t>，仅勾选无</w:t>
            </w:r>
            <w:r>
              <w:rPr>
                <w:rFonts w:hint="eastAsia" w:hAnsi="宋体" w:cs="宋体"/>
                <w:bCs/>
                <w:color w:val="auto"/>
                <w:sz w:val="24"/>
                <w:szCs w:val="24"/>
                <w:highlight w:val="none"/>
                <w:lang w:val="en-US" w:eastAsia="zh-CN"/>
              </w:rPr>
              <w:t>偏差</w:t>
            </w:r>
            <w:r>
              <w:rPr>
                <w:rFonts w:hint="eastAsia" w:hAnsi="宋体" w:cs="宋体"/>
                <w:bCs/>
                <w:color w:val="auto"/>
                <w:sz w:val="24"/>
                <w:szCs w:val="24"/>
                <w:highlight w:val="none"/>
              </w:rPr>
              <w:t>即可）</w:t>
            </w:r>
          </w:p>
          <w:p w14:paraId="171ACEB0">
            <w:pPr>
              <w:keepNext w:val="0"/>
              <w:keepLines w:val="0"/>
              <w:pageBreakBefore w:val="0"/>
              <w:widowControl w:val="0"/>
              <w:kinsoku/>
              <w:wordWrap/>
              <w:overflowPunct/>
              <w:topLinePunct w:val="0"/>
              <w:autoSpaceDE/>
              <w:autoSpaceDN/>
              <w:bidi w:val="0"/>
              <w:adjustRightInd/>
              <w:spacing w:line="240" w:lineRule="auto"/>
              <w:jc w:val="left"/>
              <w:textAlignment w:val="auto"/>
              <w:rPr>
                <w:rFonts w:ascii="宋体" w:hAnsi="宋体"/>
                <w:sz w:val="24"/>
                <w:highlight w:val="none"/>
              </w:rPr>
            </w:pPr>
            <w:r>
              <w:rPr>
                <w:rFonts w:hint="eastAsia" w:hAnsi="宋体" w:cs="宋体"/>
                <w:bCs/>
                <w:color w:val="auto"/>
                <w:sz w:val="24"/>
                <w:szCs w:val="24"/>
                <w:highlight w:val="none"/>
              </w:rPr>
              <w:t>□有偏</w:t>
            </w:r>
            <w:r>
              <w:rPr>
                <w:rFonts w:hint="eastAsia" w:hAnsi="宋体" w:cs="宋体"/>
                <w:bCs/>
                <w:color w:val="auto"/>
                <w:sz w:val="24"/>
                <w:szCs w:val="24"/>
                <w:highlight w:val="none"/>
                <w:lang w:val="en-US" w:eastAsia="zh-CN"/>
              </w:rPr>
              <w:t>差</w:t>
            </w:r>
            <w:r>
              <w:rPr>
                <w:rFonts w:hint="eastAsia" w:hAnsi="宋体" w:cs="宋体"/>
                <w:bCs/>
                <w:color w:val="auto"/>
                <w:sz w:val="24"/>
                <w:szCs w:val="24"/>
                <w:highlight w:val="none"/>
              </w:rPr>
              <w:t>（如有偏</w:t>
            </w:r>
            <w:r>
              <w:rPr>
                <w:rFonts w:hint="eastAsia" w:hAnsi="宋体" w:cs="宋体"/>
                <w:bCs/>
                <w:color w:val="auto"/>
                <w:sz w:val="24"/>
                <w:szCs w:val="24"/>
                <w:highlight w:val="none"/>
                <w:lang w:val="en-US" w:eastAsia="zh-CN"/>
              </w:rPr>
              <w:t>差</w:t>
            </w:r>
            <w:r>
              <w:rPr>
                <w:rFonts w:hint="eastAsia" w:hAnsi="宋体" w:cs="宋体"/>
                <w:bCs/>
                <w:color w:val="auto"/>
                <w:sz w:val="24"/>
                <w:szCs w:val="24"/>
                <w:highlight w:val="none"/>
              </w:rPr>
              <w:t>，则</w:t>
            </w:r>
            <w:r>
              <w:rPr>
                <w:rFonts w:hint="eastAsia" w:hAnsi="宋体" w:cs="宋体"/>
                <w:bCs/>
                <w:color w:val="auto"/>
                <w:sz w:val="24"/>
                <w:szCs w:val="24"/>
                <w:highlight w:val="none"/>
                <w:lang w:val="en-US" w:eastAsia="zh-CN"/>
              </w:rPr>
              <w:t>须</w:t>
            </w:r>
            <w:r>
              <w:rPr>
                <w:rFonts w:hint="eastAsia" w:hAnsi="宋体" w:cs="宋体"/>
                <w:bCs/>
                <w:color w:val="auto"/>
                <w:sz w:val="24"/>
                <w:szCs w:val="24"/>
                <w:highlight w:val="none"/>
              </w:rPr>
              <w:t>在本表中</w:t>
            </w:r>
            <w:r>
              <w:rPr>
                <w:rFonts w:hint="eastAsia" w:hAnsi="宋体" w:eastAsia="宋体" w:cs="宋体"/>
                <w:bCs/>
                <w:color w:val="auto"/>
                <w:sz w:val="24"/>
                <w:szCs w:val="24"/>
                <w:highlight w:val="none"/>
              </w:rPr>
              <w:t>对偏</w:t>
            </w:r>
            <w:r>
              <w:rPr>
                <w:rFonts w:hint="eastAsia" w:hAnsi="宋体" w:eastAsia="宋体" w:cs="宋体"/>
                <w:bCs/>
                <w:color w:val="auto"/>
                <w:sz w:val="24"/>
                <w:szCs w:val="24"/>
                <w:highlight w:val="none"/>
                <w:lang w:val="en-US" w:eastAsia="zh-CN"/>
              </w:rPr>
              <w:t>差</w:t>
            </w:r>
            <w:r>
              <w:rPr>
                <w:rFonts w:hint="eastAsia" w:hAnsi="宋体" w:eastAsia="宋体" w:cs="宋体"/>
                <w:bCs/>
                <w:color w:val="auto"/>
                <w:sz w:val="24"/>
                <w:szCs w:val="24"/>
                <w:highlight w:val="none"/>
              </w:rPr>
              <w:t>项逐一列明</w:t>
            </w:r>
            <w:r>
              <w:rPr>
                <w:rFonts w:hint="eastAsia" w:hAnsi="宋体" w:eastAsia="宋体" w:cs="宋体"/>
                <w:bCs/>
                <w:color w:val="auto"/>
                <w:sz w:val="24"/>
                <w:szCs w:val="24"/>
                <w:highlight w:val="none"/>
                <w:lang w:eastAsia="zh-CN"/>
              </w:rPr>
              <w:t>，</w:t>
            </w:r>
            <w:r>
              <w:rPr>
                <w:rFonts w:hint="eastAsia" w:hAnsi="宋体" w:eastAsia="宋体" w:cs="宋体"/>
                <w:bCs/>
                <w:color w:val="auto"/>
                <w:sz w:val="24"/>
                <w:szCs w:val="24"/>
                <w:highlight w:val="none"/>
              </w:rPr>
              <w:t>注明正偏差或负偏差情况，保证除列出的偏差外无其他偏差。）</w:t>
            </w:r>
          </w:p>
        </w:tc>
      </w:tr>
      <w:tr w14:paraId="1D2A3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exact"/>
          <w:jc w:val="center"/>
        </w:trPr>
        <w:tc>
          <w:tcPr>
            <w:tcW w:w="639" w:type="dxa"/>
            <w:vAlign w:val="center"/>
          </w:tcPr>
          <w:p w14:paraId="45671914">
            <w:pPr>
              <w:spacing w:line="440" w:lineRule="exact"/>
              <w:jc w:val="center"/>
              <w:rPr>
                <w:rFonts w:hint="eastAsia" w:ascii="宋体" w:hAnsi="宋体"/>
                <w:sz w:val="24"/>
                <w:highlight w:val="none"/>
              </w:rPr>
            </w:pPr>
            <w:r>
              <w:rPr>
                <w:rFonts w:hint="eastAsia" w:ascii="宋体" w:hAnsi="宋体"/>
                <w:sz w:val="24"/>
                <w:highlight w:val="none"/>
              </w:rPr>
              <w:t>序号</w:t>
            </w:r>
          </w:p>
        </w:tc>
        <w:tc>
          <w:tcPr>
            <w:tcW w:w="1594" w:type="dxa"/>
            <w:vAlign w:val="center"/>
          </w:tcPr>
          <w:p w14:paraId="60E7BA67">
            <w:pPr>
              <w:jc w:val="center"/>
              <w:rPr>
                <w:rFonts w:hint="eastAsia" w:hAnsi="宋体" w:cs="宋体"/>
                <w:bCs/>
                <w:color w:val="auto"/>
                <w:sz w:val="24"/>
                <w:szCs w:val="24"/>
                <w:highlight w:val="none"/>
              </w:rPr>
            </w:pPr>
            <w:r>
              <w:rPr>
                <w:rFonts w:hint="eastAsia" w:hAnsi="宋体" w:cs="宋体"/>
                <w:bCs/>
                <w:color w:val="auto"/>
                <w:sz w:val="24"/>
                <w:szCs w:val="24"/>
                <w:highlight w:val="none"/>
              </w:rPr>
              <w:t>招标文件条款号</w:t>
            </w:r>
            <w:r>
              <w:rPr>
                <w:rFonts w:hint="eastAsia" w:hAnsi="宋体" w:cs="宋体"/>
                <w:bCs/>
                <w:color w:val="auto"/>
                <w:sz w:val="24"/>
                <w:szCs w:val="24"/>
                <w:highlight w:val="none"/>
                <w:lang w:val="en-US" w:eastAsia="zh-CN"/>
              </w:rPr>
              <w:t>及标的</w:t>
            </w:r>
            <w:r>
              <w:rPr>
                <w:rFonts w:hint="eastAsia" w:ascii="宋体" w:hAnsi="宋体"/>
                <w:sz w:val="24"/>
                <w:highlight w:val="none"/>
              </w:rPr>
              <w:t>名称</w:t>
            </w:r>
          </w:p>
        </w:tc>
        <w:tc>
          <w:tcPr>
            <w:tcW w:w="2195" w:type="dxa"/>
            <w:vAlign w:val="center"/>
          </w:tcPr>
          <w:p w14:paraId="54050839">
            <w:pPr>
              <w:jc w:val="center"/>
              <w:rPr>
                <w:rFonts w:hint="eastAsia" w:ascii="宋体" w:hAnsi="宋体"/>
                <w:sz w:val="24"/>
                <w:highlight w:val="none"/>
              </w:rPr>
            </w:pPr>
            <w:r>
              <w:rPr>
                <w:rFonts w:hint="eastAsia" w:ascii="宋体" w:hAnsi="宋体"/>
                <w:sz w:val="24"/>
                <w:highlight w:val="none"/>
              </w:rPr>
              <w:t>招标文件要求</w:t>
            </w:r>
          </w:p>
        </w:tc>
        <w:tc>
          <w:tcPr>
            <w:tcW w:w="2520" w:type="dxa"/>
            <w:vAlign w:val="center"/>
          </w:tcPr>
          <w:p w14:paraId="7C30CA3A">
            <w:pPr>
              <w:jc w:val="center"/>
              <w:rPr>
                <w:rFonts w:hint="eastAsia" w:ascii="宋体" w:hAnsi="宋体"/>
                <w:sz w:val="24"/>
                <w:highlight w:val="none"/>
              </w:rPr>
            </w:pPr>
            <w:r>
              <w:rPr>
                <w:rFonts w:hint="eastAsia" w:ascii="宋体" w:hAnsi="宋体"/>
                <w:sz w:val="24"/>
                <w:highlight w:val="none"/>
              </w:rPr>
              <w:t>投标文件内容</w:t>
            </w:r>
          </w:p>
        </w:tc>
        <w:tc>
          <w:tcPr>
            <w:tcW w:w="1980" w:type="dxa"/>
            <w:vAlign w:val="center"/>
          </w:tcPr>
          <w:p w14:paraId="306147DB">
            <w:pPr>
              <w:jc w:val="center"/>
              <w:rPr>
                <w:rFonts w:hint="eastAsia" w:ascii="宋体" w:hAnsi="宋体"/>
                <w:sz w:val="24"/>
                <w:highlight w:val="none"/>
              </w:rPr>
            </w:pPr>
            <w:r>
              <w:rPr>
                <w:rFonts w:hint="eastAsia" w:ascii="宋体" w:hAnsi="宋体"/>
                <w:sz w:val="24"/>
                <w:highlight w:val="none"/>
              </w:rPr>
              <w:t>偏差说明</w:t>
            </w:r>
          </w:p>
        </w:tc>
      </w:tr>
      <w:tr w14:paraId="0B118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exact"/>
          <w:jc w:val="center"/>
        </w:trPr>
        <w:tc>
          <w:tcPr>
            <w:tcW w:w="639" w:type="dxa"/>
          </w:tcPr>
          <w:p w14:paraId="6A7D59F6">
            <w:pPr>
              <w:rPr>
                <w:rFonts w:ascii="宋体" w:hAnsi="宋体"/>
                <w:highlight w:val="none"/>
              </w:rPr>
            </w:pPr>
          </w:p>
        </w:tc>
        <w:tc>
          <w:tcPr>
            <w:tcW w:w="1594" w:type="dxa"/>
          </w:tcPr>
          <w:p w14:paraId="1BFD1B57">
            <w:pPr>
              <w:rPr>
                <w:rFonts w:ascii="宋体" w:hAnsi="宋体"/>
                <w:highlight w:val="none"/>
              </w:rPr>
            </w:pPr>
          </w:p>
        </w:tc>
        <w:tc>
          <w:tcPr>
            <w:tcW w:w="2195" w:type="dxa"/>
          </w:tcPr>
          <w:p w14:paraId="654EEEC4">
            <w:pPr>
              <w:rPr>
                <w:rFonts w:ascii="宋体" w:hAnsi="宋体"/>
                <w:highlight w:val="none"/>
              </w:rPr>
            </w:pPr>
          </w:p>
        </w:tc>
        <w:tc>
          <w:tcPr>
            <w:tcW w:w="2520" w:type="dxa"/>
          </w:tcPr>
          <w:p w14:paraId="55A61C14">
            <w:pPr>
              <w:rPr>
                <w:rFonts w:ascii="宋体" w:hAnsi="宋体"/>
                <w:highlight w:val="none"/>
              </w:rPr>
            </w:pPr>
          </w:p>
        </w:tc>
        <w:tc>
          <w:tcPr>
            <w:tcW w:w="1980" w:type="dxa"/>
          </w:tcPr>
          <w:p w14:paraId="1B6C5318">
            <w:pPr>
              <w:rPr>
                <w:rFonts w:ascii="宋体" w:hAnsi="宋体"/>
                <w:highlight w:val="none"/>
              </w:rPr>
            </w:pPr>
          </w:p>
        </w:tc>
      </w:tr>
      <w:tr w14:paraId="28723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exact"/>
          <w:jc w:val="center"/>
        </w:trPr>
        <w:tc>
          <w:tcPr>
            <w:tcW w:w="639" w:type="dxa"/>
          </w:tcPr>
          <w:p w14:paraId="036C7CAB">
            <w:pPr>
              <w:rPr>
                <w:rFonts w:ascii="宋体" w:hAnsi="宋体"/>
                <w:highlight w:val="none"/>
              </w:rPr>
            </w:pPr>
          </w:p>
        </w:tc>
        <w:tc>
          <w:tcPr>
            <w:tcW w:w="1594" w:type="dxa"/>
          </w:tcPr>
          <w:p w14:paraId="070E5468">
            <w:pPr>
              <w:rPr>
                <w:rFonts w:ascii="宋体" w:hAnsi="宋体"/>
                <w:highlight w:val="none"/>
              </w:rPr>
            </w:pPr>
          </w:p>
        </w:tc>
        <w:tc>
          <w:tcPr>
            <w:tcW w:w="2195" w:type="dxa"/>
          </w:tcPr>
          <w:p w14:paraId="778E7C3D">
            <w:pPr>
              <w:rPr>
                <w:rFonts w:ascii="宋体" w:hAnsi="宋体"/>
                <w:highlight w:val="none"/>
              </w:rPr>
            </w:pPr>
          </w:p>
        </w:tc>
        <w:tc>
          <w:tcPr>
            <w:tcW w:w="2520" w:type="dxa"/>
          </w:tcPr>
          <w:p w14:paraId="66EA92F0">
            <w:pPr>
              <w:rPr>
                <w:rFonts w:ascii="宋体" w:hAnsi="宋体"/>
                <w:highlight w:val="none"/>
              </w:rPr>
            </w:pPr>
          </w:p>
        </w:tc>
        <w:tc>
          <w:tcPr>
            <w:tcW w:w="1980" w:type="dxa"/>
          </w:tcPr>
          <w:p w14:paraId="679A1BFC">
            <w:pPr>
              <w:rPr>
                <w:rFonts w:ascii="宋体" w:hAnsi="宋体"/>
                <w:highlight w:val="none"/>
              </w:rPr>
            </w:pPr>
          </w:p>
        </w:tc>
      </w:tr>
      <w:tr w14:paraId="705F3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exact"/>
          <w:jc w:val="center"/>
        </w:trPr>
        <w:tc>
          <w:tcPr>
            <w:tcW w:w="639" w:type="dxa"/>
          </w:tcPr>
          <w:p w14:paraId="7C7A5A98">
            <w:pPr>
              <w:rPr>
                <w:rFonts w:ascii="宋体" w:hAnsi="宋体"/>
                <w:highlight w:val="none"/>
              </w:rPr>
            </w:pPr>
          </w:p>
        </w:tc>
        <w:tc>
          <w:tcPr>
            <w:tcW w:w="1594" w:type="dxa"/>
          </w:tcPr>
          <w:p w14:paraId="00E177A3">
            <w:pPr>
              <w:rPr>
                <w:rFonts w:ascii="宋体" w:hAnsi="宋体"/>
                <w:highlight w:val="none"/>
              </w:rPr>
            </w:pPr>
          </w:p>
        </w:tc>
        <w:tc>
          <w:tcPr>
            <w:tcW w:w="2195" w:type="dxa"/>
          </w:tcPr>
          <w:p w14:paraId="54CAAA79">
            <w:pPr>
              <w:rPr>
                <w:rFonts w:ascii="宋体" w:hAnsi="宋体"/>
                <w:highlight w:val="none"/>
              </w:rPr>
            </w:pPr>
          </w:p>
        </w:tc>
        <w:tc>
          <w:tcPr>
            <w:tcW w:w="2520" w:type="dxa"/>
          </w:tcPr>
          <w:p w14:paraId="69CADEC2">
            <w:pPr>
              <w:rPr>
                <w:rFonts w:ascii="宋体" w:hAnsi="宋体"/>
                <w:highlight w:val="none"/>
              </w:rPr>
            </w:pPr>
          </w:p>
        </w:tc>
        <w:tc>
          <w:tcPr>
            <w:tcW w:w="1980" w:type="dxa"/>
          </w:tcPr>
          <w:p w14:paraId="13E31835">
            <w:pPr>
              <w:rPr>
                <w:rFonts w:ascii="宋体" w:hAnsi="宋体"/>
                <w:highlight w:val="none"/>
              </w:rPr>
            </w:pPr>
          </w:p>
        </w:tc>
      </w:tr>
      <w:tr w14:paraId="67550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exact"/>
          <w:jc w:val="center"/>
        </w:trPr>
        <w:tc>
          <w:tcPr>
            <w:tcW w:w="639" w:type="dxa"/>
          </w:tcPr>
          <w:p w14:paraId="545F55FB">
            <w:pPr>
              <w:rPr>
                <w:rFonts w:ascii="宋体" w:hAnsi="宋体"/>
                <w:highlight w:val="none"/>
              </w:rPr>
            </w:pPr>
          </w:p>
        </w:tc>
        <w:tc>
          <w:tcPr>
            <w:tcW w:w="1594" w:type="dxa"/>
          </w:tcPr>
          <w:p w14:paraId="3CF1C48D">
            <w:pPr>
              <w:rPr>
                <w:rFonts w:ascii="宋体" w:hAnsi="宋体"/>
                <w:highlight w:val="none"/>
              </w:rPr>
            </w:pPr>
          </w:p>
        </w:tc>
        <w:tc>
          <w:tcPr>
            <w:tcW w:w="2195" w:type="dxa"/>
          </w:tcPr>
          <w:p w14:paraId="03D70F87">
            <w:pPr>
              <w:rPr>
                <w:rFonts w:ascii="宋体" w:hAnsi="宋体"/>
                <w:highlight w:val="none"/>
              </w:rPr>
            </w:pPr>
          </w:p>
        </w:tc>
        <w:tc>
          <w:tcPr>
            <w:tcW w:w="2520" w:type="dxa"/>
          </w:tcPr>
          <w:p w14:paraId="47FF9F51">
            <w:pPr>
              <w:rPr>
                <w:rFonts w:ascii="宋体" w:hAnsi="宋体"/>
                <w:highlight w:val="none"/>
              </w:rPr>
            </w:pPr>
          </w:p>
        </w:tc>
        <w:tc>
          <w:tcPr>
            <w:tcW w:w="1980" w:type="dxa"/>
          </w:tcPr>
          <w:p w14:paraId="602E753A">
            <w:pPr>
              <w:rPr>
                <w:rFonts w:ascii="宋体" w:hAnsi="宋体"/>
                <w:highlight w:val="none"/>
              </w:rPr>
            </w:pPr>
          </w:p>
        </w:tc>
      </w:tr>
      <w:tr w14:paraId="6BE0E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exact"/>
          <w:jc w:val="center"/>
        </w:trPr>
        <w:tc>
          <w:tcPr>
            <w:tcW w:w="639" w:type="dxa"/>
          </w:tcPr>
          <w:p w14:paraId="73356EC7">
            <w:pPr>
              <w:rPr>
                <w:rFonts w:ascii="宋体" w:hAnsi="宋体"/>
                <w:highlight w:val="none"/>
              </w:rPr>
            </w:pPr>
          </w:p>
        </w:tc>
        <w:tc>
          <w:tcPr>
            <w:tcW w:w="1594" w:type="dxa"/>
          </w:tcPr>
          <w:p w14:paraId="21E06180">
            <w:pPr>
              <w:rPr>
                <w:rFonts w:ascii="宋体" w:hAnsi="宋体"/>
                <w:highlight w:val="none"/>
              </w:rPr>
            </w:pPr>
          </w:p>
        </w:tc>
        <w:tc>
          <w:tcPr>
            <w:tcW w:w="2195" w:type="dxa"/>
          </w:tcPr>
          <w:p w14:paraId="5F144B90">
            <w:pPr>
              <w:rPr>
                <w:rFonts w:ascii="宋体" w:hAnsi="宋体"/>
                <w:highlight w:val="none"/>
              </w:rPr>
            </w:pPr>
          </w:p>
        </w:tc>
        <w:tc>
          <w:tcPr>
            <w:tcW w:w="2520" w:type="dxa"/>
          </w:tcPr>
          <w:p w14:paraId="687BD101">
            <w:pPr>
              <w:rPr>
                <w:rFonts w:ascii="宋体" w:hAnsi="宋体"/>
                <w:highlight w:val="none"/>
              </w:rPr>
            </w:pPr>
          </w:p>
        </w:tc>
        <w:tc>
          <w:tcPr>
            <w:tcW w:w="1980" w:type="dxa"/>
          </w:tcPr>
          <w:p w14:paraId="671D7109">
            <w:pPr>
              <w:rPr>
                <w:rFonts w:ascii="宋体" w:hAnsi="宋体"/>
                <w:highlight w:val="none"/>
              </w:rPr>
            </w:pPr>
          </w:p>
        </w:tc>
      </w:tr>
      <w:tr w14:paraId="54F00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exact"/>
          <w:jc w:val="center"/>
        </w:trPr>
        <w:tc>
          <w:tcPr>
            <w:tcW w:w="639" w:type="dxa"/>
          </w:tcPr>
          <w:p w14:paraId="29368A86">
            <w:pPr>
              <w:rPr>
                <w:rFonts w:ascii="宋体" w:hAnsi="宋体"/>
                <w:highlight w:val="none"/>
              </w:rPr>
            </w:pPr>
          </w:p>
        </w:tc>
        <w:tc>
          <w:tcPr>
            <w:tcW w:w="1594" w:type="dxa"/>
          </w:tcPr>
          <w:p w14:paraId="1A66B40D">
            <w:pPr>
              <w:rPr>
                <w:rFonts w:ascii="宋体" w:hAnsi="宋体"/>
                <w:highlight w:val="none"/>
              </w:rPr>
            </w:pPr>
          </w:p>
        </w:tc>
        <w:tc>
          <w:tcPr>
            <w:tcW w:w="2195" w:type="dxa"/>
          </w:tcPr>
          <w:p w14:paraId="65E0416A">
            <w:pPr>
              <w:rPr>
                <w:rFonts w:ascii="宋体" w:hAnsi="宋体"/>
                <w:highlight w:val="none"/>
              </w:rPr>
            </w:pPr>
          </w:p>
        </w:tc>
        <w:tc>
          <w:tcPr>
            <w:tcW w:w="2520" w:type="dxa"/>
          </w:tcPr>
          <w:p w14:paraId="0D355E69">
            <w:pPr>
              <w:rPr>
                <w:rFonts w:ascii="宋体" w:hAnsi="宋体"/>
                <w:highlight w:val="none"/>
              </w:rPr>
            </w:pPr>
          </w:p>
        </w:tc>
        <w:tc>
          <w:tcPr>
            <w:tcW w:w="1980" w:type="dxa"/>
          </w:tcPr>
          <w:p w14:paraId="2E57C1A4">
            <w:pPr>
              <w:rPr>
                <w:rFonts w:ascii="宋体" w:hAnsi="宋体"/>
                <w:highlight w:val="none"/>
              </w:rPr>
            </w:pPr>
          </w:p>
        </w:tc>
      </w:tr>
      <w:tr w14:paraId="09D8D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exact"/>
          <w:jc w:val="center"/>
        </w:trPr>
        <w:tc>
          <w:tcPr>
            <w:tcW w:w="639" w:type="dxa"/>
          </w:tcPr>
          <w:p w14:paraId="05A5EFF5">
            <w:pPr>
              <w:rPr>
                <w:rFonts w:ascii="宋体" w:hAnsi="宋体"/>
                <w:highlight w:val="none"/>
              </w:rPr>
            </w:pPr>
          </w:p>
        </w:tc>
        <w:tc>
          <w:tcPr>
            <w:tcW w:w="1594" w:type="dxa"/>
          </w:tcPr>
          <w:p w14:paraId="2B8D16D9">
            <w:pPr>
              <w:rPr>
                <w:rFonts w:ascii="宋体" w:hAnsi="宋体"/>
                <w:highlight w:val="none"/>
              </w:rPr>
            </w:pPr>
          </w:p>
        </w:tc>
        <w:tc>
          <w:tcPr>
            <w:tcW w:w="2195" w:type="dxa"/>
          </w:tcPr>
          <w:p w14:paraId="4B398D5C">
            <w:pPr>
              <w:rPr>
                <w:rFonts w:ascii="宋体" w:hAnsi="宋体"/>
                <w:highlight w:val="none"/>
              </w:rPr>
            </w:pPr>
          </w:p>
        </w:tc>
        <w:tc>
          <w:tcPr>
            <w:tcW w:w="2520" w:type="dxa"/>
          </w:tcPr>
          <w:p w14:paraId="6AF88292">
            <w:pPr>
              <w:rPr>
                <w:rFonts w:ascii="宋体" w:hAnsi="宋体"/>
                <w:highlight w:val="none"/>
              </w:rPr>
            </w:pPr>
          </w:p>
        </w:tc>
        <w:tc>
          <w:tcPr>
            <w:tcW w:w="1980" w:type="dxa"/>
          </w:tcPr>
          <w:p w14:paraId="6914635C">
            <w:pPr>
              <w:rPr>
                <w:rFonts w:ascii="宋体" w:hAnsi="宋体"/>
                <w:highlight w:val="none"/>
              </w:rPr>
            </w:pPr>
          </w:p>
        </w:tc>
      </w:tr>
    </w:tbl>
    <w:p w14:paraId="6D9C1684">
      <w:pPr>
        <w:jc w:val="center"/>
        <w:rPr>
          <w:rFonts w:ascii="宋体" w:hAnsi="宋体"/>
          <w:bCs/>
          <w:kern w:val="44"/>
          <w:sz w:val="44"/>
          <w:szCs w:val="44"/>
          <w:highlight w:val="none"/>
        </w:rPr>
      </w:pPr>
    </w:p>
    <w:p w14:paraId="35FA3A49">
      <w:pPr>
        <w:rPr>
          <w:rFonts w:ascii="宋体" w:hAnsi="宋体"/>
          <w:sz w:val="28"/>
          <w:highlight w:val="none"/>
          <w:u w:val="single"/>
        </w:rPr>
      </w:pPr>
      <w:r>
        <w:rPr>
          <w:rFonts w:hint="eastAsia" w:ascii="宋体" w:hAnsi="宋体"/>
          <w:sz w:val="32"/>
          <w:szCs w:val="32"/>
          <w:highlight w:val="none"/>
        </w:rPr>
        <w:t xml:space="preserve"> </w:t>
      </w:r>
      <w:r>
        <w:rPr>
          <w:rFonts w:hint="eastAsia" w:ascii="宋体" w:hAnsi="宋体"/>
          <w:sz w:val="28"/>
          <w:highlight w:val="none"/>
        </w:rPr>
        <w:t xml:space="preserve">           </w:t>
      </w:r>
    </w:p>
    <w:p w14:paraId="0E55F9C4">
      <w:pPr>
        <w:widowControl/>
        <w:rPr>
          <w:rFonts w:ascii="宋体" w:hAnsi="宋体"/>
          <w:sz w:val="32"/>
          <w:szCs w:val="32"/>
          <w:highlight w:val="none"/>
        </w:rPr>
      </w:pPr>
      <w:bookmarkStart w:id="817" w:name="_Toc289238790"/>
      <w:bookmarkStart w:id="818" w:name="_Toc288748130"/>
      <w:bookmarkStart w:id="819" w:name="_Toc338840512"/>
      <w:bookmarkStart w:id="820" w:name="_Toc338840473"/>
      <w:bookmarkStart w:id="821" w:name="_Toc289182819"/>
      <w:bookmarkStart w:id="822" w:name="_Toc289241538"/>
      <w:bookmarkStart w:id="823" w:name="_Toc289182441"/>
      <w:bookmarkStart w:id="824" w:name="_Toc338840264"/>
      <w:bookmarkStart w:id="825" w:name="_Toc289241361"/>
      <w:bookmarkStart w:id="826" w:name="_Toc289096745"/>
      <w:r>
        <w:rPr>
          <w:rFonts w:ascii="宋体" w:hAnsi="宋体"/>
          <w:sz w:val="32"/>
          <w:szCs w:val="32"/>
          <w:highlight w:val="none"/>
        </w:rPr>
        <w:br w:type="page"/>
      </w:r>
      <w:bookmarkEnd w:id="817"/>
      <w:bookmarkEnd w:id="818"/>
      <w:bookmarkEnd w:id="819"/>
      <w:bookmarkEnd w:id="820"/>
      <w:bookmarkEnd w:id="821"/>
      <w:bookmarkEnd w:id="822"/>
      <w:bookmarkEnd w:id="823"/>
      <w:bookmarkEnd w:id="824"/>
      <w:bookmarkEnd w:id="825"/>
      <w:bookmarkEnd w:id="826"/>
    </w:p>
    <w:p w14:paraId="6EB2123F">
      <w:pPr>
        <w:jc w:val="center"/>
        <w:outlineLvl w:val="9"/>
        <w:rPr>
          <w:rFonts w:hint="eastAsia" w:ascii="宋体" w:hAnsi="宋体"/>
          <w:b/>
          <w:kern w:val="44"/>
          <w:sz w:val="44"/>
          <w:szCs w:val="44"/>
          <w:highlight w:val="none"/>
          <w:lang w:val="en-US" w:eastAsia="zh-CN"/>
        </w:rPr>
      </w:pPr>
    </w:p>
    <w:p w14:paraId="533CE08B">
      <w:pPr>
        <w:jc w:val="center"/>
        <w:outlineLvl w:val="9"/>
        <w:rPr>
          <w:rFonts w:ascii="宋体" w:hAnsi="宋体"/>
          <w:b/>
          <w:kern w:val="44"/>
          <w:sz w:val="44"/>
          <w:szCs w:val="44"/>
          <w:highlight w:val="none"/>
        </w:rPr>
      </w:pPr>
      <w:r>
        <w:rPr>
          <w:rFonts w:hint="eastAsia" w:ascii="宋体" w:hAnsi="宋体"/>
          <w:b/>
          <w:kern w:val="44"/>
          <w:sz w:val="44"/>
          <w:szCs w:val="44"/>
          <w:highlight w:val="none"/>
          <w:lang w:val="en-US" w:eastAsia="zh-CN"/>
        </w:rPr>
        <w:t>六</w:t>
      </w:r>
      <w:r>
        <w:rPr>
          <w:rFonts w:hint="eastAsia" w:ascii="宋体" w:hAnsi="宋体"/>
          <w:b/>
          <w:kern w:val="44"/>
          <w:sz w:val="44"/>
          <w:szCs w:val="44"/>
          <w:highlight w:val="none"/>
        </w:rPr>
        <w:t xml:space="preserve">  业绩合同</w:t>
      </w:r>
    </w:p>
    <w:p w14:paraId="3D057AB1">
      <w:pPr>
        <w:jc w:val="center"/>
        <w:rPr>
          <w:rFonts w:ascii="宋体" w:hAnsi="宋体"/>
          <w:b/>
          <w:kern w:val="44"/>
          <w:sz w:val="44"/>
          <w:szCs w:val="44"/>
          <w:highlight w:val="none"/>
        </w:rPr>
      </w:pPr>
    </w:p>
    <w:p w14:paraId="00CD0FDD">
      <w:pPr>
        <w:rPr>
          <w:rFonts w:ascii="宋体" w:hAnsi="宋体"/>
          <w:b/>
          <w:kern w:val="44"/>
          <w:sz w:val="44"/>
          <w:szCs w:val="44"/>
          <w:highlight w:val="none"/>
        </w:rPr>
      </w:pPr>
      <w:r>
        <w:rPr>
          <w:rFonts w:hint="eastAsia" w:ascii="宋体" w:hAnsi="宋体"/>
          <w:b/>
          <w:kern w:val="44"/>
          <w:sz w:val="44"/>
          <w:szCs w:val="44"/>
          <w:highlight w:val="none"/>
        </w:rPr>
        <w:br w:type="page"/>
      </w:r>
    </w:p>
    <w:p w14:paraId="6C7C81D1">
      <w:pPr>
        <w:jc w:val="center"/>
        <w:rPr>
          <w:rFonts w:ascii="宋体" w:hAnsi="宋体"/>
          <w:b/>
          <w:kern w:val="44"/>
          <w:sz w:val="44"/>
          <w:szCs w:val="44"/>
          <w:highlight w:val="none"/>
        </w:rPr>
      </w:pPr>
    </w:p>
    <w:p w14:paraId="203D946F">
      <w:pPr>
        <w:jc w:val="center"/>
        <w:outlineLvl w:val="9"/>
        <w:rPr>
          <w:rFonts w:hint="default" w:ascii="宋体" w:hAnsi="宋体" w:eastAsia="宋体"/>
          <w:b/>
          <w:kern w:val="44"/>
          <w:sz w:val="44"/>
          <w:szCs w:val="44"/>
          <w:highlight w:val="none"/>
          <w:lang w:val="en-US" w:eastAsia="zh-CN"/>
        </w:rPr>
      </w:pPr>
      <w:r>
        <w:rPr>
          <w:rFonts w:hint="eastAsia" w:ascii="宋体" w:hAnsi="宋体"/>
          <w:b/>
          <w:kern w:val="44"/>
          <w:sz w:val="44"/>
          <w:szCs w:val="44"/>
          <w:highlight w:val="none"/>
          <w:lang w:val="en-US" w:eastAsia="zh-CN"/>
        </w:rPr>
        <w:t>七</w:t>
      </w:r>
      <w:r>
        <w:rPr>
          <w:rFonts w:hint="eastAsia" w:ascii="宋体" w:hAnsi="宋体"/>
          <w:b/>
          <w:kern w:val="44"/>
          <w:sz w:val="44"/>
          <w:szCs w:val="44"/>
          <w:highlight w:val="none"/>
        </w:rPr>
        <w:t xml:space="preserve">  企业</w:t>
      </w:r>
      <w:r>
        <w:rPr>
          <w:rFonts w:hint="eastAsia" w:ascii="宋体" w:hAnsi="宋体"/>
          <w:b/>
          <w:kern w:val="44"/>
          <w:sz w:val="44"/>
          <w:szCs w:val="44"/>
          <w:highlight w:val="none"/>
          <w:lang w:val="en-US" w:eastAsia="zh-CN"/>
        </w:rPr>
        <w:t>实力</w:t>
      </w:r>
    </w:p>
    <w:p w14:paraId="7E2C60D4">
      <w:pPr>
        <w:jc w:val="center"/>
        <w:rPr>
          <w:rFonts w:ascii="宋体" w:hAnsi="宋体"/>
          <w:b/>
          <w:kern w:val="44"/>
          <w:sz w:val="44"/>
          <w:szCs w:val="44"/>
          <w:highlight w:val="none"/>
        </w:rPr>
      </w:pPr>
    </w:p>
    <w:p w14:paraId="1D42ABED">
      <w:pPr>
        <w:rPr>
          <w:rFonts w:ascii="宋体" w:hAnsi="宋体"/>
          <w:b/>
          <w:kern w:val="44"/>
          <w:sz w:val="44"/>
          <w:szCs w:val="44"/>
          <w:highlight w:val="none"/>
        </w:rPr>
      </w:pPr>
      <w:r>
        <w:rPr>
          <w:rFonts w:hint="eastAsia" w:ascii="宋体" w:hAnsi="宋体"/>
          <w:b/>
          <w:kern w:val="44"/>
          <w:sz w:val="44"/>
          <w:szCs w:val="44"/>
          <w:highlight w:val="none"/>
        </w:rPr>
        <w:br w:type="page"/>
      </w:r>
    </w:p>
    <w:p w14:paraId="700315C6">
      <w:pPr>
        <w:jc w:val="center"/>
        <w:rPr>
          <w:rFonts w:ascii="宋体" w:hAnsi="宋体"/>
          <w:b/>
          <w:kern w:val="44"/>
          <w:sz w:val="44"/>
          <w:szCs w:val="44"/>
          <w:highlight w:val="none"/>
        </w:rPr>
      </w:pPr>
    </w:p>
    <w:p w14:paraId="34F2B8B5">
      <w:pPr>
        <w:jc w:val="center"/>
        <w:outlineLvl w:val="9"/>
        <w:rPr>
          <w:rFonts w:hint="default" w:ascii="宋体" w:hAnsi="宋体" w:eastAsia="宋体"/>
          <w:b/>
          <w:kern w:val="44"/>
          <w:sz w:val="44"/>
          <w:szCs w:val="44"/>
          <w:highlight w:val="none"/>
          <w:lang w:val="en-US" w:eastAsia="zh-CN"/>
        </w:rPr>
      </w:pPr>
      <w:r>
        <w:rPr>
          <w:rFonts w:hint="eastAsia" w:ascii="宋体" w:hAnsi="宋体"/>
          <w:b/>
          <w:kern w:val="44"/>
          <w:sz w:val="44"/>
          <w:szCs w:val="44"/>
          <w:highlight w:val="none"/>
          <w:lang w:val="en-US" w:eastAsia="zh-CN"/>
        </w:rPr>
        <w:t>八</w:t>
      </w:r>
      <w:r>
        <w:rPr>
          <w:rFonts w:hint="eastAsia" w:ascii="宋体" w:hAnsi="宋体"/>
          <w:b/>
          <w:kern w:val="44"/>
          <w:sz w:val="44"/>
          <w:szCs w:val="44"/>
          <w:highlight w:val="none"/>
        </w:rPr>
        <w:t xml:space="preserve">   </w:t>
      </w:r>
      <w:r>
        <w:rPr>
          <w:rFonts w:hint="eastAsia" w:ascii="宋体" w:hAnsi="宋体"/>
          <w:b/>
          <w:kern w:val="44"/>
          <w:sz w:val="44"/>
          <w:szCs w:val="44"/>
          <w:highlight w:val="none"/>
          <w:lang w:val="en-US" w:eastAsia="zh-CN"/>
        </w:rPr>
        <w:t>团队实力</w:t>
      </w:r>
    </w:p>
    <w:p w14:paraId="7BA83D92">
      <w:pPr>
        <w:jc w:val="center"/>
        <w:rPr>
          <w:rFonts w:ascii="宋体" w:hAnsi="宋体"/>
          <w:b/>
          <w:kern w:val="44"/>
          <w:sz w:val="44"/>
          <w:szCs w:val="44"/>
          <w:highlight w:val="none"/>
        </w:rPr>
      </w:pPr>
    </w:p>
    <w:p w14:paraId="38402520">
      <w:pPr>
        <w:rPr>
          <w:rFonts w:ascii="宋体" w:hAnsi="宋体"/>
          <w:b/>
          <w:kern w:val="44"/>
          <w:sz w:val="44"/>
          <w:szCs w:val="44"/>
          <w:highlight w:val="none"/>
        </w:rPr>
      </w:pPr>
      <w:r>
        <w:rPr>
          <w:rFonts w:hint="eastAsia" w:ascii="宋体" w:hAnsi="宋体"/>
          <w:b/>
          <w:kern w:val="44"/>
          <w:sz w:val="44"/>
          <w:szCs w:val="44"/>
          <w:highlight w:val="none"/>
        </w:rPr>
        <w:br w:type="page"/>
      </w:r>
    </w:p>
    <w:p w14:paraId="2A627CDD">
      <w:pPr>
        <w:jc w:val="center"/>
        <w:rPr>
          <w:rFonts w:ascii="宋体" w:hAnsi="宋体"/>
          <w:b/>
          <w:kern w:val="44"/>
          <w:sz w:val="44"/>
          <w:szCs w:val="44"/>
          <w:highlight w:val="none"/>
        </w:rPr>
      </w:pPr>
    </w:p>
    <w:p w14:paraId="1001357A">
      <w:pPr>
        <w:jc w:val="center"/>
        <w:outlineLvl w:val="9"/>
        <w:rPr>
          <w:rFonts w:hint="eastAsia" w:ascii="宋体" w:hAnsi="宋体"/>
          <w:b/>
          <w:kern w:val="44"/>
          <w:sz w:val="44"/>
          <w:szCs w:val="44"/>
          <w:highlight w:val="none"/>
          <w:lang w:val="en-US" w:eastAsia="zh-CN"/>
        </w:rPr>
      </w:pPr>
      <w:r>
        <w:rPr>
          <w:rFonts w:hint="eastAsia" w:ascii="宋体" w:hAnsi="宋体"/>
          <w:b/>
          <w:kern w:val="44"/>
          <w:sz w:val="44"/>
          <w:szCs w:val="44"/>
          <w:highlight w:val="none"/>
          <w:lang w:val="en-US" w:eastAsia="zh-CN"/>
        </w:rPr>
        <w:t>九</w:t>
      </w:r>
      <w:r>
        <w:rPr>
          <w:rFonts w:hint="eastAsia" w:ascii="宋体" w:hAnsi="宋体"/>
          <w:b/>
          <w:kern w:val="44"/>
          <w:sz w:val="44"/>
          <w:szCs w:val="44"/>
          <w:highlight w:val="none"/>
        </w:rPr>
        <w:t xml:space="preserve">  </w:t>
      </w:r>
      <w:bookmarkStart w:id="827" w:name="_Toc288115071"/>
      <w:bookmarkStart w:id="828" w:name="_Toc288115096"/>
      <w:r>
        <w:rPr>
          <w:rFonts w:hint="eastAsia" w:ascii="宋体" w:hAnsi="宋体"/>
          <w:b/>
          <w:kern w:val="44"/>
          <w:sz w:val="44"/>
          <w:szCs w:val="44"/>
          <w:highlight w:val="none"/>
        </w:rPr>
        <w:t>项目实施方案</w:t>
      </w:r>
    </w:p>
    <w:p w14:paraId="623BA187">
      <w:pPr>
        <w:jc w:val="center"/>
        <w:outlineLvl w:val="9"/>
        <w:rPr>
          <w:rFonts w:hint="eastAsia" w:ascii="宋体" w:hAnsi="宋体"/>
          <w:b/>
          <w:kern w:val="44"/>
          <w:sz w:val="44"/>
          <w:szCs w:val="44"/>
          <w:highlight w:val="none"/>
          <w:lang w:val="en-US" w:eastAsia="zh-CN"/>
        </w:rPr>
      </w:pPr>
    </w:p>
    <w:p w14:paraId="699252A4">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trike w:val="0"/>
          <w:dstrike w:val="0"/>
          <w:szCs w:val="21"/>
          <w:highlight w:val="none"/>
          <w:lang w:val="en-US" w:eastAsia="zh-CN"/>
        </w:rPr>
      </w:pPr>
      <w:r>
        <w:rPr>
          <w:rFonts w:hint="eastAsia" w:ascii="宋体" w:hAnsi="宋体" w:eastAsia="宋体" w:cs="Times New Roman"/>
          <w:strike w:val="0"/>
          <w:dstrike w:val="0"/>
          <w:szCs w:val="21"/>
          <w:highlight w:val="none"/>
          <w:lang w:val="en-US" w:eastAsia="zh-CN"/>
        </w:rPr>
        <w:t>结合项目实际制定实施方案</w:t>
      </w:r>
      <w:r>
        <w:rPr>
          <w:rFonts w:hint="eastAsia" w:ascii="宋体" w:hAnsi="宋体" w:cs="Times New Roman"/>
          <w:strike w:val="0"/>
          <w:dstrike w:val="0"/>
          <w:szCs w:val="21"/>
          <w:highlight w:val="none"/>
          <w:lang w:val="en-US" w:eastAsia="zh-CN"/>
        </w:rPr>
        <w:t>。</w:t>
      </w:r>
      <w:r>
        <w:rPr>
          <w:rFonts w:hint="eastAsia" w:ascii="宋体" w:hAnsi="宋体" w:eastAsia="宋体" w:cs="Times New Roman"/>
          <w:strike w:val="0"/>
          <w:dstrike w:val="0"/>
          <w:szCs w:val="21"/>
          <w:highlight w:val="none"/>
          <w:lang w:val="en-US" w:eastAsia="zh-CN"/>
        </w:rPr>
        <w:t>内容涵盖系统设计、开发、测试联调及试运行等环节，确保系统功能完备、性能达标、安全可靠；制定合理进度计划与人员安排，准确分析项目难点与风险并提出有效应对措施；建立质量管理体系，落实安全保障措施，规范施工流程，确保项目有序推进、按期高质量交付。</w:t>
      </w:r>
    </w:p>
    <w:p w14:paraId="33182FF1">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宋体" w:hAnsi="宋体" w:eastAsia="宋体" w:cs="Times New Roman"/>
          <w:strike w:val="0"/>
          <w:dstrike w:val="0"/>
          <w:szCs w:val="21"/>
          <w:highlight w:val="none"/>
          <w:lang w:val="en-US" w:eastAsia="zh-CN"/>
        </w:rPr>
      </w:pPr>
      <w:r>
        <w:rPr>
          <w:rFonts w:hint="eastAsia" w:ascii="宋体" w:hAnsi="宋体" w:eastAsia="宋体" w:cs="Times New Roman"/>
          <w:strike w:val="0"/>
          <w:dstrike w:val="0"/>
          <w:szCs w:val="21"/>
          <w:highlight w:val="none"/>
          <w:lang w:val="en-US" w:eastAsia="zh-CN"/>
        </w:rPr>
        <w:t>项目实施过程中，应包括全部设备的运输、物流及相关保险费用，并完成现场安装部署与调试工作。施工所需辅材、线缆及零星耗材由施工方足额提供，确保系统整体交付效果达到设计要求。</w:t>
      </w:r>
    </w:p>
    <w:p w14:paraId="6808BD3C">
      <w:pPr>
        <w:rPr>
          <w:rFonts w:hint="eastAsia" w:ascii="宋体" w:hAnsi="宋体"/>
          <w:b/>
          <w:kern w:val="44"/>
          <w:sz w:val="44"/>
          <w:szCs w:val="44"/>
          <w:highlight w:val="none"/>
          <w:lang w:val="en-US" w:eastAsia="zh-CN"/>
        </w:rPr>
      </w:pPr>
    </w:p>
    <w:p w14:paraId="7BDE383D">
      <w:pPr>
        <w:jc w:val="center"/>
        <w:outlineLvl w:val="9"/>
        <w:rPr>
          <w:rFonts w:hint="eastAsia" w:ascii="宋体" w:hAnsi="宋体"/>
          <w:b/>
          <w:kern w:val="44"/>
          <w:sz w:val="44"/>
          <w:szCs w:val="44"/>
          <w:highlight w:val="none"/>
          <w:lang w:val="en-US" w:eastAsia="zh-CN"/>
        </w:rPr>
      </w:pPr>
    </w:p>
    <w:p w14:paraId="6588C976">
      <w:pPr>
        <w:rPr>
          <w:rFonts w:hint="eastAsia" w:ascii="宋体" w:hAnsi="宋体"/>
          <w:b/>
          <w:kern w:val="44"/>
          <w:sz w:val="44"/>
          <w:szCs w:val="44"/>
          <w:highlight w:val="none"/>
          <w:lang w:val="en-US" w:eastAsia="zh-CN"/>
        </w:rPr>
      </w:pPr>
      <w:r>
        <w:rPr>
          <w:rFonts w:hint="eastAsia" w:ascii="宋体" w:hAnsi="宋体"/>
          <w:b/>
          <w:kern w:val="44"/>
          <w:sz w:val="44"/>
          <w:szCs w:val="44"/>
          <w:highlight w:val="none"/>
          <w:lang w:val="en-US" w:eastAsia="zh-CN"/>
        </w:rPr>
        <w:br w:type="page"/>
      </w:r>
    </w:p>
    <w:p w14:paraId="02F1D49A">
      <w:pPr>
        <w:jc w:val="center"/>
        <w:outlineLvl w:val="9"/>
        <w:rPr>
          <w:rFonts w:hint="eastAsia" w:ascii="宋体" w:hAnsi="宋体"/>
          <w:b/>
          <w:kern w:val="44"/>
          <w:sz w:val="44"/>
          <w:szCs w:val="44"/>
          <w:highlight w:val="none"/>
          <w:lang w:val="en-US" w:eastAsia="zh-CN"/>
        </w:rPr>
      </w:pPr>
    </w:p>
    <w:p w14:paraId="107F04FD">
      <w:pPr>
        <w:jc w:val="center"/>
        <w:outlineLvl w:val="9"/>
        <w:rPr>
          <w:rFonts w:hint="eastAsia" w:ascii="宋体" w:hAnsi="宋体"/>
          <w:b/>
          <w:kern w:val="44"/>
          <w:sz w:val="44"/>
          <w:szCs w:val="44"/>
          <w:highlight w:val="none"/>
          <w:lang w:val="en-US" w:eastAsia="zh-CN"/>
        </w:rPr>
      </w:pPr>
      <w:r>
        <w:rPr>
          <w:rFonts w:hint="eastAsia" w:ascii="宋体" w:hAnsi="宋体"/>
          <w:b/>
          <w:kern w:val="44"/>
          <w:sz w:val="44"/>
          <w:szCs w:val="44"/>
          <w:highlight w:val="none"/>
          <w:lang w:val="en-US" w:eastAsia="zh-CN"/>
        </w:rPr>
        <w:t>十  运维服务方案</w:t>
      </w:r>
    </w:p>
    <w:p w14:paraId="686AA3D1">
      <w:pPr>
        <w:rPr>
          <w:rFonts w:hint="eastAsia" w:ascii="宋体" w:hAnsi="宋体"/>
          <w:b/>
          <w:kern w:val="44"/>
          <w:sz w:val="44"/>
          <w:szCs w:val="44"/>
          <w:highlight w:val="none"/>
          <w:lang w:val="en-US" w:eastAsia="zh-CN"/>
        </w:rPr>
      </w:pPr>
      <w:r>
        <w:rPr>
          <w:rFonts w:hint="eastAsia" w:ascii="宋体" w:hAnsi="宋体"/>
          <w:b/>
          <w:kern w:val="44"/>
          <w:sz w:val="44"/>
          <w:szCs w:val="44"/>
          <w:highlight w:val="none"/>
          <w:lang w:val="en-US" w:eastAsia="zh-CN"/>
        </w:rPr>
        <w:br w:type="page"/>
      </w:r>
    </w:p>
    <w:p w14:paraId="7AE839FD">
      <w:pPr>
        <w:jc w:val="center"/>
        <w:outlineLvl w:val="9"/>
        <w:rPr>
          <w:rFonts w:hint="eastAsia" w:ascii="宋体" w:hAnsi="宋体"/>
          <w:b/>
          <w:kern w:val="44"/>
          <w:sz w:val="44"/>
          <w:szCs w:val="44"/>
          <w:highlight w:val="none"/>
          <w:lang w:val="en-US" w:eastAsia="zh-CN"/>
        </w:rPr>
      </w:pPr>
    </w:p>
    <w:p w14:paraId="22733026">
      <w:pPr>
        <w:jc w:val="center"/>
        <w:outlineLvl w:val="9"/>
        <w:rPr>
          <w:rFonts w:hint="default" w:ascii="宋体" w:hAnsi="宋体"/>
          <w:b/>
          <w:kern w:val="44"/>
          <w:sz w:val="44"/>
          <w:szCs w:val="44"/>
          <w:highlight w:val="none"/>
          <w:lang w:val="en-US" w:eastAsia="zh-CN"/>
        </w:rPr>
      </w:pPr>
      <w:r>
        <w:rPr>
          <w:rFonts w:hint="eastAsia" w:ascii="宋体" w:hAnsi="宋体"/>
          <w:b/>
          <w:kern w:val="44"/>
          <w:sz w:val="44"/>
          <w:szCs w:val="44"/>
          <w:highlight w:val="none"/>
          <w:lang w:val="en-US" w:eastAsia="zh-CN"/>
        </w:rPr>
        <w:t>十一  接口类服务和数据共享方案</w:t>
      </w:r>
    </w:p>
    <w:p w14:paraId="2A104C58">
      <w:pPr>
        <w:rPr>
          <w:rFonts w:hint="eastAsia" w:ascii="宋体" w:hAnsi="宋体"/>
          <w:b/>
          <w:kern w:val="44"/>
          <w:sz w:val="44"/>
          <w:szCs w:val="44"/>
          <w:highlight w:val="none"/>
          <w:lang w:val="en-US" w:eastAsia="zh-CN"/>
        </w:rPr>
      </w:pPr>
      <w:r>
        <w:rPr>
          <w:rFonts w:hint="eastAsia" w:ascii="宋体" w:hAnsi="宋体"/>
          <w:b/>
          <w:kern w:val="44"/>
          <w:sz w:val="44"/>
          <w:szCs w:val="44"/>
          <w:highlight w:val="none"/>
          <w:lang w:val="en-US" w:eastAsia="zh-CN"/>
        </w:rPr>
        <w:br w:type="page"/>
      </w:r>
    </w:p>
    <w:p w14:paraId="183BB3FE">
      <w:pPr>
        <w:jc w:val="center"/>
        <w:outlineLvl w:val="9"/>
        <w:rPr>
          <w:rFonts w:hint="eastAsia" w:ascii="宋体" w:hAnsi="宋体"/>
          <w:b/>
          <w:kern w:val="44"/>
          <w:sz w:val="44"/>
          <w:szCs w:val="44"/>
          <w:highlight w:val="none"/>
          <w:lang w:val="en-US" w:eastAsia="zh-CN"/>
        </w:rPr>
      </w:pPr>
    </w:p>
    <w:p w14:paraId="616C7BE0">
      <w:pPr>
        <w:jc w:val="center"/>
        <w:outlineLvl w:val="9"/>
        <w:rPr>
          <w:rFonts w:hint="default" w:ascii="宋体" w:hAnsi="宋体"/>
          <w:b/>
          <w:kern w:val="44"/>
          <w:sz w:val="44"/>
          <w:szCs w:val="44"/>
          <w:highlight w:val="none"/>
          <w:lang w:val="en-US" w:eastAsia="zh-CN"/>
        </w:rPr>
      </w:pPr>
      <w:r>
        <w:rPr>
          <w:rFonts w:hint="eastAsia" w:ascii="宋体" w:hAnsi="宋体"/>
          <w:b/>
          <w:kern w:val="44"/>
          <w:sz w:val="44"/>
          <w:szCs w:val="44"/>
          <w:highlight w:val="none"/>
          <w:lang w:val="en-US" w:eastAsia="zh-CN"/>
        </w:rPr>
        <w:t>十二  项目性能与安全保障方案</w:t>
      </w:r>
    </w:p>
    <w:p w14:paraId="207DF053">
      <w:pPr>
        <w:rPr>
          <w:rFonts w:hint="eastAsia" w:ascii="宋体" w:hAnsi="宋体"/>
          <w:b/>
          <w:kern w:val="44"/>
          <w:sz w:val="44"/>
          <w:szCs w:val="44"/>
          <w:highlight w:val="none"/>
          <w:lang w:val="en-US" w:eastAsia="zh-CN"/>
        </w:rPr>
      </w:pPr>
      <w:r>
        <w:rPr>
          <w:rFonts w:hint="eastAsia" w:ascii="宋体" w:hAnsi="宋体"/>
          <w:b/>
          <w:kern w:val="44"/>
          <w:sz w:val="44"/>
          <w:szCs w:val="44"/>
          <w:highlight w:val="none"/>
          <w:lang w:val="en-US" w:eastAsia="zh-CN"/>
        </w:rPr>
        <w:br w:type="page"/>
      </w:r>
    </w:p>
    <w:p w14:paraId="5D163BB4">
      <w:pPr>
        <w:jc w:val="center"/>
        <w:outlineLvl w:val="9"/>
        <w:rPr>
          <w:rFonts w:hint="eastAsia" w:ascii="宋体" w:hAnsi="宋体"/>
          <w:b/>
          <w:kern w:val="44"/>
          <w:sz w:val="44"/>
          <w:szCs w:val="44"/>
          <w:highlight w:val="none"/>
          <w:lang w:val="en-US" w:eastAsia="zh-CN"/>
        </w:rPr>
      </w:pPr>
    </w:p>
    <w:p w14:paraId="4CD7199C">
      <w:pPr>
        <w:jc w:val="center"/>
        <w:outlineLvl w:val="9"/>
        <w:rPr>
          <w:rFonts w:hint="default" w:ascii="宋体" w:hAnsi="宋体"/>
          <w:b/>
          <w:kern w:val="44"/>
          <w:sz w:val="44"/>
          <w:szCs w:val="44"/>
          <w:highlight w:val="none"/>
          <w:lang w:val="en-US" w:eastAsia="zh-CN"/>
        </w:rPr>
      </w:pPr>
      <w:r>
        <w:rPr>
          <w:rFonts w:hint="eastAsia" w:ascii="宋体" w:hAnsi="宋体"/>
          <w:b/>
          <w:kern w:val="44"/>
          <w:sz w:val="44"/>
          <w:szCs w:val="44"/>
          <w:highlight w:val="none"/>
          <w:lang w:val="en-US" w:eastAsia="zh-CN"/>
        </w:rPr>
        <w:t>十三  培训</w:t>
      </w:r>
      <w:r>
        <w:rPr>
          <w:rFonts w:hint="default" w:ascii="宋体" w:hAnsi="宋体"/>
          <w:b/>
          <w:kern w:val="44"/>
          <w:sz w:val="44"/>
          <w:szCs w:val="44"/>
          <w:highlight w:val="none"/>
          <w:lang w:val="en-US" w:eastAsia="zh-CN"/>
        </w:rPr>
        <w:t>方案</w:t>
      </w:r>
    </w:p>
    <w:bookmarkEnd w:id="827"/>
    <w:bookmarkEnd w:id="828"/>
    <w:p w14:paraId="59005436">
      <w:pPr>
        <w:tabs>
          <w:tab w:val="left" w:pos="8280"/>
        </w:tabs>
        <w:spacing w:line="480" w:lineRule="exact"/>
        <w:ind w:right="6"/>
        <w:rPr>
          <w:rFonts w:ascii="宋体" w:hAnsi="宋体"/>
          <w:b/>
          <w:sz w:val="32"/>
          <w:szCs w:val="32"/>
          <w:highlight w:val="none"/>
        </w:rPr>
      </w:pPr>
    </w:p>
    <w:p w14:paraId="1F22634D">
      <w:pPr>
        <w:rPr>
          <w:rFonts w:hint="eastAsia" w:ascii="宋体" w:hAnsi="宋体"/>
          <w:b/>
          <w:sz w:val="32"/>
          <w:szCs w:val="32"/>
          <w:highlight w:val="none"/>
        </w:rPr>
      </w:pPr>
      <w:r>
        <w:rPr>
          <w:rFonts w:hint="eastAsia" w:ascii="宋体" w:hAnsi="宋体"/>
          <w:b/>
          <w:sz w:val="32"/>
          <w:szCs w:val="32"/>
          <w:highlight w:val="none"/>
        </w:rPr>
        <w:br w:type="page"/>
      </w:r>
    </w:p>
    <w:p w14:paraId="430DEEA6">
      <w:pPr>
        <w:jc w:val="center"/>
        <w:outlineLvl w:val="9"/>
        <w:rPr>
          <w:rFonts w:hint="eastAsia" w:ascii="宋体" w:hAnsi="宋体" w:cs="宋体"/>
          <w:b/>
          <w:kern w:val="44"/>
          <w:sz w:val="44"/>
          <w:szCs w:val="44"/>
          <w:highlight w:val="none"/>
        </w:rPr>
      </w:pPr>
    </w:p>
    <w:p w14:paraId="470C8E5F">
      <w:pPr>
        <w:jc w:val="center"/>
        <w:outlineLvl w:val="9"/>
        <w:rPr>
          <w:rFonts w:ascii="宋体" w:hAnsi="宋体" w:cs="宋体"/>
          <w:b/>
          <w:kern w:val="44"/>
          <w:sz w:val="32"/>
          <w:szCs w:val="32"/>
          <w:highlight w:val="none"/>
        </w:rPr>
      </w:pPr>
      <w:r>
        <w:rPr>
          <w:rFonts w:hint="eastAsia" w:ascii="宋体" w:hAnsi="宋体" w:cs="宋体"/>
          <w:b/>
          <w:kern w:val="44"/>
          <w:sz w:val="44"/>
          <w:szCs w:val="44"/>
          <w:highlight w:val="none"/>
        </w:rPr>
        <w:t>十</w:t>
      </w:r>
      <w:r>
        <w:rPr>
          <w:rFonts w:hint="eastAsia" w:ascii="宋体" w:hAnsi="宋体" w:cs="宋体"/>
          <w:b/>
          <w:kern w:val="44"/>
          <w:sz w:val="44"/>
          <w:szCs w:val="44"/>
          <w:highlight w:val="none"/>
          <w:lang w:val="en-US" w:eastAsia="zh-CN"/>
        </w:rPr>
        <w:t>四</w:t>
      </w:r>
      <w:r>
        <w:rPr>
          <w:rFonts w:hint="eastAsia" w:ascii="宋体" w:hAnsi="宋体" w:cs="宋体"/>
          <w:b/>
          <w:kern w:val="44"/>
          <w:sz w:val="44"/>
          <w:szCs w:val="44"/>
          <w:highlight w:val="none"/>
        </w:rPr>
        <w:t xml:space="preserve">  </w:t>
      </w:r>
      <w:r>
        <w:rPr>
          <w:rFonts w:hint="eastAsia" w:ascii="宋体" w:hAnsi="宋体"/>
          <w:b/>
          <w:kern w:val="44"/>
          <w:sz w:val="44"/>
          <w:szCs w:val="44"/>
          <w:highlight w:val="none"/>
        </w:rPr>
        <w:t>相关证明材料</w:t>
      </w:r>
    </w:p>
    <w:p w14:paraId="5FE15F93">
      <w:pPr>
        <w:widowControl/>
        <w:snapToGrid w:val="0"/>
        <w:spacing w:line="480" w:lineRule="exact"/>
        <w:ind w:left="420" w:leftChars="200" w:firstLine="160" w:firstLineChars="50"/>
        <w:jc w:val="left"/>
        <w:rPr>
          <w:rFonts w:ascii="宋体" w:hAnsi="宋体"/>
          <w:sz w:val="32"/>
          <w:szCs w:val="32"/>
          <w:highlight w:val="none"/>
        </w:rPr>
      </w:pPr>
    </w:p>
    <w:p w14:paraId="065BD723">
      <w:pPr>
        <w:widowControl/>
        <w:tabs>
          <w:tab w:val="left" w:pos="1571"/>
        </w:tabs>
        <w:snapToGrid w:val="0"/>
        <w:spacing w:line="480" w:lineRule="exact"/>
        <w:ind w:firstLine="640" w:firstLineChars="200"/>
        <w:jc w:val="left"/>
        <w:rPr>
          <w:rFonts w:ascii="宋体" w:hAnsi="宋体"/>
          <w:color w:val="000000"/>
          <w:kern w:val="0"/>
          <w:sz w:val="32"/>
          <w:szCs w:val="32"/>
          <w:highlight w:val="none"/>
        </w:rPr>
      </w:pPr>
    </w:p>
    <w:p w14:paraId="47B81228">
      <w:pPr>
        <w:spacing w:line="480" w:lineRule="exact"/>
        <w:ind w:firstLine="640" w:firstLineChars="200"/>
        <w:rPr>
          <w:rFonts w:ascii="宋体" w:hAnsi="宋体"/>
          <w:sz w:val="32"/>
          <w:szCs w:val="32"/>
          <w:highlight w:val="none"/>
        </w:rPr>
      </w:pPr>
      <w:r>
        <w:rPr>
          <w:rFonts w:hint="eastAsia" w:ascii="宋体" w:hAnsi="宋体"/>
          <w:sz w:val="32"/>
          <w:szCs w:val="32"/>
          <w:highlight w:val="none"/>
        </w:rPr>
        <w:t>1、供应商结合项目要求和自身情况提供相关证明材料。</w:t>
      </w:r>
    </w:p>
    <w:p w14:paraId="2ABE4E11">
      <w:pPr>
        <w:spacing w:line="480" w:lineRule="exact"/>
        <w:ind w:firstLine="640" w:firstLineChars="200"/>
        <w:rPr>
          <w:rFonts w:ascii="宋体" w:hAnsi="宋体"/>
          <w:sz w:val="32"/>
          <w:szCs w:val="32"/>
          <w:highlight w:val="none"/>
        </w:rPr>
      </w:pPr>
    </w:p>
    <w:p w14:paraId="7F50C2D8">
      <w:pPr>
        <w:spacing w:line="480" w:lineRule="exact"/>
        <w:ind w:firstLine="640" w:firstLineChars="200"/>
        <w:rPr>
          <w:rFonts w:ascii="宋体" w:hAnsi="宋体"/>
          <w:sz w:val="32"/>
          <w:szCs w:val="32"/>
          <w:highlight w:val="none"/>
        </w:rPr>
      </w:pPr>
      <w:r>
        <w:rPr>
          <w:rFonts w:hint="eastAsia" w:ascii="宋体" w:hAnsi="宋体"/>
          <w:sz w:val="32"/>
          <w:szCs w:val="32"/>
          <w:highlight w:val="none"/>
        </w:rPr>
        <w:t>2、中小微企业相关材料（格式见附件）：</w:t>
      </w:r>
    </w:p>
    <w:p w14:paraId="463EFAC6">
      <w:pPr>
        <w:spacing w:line="480" w:lineRule="exact"/>
        <w:ind w:firstLine="640" w:firstLineChars="200"/>
        <w:rPr>
          <w:rFonts w:ascii="宋体" w:hAnsi="宋体"/>
          <w:sz w:val="32"/>
          <w:szCs w:val="32"/>
          <w:highlight w:val="none"/>
        </w:rPr>
      </w:pPr>
      <w:r>
        <w:rPr>
          <w:rFonts w:hint="eastAsia" w:ascii="宋体" w:hAnsi="宋体"/>
          <w:sz w:val="32"/>
          <w:szCs w:val="32"/>
          <w:highlight w:val="none"/>
        </w:rPr>
        <w:t>只面向中小微企业采购项目。中型、小型、微型企业须在“三　供应商基本情况和资格证明材料”处按要求提供《中小企业声明函》，作为资格审查内容。</w:t>
      </w:r>
    </w:p>
    <w:p w14:paraId="446AC3C0">
      <w:pPr>
        <w:spacing w:line="480" w:lineRule="exact"/>
        <w:ind w:firstLine="640" w:firstLineChars="200"/>
        <w:rPr>
          <w:rFonts w:ascii="宋体" w:hAnsi="宋体"/>
          <w:sz w:val="32"/>
          <w:szCs w:val="32"/>
          <w:highlight w:val="none"/>
        </w:rPr>
      </w:pPr>
      <w:r>
        <w:rPr>
          <w:rFonts w:hint="eastAsia" w:ascii="宋体" w:hAnsi="宋体"/>
          <w:sz w:val="32"/>
          <w:szCs w:val="32"/>
          <w:highlight w:val="none"/>
        </w:rPr>
        <w:t>非专门面向中小微企业采购项目。小型、微型企业按要求提供《中小企业声明函》的，符合要求者在评标时给予价格扣除。</w:t>
      </w:r>
    </w:p>
    <w:p w14:paraId="6B61EE93">
      <w:pPr>
        <w:spacing w:line="480" w:lineRule="exact"/>
        <w:ind w:firstLine="640" w:firstLineChars="200"/>
        <w:rPr>
          <w:rFonts w:hint="eastAsia" w:ascii="宋体" w:hAnsi="宋体"/>
          <w:sz w:val="32"/>
          <w:szCs w:val="32"/>
          <w:highlight w:val="none"/>
        </w:rPr>
      </w:pPr>
      <w:r>
        <w:rPr>
          <w:rFonts w:hint="eastAsia" w:ascii="宋体" w:hAnsi="宋体"/>
          <w:sz w:val="32"/>
          <w:szCs w:val="32"/>
          <w:highlight w:val="none"/>
        </w:rPr>
        <w:t>监狱企业、残疾人福利性单位提供符合要求的《监狱企业证明文件》或《残疾人福利性单位声明函》，视同小型、微型企业。多重身份者不重复计算。</w:t>
      </w:r>
    </w:p>
    <w:p w14:paraId="46D5BAF0">
      <w:pPr>
        <w:spacing w:line="480" w:lineRule="exact"/>
        <w:ind w:firstLine="640" w:firstLineChars="200"/>
        <w:rPr>
          <w:rFonts w:hint="eastAsia" w:ascii="宋体" w:hAnsi="宋体"/>
          <w:sz w:val="32"/>
          <w:szCs w:val="32"/>
          <w:highlight w:val="none"/>
        </w:rPr>
      </w:pPr>
    </w:p>
    <w:p w14:paraId="03BC9DF5">
      <w:pPr>
        <w:spacing w:line="480" w:lineRule="exact"/>
        <w:rPr>
          <w:rFonts w:hint="eastAsia" w:ascii="宋体" w:hAnsi="宋体" w:eastAsia="宋体"/>
          <w:sz w:val="32"/>
          <w:szCs w:val="32"/>
          <w:highlight w:val="none"/>
          <w:lang w:val="en-US" w:eastAsia="zh-CN"/>
        </w:rPr>
      </w:pPr>
    </w:p>
    <w:p w14:paraId="27283DAA">
      <w:pPr>
        <w:spacing w:before="120" w:beforeLines="50" w:after="120" w:afterLines="50"/>
        <w:ind w:firstLine="630" w:firstLineChars="196"/>
        <w:outlineLvl w:val="9"/>
        <w:rPr>
          <w:rFonts w:ascii="宋体" w:hAnsi="宋体"/>
          <w:b/>
          <w:kern w:val="44"/>
          <w:sz w:val="32"/>
          <w:szCs w:val="32"/>
          <w:highlight w:val="none"/>
        </w:rPr>
      </w:pPr>
      <w:r>
        <w:rPr>
          <w:rFonts w:hint="eastAsia"/>
          <w:b/>
          <w:kern w:val="44"/>
          <w:sz w:val="32"/>
          <w:szCs w:val="32"/>
          <w:highlight w:val="none"/>
        </w:rPr>
        <w:br w:type="page"/>
      </w:r>
      <w:r>
        <w:rPr>
          <w:rFonts w:hint="eastAsia" w:ascii="宋体" w:hAnsi="宋体"/>
          <w:b/>
          <w:kern w:val="44"/>
          <w:sz w:val="32"/>
          <w:szCs w:val="32"/>
          <w:highlight w:val="none"/>
        </w:rPr>
        <w:t>附件1</w:t>
      </w:r>
      <w:r>
        <w:rPr>
          <w:rFonts w:hint="eastAsia" w:ascii="宋体" w:hAnsi="宋体"/>
          <w:b/>
          <w:sz w:val="28"/>
          <w:szCs w:val="28"/>
          <w:highlight w:val="none"/>
        </w:rPr>
        <w:t>（符合政策要求，并申请按小型微型企业投标者提供）</w:t>
      </w:r>
      <w:r>
        <w:rPr>
          <w:rFonts w:hint="eastAsia" w:ascii="宋体" w:hAnsi="宋体"/>
          <w:b/>
          <w:kern w:val="44"/>
          <w:sz w:val="28"/>
          <w:szCs w:val="28"/>
          <w:highlight w:val="none"/>
        </w:rPr>
        <w:t>：</w:t>
      </w:r>
    </w:p>
    <w:p w14:paraId="3694F74E">
      <w:pPr>
        <w:pStyle w:val="2"/>
        <w:spacing w:after="340" w:line="360" w:lineRule="auto"/>
        <w:jc w:val="center"/>
        <w:outlineLvl w:val="9"/>
        <w:rPr>
          <w:rFonts w:ascii="宋体" w:hAnsi="宋体"/>
          <w:bCs w:val="0"/>
          <w:kern w:val="2"/>
          <w:sz w:val="36"/>
          <w:szCs w:val="36"/>
          <w:highlight w:val="none"/>
        </w:rPr>
      </w:pPr>
      <w:bookmarkStart w:id="829" w:name="_Toc28255"/>
      <w:bookmarkStart w:id="830" w:name="_Toc16214"/>
      <w:bookmarkStart w:id="831" w:name="_Toc10609"/>
      <w:r>
        <w:rPr>
          <w:rFonts w:hint="eastAsia" w:ascii="宋体" w:hAnsi="宋体"/>
          <w:bCs w:val="0"/>
          <w:kern w:val="2"/>
          <w:sz w:val="36"/>
          <w:szCs w:val="36"/>
          <w:highlight w:val="none"/>
        </w:rPr>
        <w:t>中小企业声明函（工程、服务）</w:t>
      </w:r>
      <w:bookmarkEnd w:id="829"/>
      <w:bookmarkEnd w:id="830"/>
      <w:bookmarkEnd w:id="831"/>
    </w:p>
    <w:p w14:paraId="35CC2505">
      <w:pPr>
        <w:spacing w:before="120" w:beforeLines="50" w:after="120" w:afterLines="50" w:line="440" w:lineRule="exact"/>
        <w:ind w:firstLine="600" w:firstLineChars="200"/>
        <w:jc w:val="left"/>
        <w:rPr>
          <w:rFonts w:ascii="宋体" w:hAnsi="宋体"/>
          <w:sz w:val="30"/>
          <w:szCs w:val="30"/>
          <w:highlight w:val="none"/>
        </w:rPr>
      </w:pPr>
      <w:r>
        <w:rPr>
          <w:rFonts w:hint="eastAsia" w:ascii="宋体" w:hAnsi="宋体"/>
          <w:sz w:val="30"/>
          <w:szCs w:val="30"/>
          <w:highlight w:val="none"/>
        </w:rPr>
        <w:t>本公司（联合体）郑重声明，根据《政府采购促进中小企业发展管理办法》（财库﹝2020﹞46 号）的规定，本公司（联合体）参加</w:t>
      </w:r>
      <w:r>
        <w:rPr>
          <w:rFonts w:hint="eastAsia" w:ascii="宋体" w:hAnsi="宋体"/>
          <w:i/>
          <w:iCs/>
          <w:sz w:val="30"/>
          <w:szCs w:val="30"/>
          <w:highlight w:val="none"/>
          <w:u w:val="single"/>
        </w:rPr>
        <w:t>（单位名称）</w:t>
      </w:r>
      <w:r>
        <w:rPr>
          <w:rFonts w:hint="eastAsia" w:ascii="宋体" w:hAnsi="宋体"/>
          <w:sz w:val="30"/>
          <w:szCs w:val="30"/>
          <w:highlight w:val="none"/>
        </w:rPr>
        <w:t>的</w:t>
      </w:r>
      <w:r>
        <w:rPr>
          <w:rFonts w:hint="eastAsia" w:ascii="宋体" w:hAnsi="宋体"/>
          <w:i/>
          <w:iCs/>
          <w:sz w:val="30"/>
          <w:szCs w:val="30"/>
          <w:highlight w:val="none"/>
          <w:u w:val="single"/>
        </w:rPr>
        <w:t>（项目名称）</w:t>
      </w:r>
      <w:r>
        <w:rPr>
          <w:rFonts w:hint="eastAsia" w:ascii="宋体" w:hAnsi="宋体"/>
          <w:sz w:val="30"/>
          <w:szCs w:val="30"/>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6D5AF895">
      <w:pPr>
        <w:spacing w:before="120" w:beforeLines="50" w:after="120" w:afterLines="50" w:line="440" w:lineRule="exact"/>
        <w:ind w:firstLine="600" w:firstLineChars="200"/>
        <w:jc w:val="left"/>
        <w:rPr>
          <w:rFonts w:ascii="宋体" w:hAnsi="宋体"/>
          <w:sz w:val="30"/>
          <w:szCs w:val="30"/>
          <w:highlight w:val="none"/>
        </w:rPr>
      </w:pPr>
      <w:r>
        <w:rPr>
          <w:rFonts w:hint="eastAsia" w:ascii="宋体" w:hAnsi="宋体"/>
          <w:i w:val="0"/>
          <w:iCs w:val="0"/>
          <w:sz w:val="30"/>
          <w:szCs w:val="30"/>
          <w:highlight w:val="none"/>
          <w:u w:val="none"/>
          <w:lang w:val="en-US" w:eastAsia="zh-CN"/>
        </w:rPr>
        <w:t>1.</w:t>
      </w:r>
      <w:r>
        <w:rPr>
          <w:rFonts w:hint="eastAsia" w:ascii="宋体" w:hAnsi="宋体"/>
          <w:i/>
          <w:iCs/>
          <w:sz w:val="30"/>
          <w:szCs w:val="30"/>
          <w:highlight w:val="none"/>
          <w:u w:val="single"/>
        </w:rPr>
        <w:t xml:space="preserve">    （标的名称）</w:t>
      </w:r>
      <w:r>
        <w:rPr>
          <w:rFonts w:hint="eastAsia" w:ascii="宋体" w:hAnsi="宋体"/>
          <w:sz w:val="30"/>
          <w:szCs w:val="30"/>
          <w:highlight w:val="none"/>
        </w:rPr>
        <w:t>，</w:t>
      </w:r>
      <w:r>
        <w:rPr>
          <w:rFonts w:hint="eastAsia" w:ascii="宋体" w:hAnsi="宋体" w:eastAsia="Calibri"/>
          <w:sz w:val="30"/>
          <w:szCs w:val="30"/>
          <w:highlight w:val="none"/>
        </w:rPr>
        <w:t>属于</w:t>
      </w:r>
      <w:r>
        <w:rPr>
          <w:rFonts w:hint="eastAsia" w:ascii="宋体" w:hAnsi="宋体"/>
          <w:sz w:val="30"/>
          <w:szCs w:val="30"/>
          <w:highlight w:val="none"/>
          <w:u w:val="single"/>
        </w:rPr>
        <w:t xml:space="preserve">              </w:t>
      </w:r>
      <w:r>
        <w:rPr>
          <w:rFonts w:hint="eastAsia" w:ascii="宋体" w:hAnsi="宋体" w:eastAsia="Calibri"/>
          <w:sz w:val="30"/>
          <w:szCs w:val="30"/>
          <w:highlight w:val="none"/>
        </w:rPr>
        <w:t>行业</w:t>
      </w:r>
      <w:r>
        <w:rPr>
          <w:rFonts w:hint="eastAsia" w:ascii="宋体" w:hAnsi="宋体"/>
          <w:sz w:val="30"/>
          <w:szCs w:val="30"/>
          <w:highlight w:val="none"/>
        </w:rPr>
        <w:t>；承建（承接）企业为</w:t>
      </w:r>
      <w:r>
        <w:rPr>
          <w:rFonts w:hint="eastAsia" w:ascii="宋体" w:hAnsi="宋体"/>
          <w:i/>
          <w:iCs/>
          <w:sz w:val="30"/>
          <w:szCs w:val="30"/>
          <w:highlight w:val="none"/>
          <w:u w:val="single"/>
        </w:rPr>
        <w:t>（企业名称）</w:t>
      </w:r>
      <w:r>
        <w:rPr>
          <w:rFonts w:hint="eastAsia" w:ascii="宋体" w:hAnsi="宋体"/>
          <w:sz w:val="30"/>
          <w:szCs w:val="30"/>
          <w:highlight w:val="none"/>
        </w:rPr>
        <w:t>，从业人员</w:t>
      </w:r>
      <w:r>
        <w:rPr>
          <w:rFonts w:hint="eastAsia" w:ascii="宋体" w:hAnsi="宋体"/>
          <w:sz w:val="30"/>
          <w:szCs w:val="30"/>
          <w:highlight w:val="none"/>
          <w:u w:val="single"/>
        </w:rPr>
        <w:t xml:space="preserve"> </w:t>
      </w:r>
      <w:r>
        <w:rPr>
          <w:rFonts w:hint="eastAsia" w:ascii="宋体" w:hAnsi="宋体"/>
          <w:sz w:val="30"/>
          <w:szCs w:val="30"/>
          <w:highlight w:val="none"/>
          <w:u w:val="single"/>
        </w:rPr>
        <w:tab/>
      </w:r>
      <w:r>
        <w:rPr>
          <w:rFonts w:hint="eastAsia" w:ascii="宋体" w:hAnsi="宋体"/>
          <w:sz w:val="30"/>
          <w:szCs w:val="30"/>
          <w:highlight w:val="none"/>
        </w:rPr>
        <w:t>人，营业收入为</w:t>
      </w:r>
      <w:r>
        <w:rPr>
          <w:rFonts w:hint="eastAsia" w:ascii="宋体" w:hAnsi="宋体"/>
          <w:sz w:val="30"/>
          <w:szCs w:val="30"/>
          <w:highlight w:val="none"/>
          <w:u w:val="single"/>
        </w:rPr>
        <w:t xml:space="preserve"> </w:t>
      </w:r>
      <w:r>
        <w:rPr>
          <w:rFonts w:hint="eastAsia" w:ascii="宋体" w:hAnsi="宋体"/>
          <w:sz w:val="30"/>
          <w:szCs w:val="30"/>
          <w:highlight w:val="none"/>
          <w:u w:val="single"/>
        </w:rPr>
        <w:tab/>
      </w:r>
      <w:r>
        <w:rPr>
          <w:rFonts w:hint="eastAsia" w:ascii="宋体" w:hAnsi="宋体"/>
          <w:sz w:val="30"/>
          <w:szCs w:val="30"/>
          <w:highlight w:val="none"/>
        </w:rPr>
        <w:t>万元，资产总额为</w:t>
      </w:r>
      <w:r>
        <w:rPr>
          <w:rFonts w:hint="eastAsia" w:ascii="宋体" w:hAnsi="宋体"/>
          <w:sz w:val="30"/>
          <w:szCs w:val="30"/>
          <w:highlight w:val="none"/>
          <w:u w:val="single"/>
        </w:rPr>
        <w:t xml:space="preserve"> </w:t>
      </w:r>
      <w:r>
        <w:rPr>
          <w:rFonts w:hint="eastAsia" w:ascii="宋体" w:hAnsi="宋体"/>
          <w:sz w:val="30"/>
          <w:szCs w:val="30"/>
          <w:highlight w:val="none"/>
          <w:u w:val="single"/>
        </w:rPr>
        <w:tab/>
      </w:r>
      <w:r>
        <w:rPr>
          <w:rFonts w:hint="eastAsia" w:ascii="宋体" w:hAnsi="宋体"/>
          <w:sz w:val="30"/>
          <w:szCs w:val="30"/>
          <w:highlight w:val="none"/>
        </w:rPr>
        <w:t>万元，属于</w:t>
      </w:r>
      <w:r>
        <w:rPr>
          <w:rFonts w:hint="eastAsia" w:ascii="宋体" w:hAnsi="宋体"/>
          <w:sz w:val="30"/>
          <w:szCs w:val="30"/>
          <w:highlight w:val="none"/>
          <w:u w:val="single"/>
        </w:rPr>
        <w:t xml:space="preserve">         </w:t>
      </w:r>
      <w:r>
        <w:rPr>
          <w:rFonts w:hint="eastAsia" w:ascii="宋体" w:hAnsi="宋体"/>
          <w:i/>
          <w:iCs/>
          <w:sz w:val="30"/>
          <w:szCs w:val="30"/>
          <w:highlight w:val="none"/>
          <w:u w:val="single"/>
        </w:rPr>
        <w:t>（中型企业、小型企业、微型企业）</w:t>
      </w:r>
      <w:r>
        <w:rPr>
          <w:rFonts w:hint="eastAsia" w:ascii="宋体" w:hAnsi="宋体"/>
          <w:sz w:val="30"/>
          <w:szCs w:val="30"/>
          <w:highlight w:val="none"/>
        </w:rPr>
        <w:t>；</w:t>
      </w:r>
    </w:p>
    <w:p w14:paraId="0322FEC5">
      <w:pPr>
        <w:spacing w:before="120" w:beforeLines="50" w:after="120" w:afterLines="50" w:line="440" w:lineRule="exact"/>
        <w:ind w:firstLine="600" w:firstLineChars="200"/>
        <w:jc w:val="left"/>
        <w:rPr>
          <w:rFonts w:ascii="宋体" w:hAnsi="宋体"/>
          <w:sz w:val="30"/>
          <w:szCs w:val="30"/>
          <w:highlight w:val="none"/>
        </w:rPr>
      </w:pPr>
      <w:r>
        <w:rPr>
          <w:rFonts w:hint="eastAsia" w:ascii="宋体" w:hAnsi="宋体"/>
          <w:i w:val="0"/>
          <w:iCs w:val="0"/>
          <w:sz w:val="30"/>
          <w:szCs w:val="30"/>
          <w:highlight w:val="none"/>
          <w:u w:val="none"/>
          <w:lang w:val="en-US" w:eastAsia="zh-CN"/>
        </w:rPr>
        <w:t>2.</w:t>
      </w:r>
      <w:r>
        <w:rPr>
          <w:rFonts w:hint="eastAsia" w:ascii="宋体" w:hAnsi="宋体"/>
          <w:i/>
          <w:iCs/>
          <w:sz w:val="30"/>
          <w:szCs w:val="30"/>
          <w:highlight w:val="none"/>
          <w:u w:val="single"/>
        </w:rPr>
        <w:t xml:space="preserve">    （标的名称）</w:t>
      </w:r>
      <w:r>
        <w:rPr>
          <w:rFonts w:hint="eastAsia" w:ascii="宋体" w:hAnsi="宋体"/>
          <w:sz w:val="30"/>
          <w:szCs w:val="30"/>
          <w:highlight w:val="none"/>
        </w:rPr>
        <w:t>，</w:t>
      </w:r>
      <w:r>
        <w:rPr>
          <w:rFonts w:hint="eastAsia" w:ascii="宋体" w:hAnsi="宋体" w:eastAsia="Calibri"/>
          <w:sz w:val="30"/>
          <w:szCs w:val="30"/>
          <w:highlight w:val="none"/>
        </w:rPr>
        <w:t>属于</w:t>
      </w:r>
      <w:r>
        <w:rPr>
          <w:rFonts w:hint="eastAsia" w:ascii="宋体" w:hAnsi="宋体"/>
          <w:sz w:val="30"/>
          <w:szCs w:val="30"/>
          <w:highlight w:val="none"/>
          <w:u w:val="single"/>
        </w:rPr>
        <w:t xml:space="preserve">              </w:t>
      </w:r>
      <w:r>
        <w:rPr>
          <w:rFonts w:hint="eastAsia" w:ascii="宋体" w:hAnsi="宋体" w:eastAsia="Calibri"/>
          <w:sz w:val="30"/>
          <w:szCs w:val="30"/>
          <w:highlight w:val="none"/>
        </w:rPr>
        <w:t>行业</w:t>
      </w:r>
      <w:r>
        <w:rPr>
          <w:rFonts w:hint="eastAsia" w:ascii="宋体" w:hAnsi="宋体"/>
          <w:sz w:val="30"/>
          <w:szCs w:val="30"/>
          <w:highlight w:val="none"/>
        </w:rPr>
        <w:t>；承建（承接）企业为</w:t>
      </w:r>
      <w:r>
        <w:rPr>
          <w:rFonts w:hint="eastAsia" w:ascii="宋体" w:hAnsi="宋体"/>
          <w:i/>
          <w:iCs/>
          <w:sz w:val="30"/>
          <w:szCs w:val="30"/>
          <w:highlight w:val="none"/>
          <w:u w:val="single"/>
        </w:rPr>
        <w:t>（企业名称）</w:t>
      </w:r>
      <w:r>
        <w:rPr>
          <w:rFonts w:hint="eastAsia" w:ascii="宋体" w:hAnsi="宋体"/>
          <w:sz w:val="30"/>
          <w:szCs w:val="30"/>
          <w:highlight w:val="none"/>
        </w:rPr>
        <w:t>，从业人员</w:t>
      </w:r>
      <w:r>
        <w:rPr>
          <w:rFonts w:hint="eastAsia" w:ascii="宋体" w:hAnsi="宋体"/>
          <w:sz w:val="30"/>
          <w:szCs w:val="30"/>
          <w:highlight w:val="none"/>
          <w:u w:val="single"/>
        </w:rPr>
        <w:t xml:space="preserve"> </w:t>
      </w:r>
      <w:r>
        <w:rPr>
          <w:rFonts w:hint="eastAsia" w:ascii="宋体" w:hAnsi="宋体"/>
          <w:sz w:val="30"/>
          <w:szCs w:val="30"/>
          <w:highlight w:val="none"/>
          <w:u w:val="single"/>
        </w:rPr>
        <w:tab/>
      </w:r>
      <w:r>
        <w:rPr>
          <w:rFonts w:hint="eastAsia" w:ascii="宋体" w:hAnsi="宋体"/>
          <w:sz w:val="30"/>
          <w:szCs w:val="30"/>
          <w:highlight w:val="none"/>
        </w:rPr>
        <w:t>人，营业收入为</w:t>
      </w:r>
      <w:r>
        <w:rPr>
          <w:rFonts w:hint="eastAsia" w:ascii="宋体" w:hAnsi="宋体"/>
          <w:sz w:val="30"/>
          <w:szCs w:val="30"/>
          <w:highlight w:val="none"/>
          <w:u w:val="single"/>
        </w:rPr>
        <w:t xml:space="preserve"> </w:t>
      </w:r>
      <w:r>
        <w:rPr>
          <w:rFonts w:hint="eastAsia" w:ascii="宋体" w:hAnsi="宋体"/>
          <w:sz w:val="30"/>
          <w:szCs w:val="30"/>
          <w:highlight w:val="none"/>
          <w:u w:val="single"/>
        </w:rPr>
        <w:tab/>
      </w:r>
      <w:r>
        <w:rPr>
          <w:rFonts w:hint="eastAsia" w:ascii="宋体" w:hAnsi="宋体"/>
          <w:sz w:val="30"/>
          <w:szCs w:val="30"/>
          <w:highlight w:val="none"/>
        </w:rPr>
        <w:t>万元，资产总额为</w:t>
      </w:r>
      <w:r>
        <w:rPr>
          <w:rFonts w:hint="eastAsia" w:ascii="宋体" w:hAnsi="宋体"/>
          <w:sz w:val="30"/>
          <w:szCs w:val="30"/>
          <w:highlight w:val="none"/>
          <w:u w:val="single"/>
        </w:rPr>
        <w:t xml:space="preserve"> </w:t>
      </w:r>
      <w:r>
        <w:rPr>
          <w:rFonts w:hint="eastAsia" w:ascii="宋体" w:hAnsi="宋体"/>
          <w:sz w:val="30"/>
          <w:szCs w:val="30"/>
          <w:highlight w:val="none"/>
          <w:u w:val="single"/>
          <w:lang w:val="en-US" w:eastAsia="zh-CN"/>
        </w:rPr>
        <w:t xml:space="preserve"> </w:t>
      </w:r>
      <w:r>
        <w:rPr>
          <w:rFonts w:hint="eastAsia" w:ascii="宋体" w:hAnsi="宋体"/>
          <w:sz w:val="30"/>
          <w:szCs w:val="30"/>
          <w:highlight w:val="none"/>
          <w:u w:val="single"/>
        </w:rPr>
        <w:tab/>
      </w:r>
      <w:r>
        <w:rPr>
          <w:rFonts w:hint="eastAsia" w:ascii="宋体" w:hAnsi="宋体"/>
          <w:sz w:val="30"/>
          <w:szCs w:val="30"/>
          <w:highlight w:val="none"/>
        </w:rPr>
        <w:t>万元，属于</w:t>
      </w:r>
      <w:r>
        <w:rPr>
          <w:rFonts w:hint="eastAsia" w:ascii="宋体" w:hAnsi="宋体"/>
          <w:sz w:val="30"/>
          <w:szCs w:val="30"/>
          <w:highlight w:val="none"/>
          <w:u w:val="single"/>
        </w:rPr>
        <w:t xml:space="preserve">         </w:t>
      </w:r>
      <w:r>
        <w:rPr>
          <w:rFonts w:hint="eastAsia" w:ascii="宋体" w:hAnsi="宋体"/>
          <w:i/>
          <w:iCs/>
          <w:sz w:val="30"/>
          <w:szCs w:val="30"/>
          <w:highlight w:val="none"/>
          <w:u w:val="single"/>
        </w:rPr>
        <w:t>（中型企业、小型企业、微型企业）</w:t>
      </w:r>
      <w:r>
        <w:rPr>
          <w:rFonts w:hint="eastAsia" w:ascii="宋体" w:hAnsi="宋体"/>
          <w:sz w:val="30"/>
          <w:szCs w:val="30"/>
          <w:highlight w:val="none"/>
        </w:rPr>
        <w:t>；</w:t>
      </w:r>
    </w:p>
    <w:p w14:paraId="3E2F65B9">
      <w:pPr>
        <w:spacing w:before="120" w:beforeLines="50" w:after="120" w:afterLines="50" w:line="440" w:lineRule="exact"/>
        <w:ind w:firstLine="600" w:firstLineChars="200"/>
        <w:jc w:val="left"/>
        <w:rPr>
          <w:rFonts w:ascii="宋体" w:hAnsi="宋体"/>
          <w:sz w:val="30"/>
          <w:szCs w:val="30"/>
          <w:highlight w:val="none"/>
        </w:rPr>
      </w:pPr>
    </w:p>
    <w:p w14:paraId="0CBAD219">
      <w:pPr>
        <w:spacing w:before="120" w:beforeLines="50" w:after="120" w:afterLines="50" w:line="440" w:lineRule="exact"/>
        <w:ind w:firstLine="600" w:firstLineChars="200"/>
        <w:jc w:val="left"/>
        <w:rPr>
          <w:rFonts w:ascii="宋体" w:hAnsi="宋体"/>
          <w:sz w:val="30"/>
          <w:szCs w:val="30"/>
          <w:highlight w:val="none"/>
        </w:rPr>
      </w:pPr>
      <w:r>
        <w:rPr>
          <w:rFonts w:hint="eastAsia" w:ascii="宋体" w:hAnsi="宋体"/>
          <w:sz w:val="30"/>
          <w:szCs w:val="30"/>
          <w:highlight w:val="none"/>
        </w:rPr>
        <w:t>以上企业，不属于大企业的分支机构，不存在控股股东为大企业的情形，也不存在与大企业的负责人为同一人的情形。</w:t>
      </w:r>
    </w:p>
    <w:p w14:paraId="24563889">
      <w:pPr>
        <w:spacing w:before="120" w:beforeLines="50" w:after="120" w:afterLines="50" w:line="440" w:lineRule="exact"/>
        <w:ind w:firstLine="600" w:firstLineChars="200"/>
        <w:jc w:val="left"/>
        <w:rPr>
          <w:rFonts w:ascii="宋体" w:hAnsi="宋体"/>
          <w:sz w:val="30"/>
          <w:szCs w:val="30"/>
          <w:highlight w:val="none"/>
        </w:rPr>
      </w:pPr>
      <w:r>
        <w:rPr>
          <w:rFonts w:hint="eastAsia" w:ascii="宋体" w:hAnsi="宋体"/>
          <w:sz w:val="30"/>
          <w:szCs w:val="30"/>
          <w:highlight w:val="none"/>
        </w:rPr>
        <w:t>本企业对上述声明内容的真实性负责。如有虚假，将依法承担相应责任。</w:t>
      </w:r>
    </w:p>
    <w:p w14:paraId="7982EAEF">
      <w:pPr>
        <w:spacing w:before="120" w:beforeLines="50" w:after="120" w:afterLines="50" w:line="440" w:lineRule="exact"/>
        <w:ind w:right="968" w:rightChars="461" w:firstLine="600" w:firstLineChars="200"/>
        <w:jc w:val="right"/>
        <w:rPr>
          <w:rFonts w:ascii="宋体" w:hAnsi="宋体"/>
          <w:sz w:val="30"/>
          <w:szCs w:val="30"/>
          <w:highlight w:val="none"/>
        </w:rPr>
      </w:pPr>
      <w:r>
        <w:rPr>
          <w:rFonts w:hint="eastAsia" w:ascii="宋体" w:hAnsi="宋体"/>
          <w:sz w:val="30"/>
          <w:szCs w:val="30"/>
          <w:highlight w:val="none"/>
        </w:rPr>
        <w:t>企业名称（盖章）：</w:t>
      </w:r>
    </w:p>
    <w:p w14:paraId="6C4CD4D4">
      <w:pPr>
        <w:spacing w:before="120" w:beforeLines="50" w:after="120" w:afterLines="50" w:line="440" w:lineRule="exact"/>
        <w:ind w:right="968" w:rightChars="461" w:firstLine="600" w:firstLineChars="200"/>
        <w:jc w:val="center"/>
        <w:rPr>
          <w:rFonts w:ascii="宋体" w:hAnsi="宋体"/>
          <w:sz w:val="30"/>
          <w:szCs w:val="30"/>
          <w:highlight w:val="none"/>
        </w:rPr>
      </w:pPr>
      <w:r>
        <w:rPr>
          <w:rFonts w:hint="eastAsia" w:ascii="宋体" w:hAnsi="宋体"/>
          <w:sz w:val="30"/>
          <w:szCs w:val="30"/>
          <w:highlight w:val="none"/>
        </w:rPr>
        <w:t xml:space="preserve">                   日期：</w:t>
      </w:r>
    </w:p>
    <w:p w14:paraId="56F247B5">
      <w:pPr>
        <w:pStyle w:val="58"/>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b/>
          <w:sz w:val="24"/>
          <w:highlight w:val="none"/>
        </w:rPr>
      </w:pPr>
      <w:r>
        <w:rPr>
          <w:rFonts w:hint="eastAsia" w:ascii="宋体" w:hAnsi="宋体"/>
          <w:b/>
          <w:sz w:val="24"/>
          <w:highlight w:val="none"/>
        </w:rPr>
        <w:t>注：1、上文中“标的”对应的中小企业划分标准</w:t>
      </w:r>
      <w:r>
        <w:rPr>
          <w:rFonts w:hint="eastAsia" w:ascii="宋体" w:hAnsi="宋体"/>
          <w:b/>
          <w:color w:val="FF0000"/>
          <w:sz w:val="24"/>
          <w:highlight w:val="none"/>
        </w:rPr>
        <w:t>所属行业应填:属于</w:t>
      </w:r>
      <w:r>
        <w:rPr>
          <w:rFonts w:hint="eastAsia" w:hAnsi="宋体"/>
          <w:b/>
          <w:color w:val="FF0000"/>
          <w:sz w:val="24"/>
          <w:highlight w:val="none"/>
          <w:u w:val="single"/>
          <w:lang w:val="en-US" w:eastAsia="zh-CN"/>
        </w:rPr>
        <w:t>软件和信息技术服务业</w:t>
      </w:r>
      <w:r>
        <w:rPr>
          <w:rFonts w:hint="eastAsia" w:ascii="宋体" w:hAnsi="宋体"/>
          <w:b/>
          <w:color w:val="FF0000"/>
          <w:sz w:val="24"/>
          <w:highlight w:val="none"/>
        </w:rPr>
        <w:t>行业</w:t>
      </w:r>
      <w:r>
        <w:rPr>
          <w:rFonts w:hint="eastAsia" w:ascii="宋体" w:hAnsi="宋体"/>
          <w:b/>
          <w:sz w:val="24"/>
          <w:highlight w:val="none"/>
          <w:lang w:val="en-US" w:eastAsia="zh-CN"/>
        </w:rPr>
        <w:t>，供应商按照该行业对照《关于印发中小企业划型标准规定的通知》（工信部联企业〔2011〕300号）</w:t>
      </w:r>
      <w:r>
        <w:rPr>
          <w:rFonts w:hint="eastAsia" w:ascii="宋体" w:hAnsi="宋体"/>
          <w:b/>
          <w:sz w:val="24"/>
          <w:highlight w:val="none"/>
        </w:rPr>
        <w:t>判定标的承接企业是否属于中小微企业</w:t>
      </w:r>
      <w:r>
        <w:rPr>
          <w:rFonts w:hint="eastAsia" w:hAnsi="宋体"/>
          <w:b/>
          <w:sz w:val="24"/>
          <w:highlight w:val="none"/>
          <w:lang w:eastAsia="zh-CN"/>
        </w:rPr>
        <w:t>，</w:t>
      </w:r>
      <w:r>
        <w:rPr>
          <w:rFonts w:hint="eastAsia" w:hAnsi="宋体"/>
          <w:b/>
          <w:sz w:val="24"/>
          <w:highlight w:val="none"/>
          <w:lang w:val="en-US" w:eastAsia="zh-CN"/>
        </w:rPr>
        <w:t>属于者</w:t>
      </w:r>
      <w:r>
        <w:rPr>
          <w:rFonts w:hint="eastAsia" w:ascii="宋体" w:hAnsi="宋体"/>
          <w:b/>
          <w:sz w:val="24"/>
          <w:highlight w:val="none"/>
        </w:rPr>
        <w:t>在本声明函中写明标的及承接企业情况。</w:t>
      </w:r>
      <w:r>
        <w:rPr>
          <w:rFonts w:hint="eastAsia" w:ascii="宋体" w:hAnsi="宋体"/>
          <w:b/>
          <w:sz w:val="24"/>
          <w:highlight w:val="none"/>
          <w:lang w:val="en-US" w:eastAsia="zh-CN"/>
        </w:rPr>
        <w:t>供应商</w:t>
      </w:r>
      <w:r>
        <w:rPr>
          <w:rFonts w:hint="eastAsia" w:hAnsi="宋体"/>
          <w:b/>
          <w:sz w:val="24"/>
          <w:highlight w:val="none"/>
          <w:lang w:val="en-US" w:eastAsia="zh-CN"/>
        </w:rPr>
        <w:t>对填写的承接企业信息</w:t>
      </w:r>
      <w:r>
        <w:rPr>
          <w:rFonts w:hint="eastAsia" w:ascii="宋体" w:hAnsi="宋体"/>
          <w:b/>
          <w:sz w:val="24"/>
          <w:highlight w:val="none"/>
          <w:lang w:val="en-US" w:eastAsia="zh-CN"/>
        </w:rPr>
        <w:t>真实性承担责任。</w:t>
      </w:r>
    </w:p>
    <w:p w14:paraId="6E821221">
      <w:pPr>
        <w:spacing w:before="120" w:beforeLines="50" w:after="120" w:afterLines="50" w:line="400" w:lineRule="exact"/>
        <w:ind w:right="-92" w:rightChars="-44"/>
        <w:rPr>
          <w:rFonts w:ascii="宋体" w:hAnsi="宋体"/>
          <w:b/>
          <w:sz w:val="24"/>
          <w:highlight w:val="none"/>
        </w:rPr>
      </w:pPr>
      <w:r>
        <w:rPr>
          <w:rFonts w:hint="eastAsia" w:ascii="宋体" w:hAnsi="宋体"/>
          <w:b/>
          <w:sz w:val="24"/>
          <w:highlight w:val="none"/>
        </w:rPr>
        <w:t>2、从业人员、营业收入、资产总额填报上一年度数据，无上一年度数据的新成立企业可不填报。</w:t>
      </w:r>
    </w:p>
    <w:p w14:paraId="136CD13C">
      <w:pPr>
        <w:spacing w:before="120" w:beforeLines="50" w:after="120" w:afterLines="50" w:line="400" w:lineRule="exact"/>
        <w:ind w:right="-92" w:rightChars="-44"/>
        <w:rPr>
          <w:rFonts w:ascii="宋体" w:hAnsi="宋体"/>
          <w:b/>
          <w:sz w:val="24"/>
          <w:highlight w:val="none"/>
        </w:rPr>
      </w:pPr>
      <w:r>
        <w:rPr>
          <w:rFonts w:hint="eastAsia" w:ascii="宋体" w:hAnsi="宋体"/>
          <w:b/>
          <w:sz w:val="24"/>
          <w:highlight w:val="none"/>
        </w:rPr>
        <w:t>3、中标人的本声明函随中标结果同时公布，接受其他供应商和社会监督。</w:t>
      </w:r>
    </w:p>
    <w:p w14:paraId="56273D03">
      <w:pPr>
        <w:spacing w:before="120" w:beforeLines="50" w:after="120" w:afterLines="50" w:line="400" w:lineRule="exact"/>
        <w:ind w:right="-92" w:rightChars="-44"/>
        <w:rPr>
          <w:rFonts w:ascii="宋体" w:hAnsi="宋体"/>
          <w:b/>
          <w:sz w:val="24"/>
          <w:highlight w:val="none"/>
        </w:rPr>
        <w:sectPr>
          <w:footerReference r:id="rId11" w:type="default"/>
          <w:pgSz w:w="11910" w:h="16840"/>
          <w:pgMar w:top="1500" w:right="1380" w:bottom="1780" w:left="1580" w:header="850" w:footer="1595" w:gutter="0"/>
          <w:pgNumType w:fmt="decimal"/>
          <w:cols w:space="720" w:num="1"/>
        </w:sectPr>
      </w:pPr>
    </w:p>
    <w:p w14:paraId="75D51CBD">
      <w:pPr>
        <w:rPr>
          <w:rFonts w:ascii="宋体" w:hAnsi="宋体"/>
          <w:b/>
          <w:kern w:val="44"/>
          <w:sz w:val="32"/>
          <w:szCs w:val="32"/>
          <w:highlight w:val="none"/>
        </w:rPr>
      </w:pPr>
      <w:r>
        <w:rPr>
          <w:rFonts w:hint="eastAsia" w:ascii="宋体" w:hAnsi="宋体"/>
          <w:b/>
          <w:kern w:val="44"/>
          <w:sz w:val="32"/>
          <w:szCs w:val="32"/>
          <w:highlight w:val="none"/>
        </w:rPr>
        <w:t>附件2</w:t>
      </w:r>
      <w:r>
        <w:rPr>
          <w:rFonts w:hint="eastAsia" w:ascii="宋体" w:hAnsi="宋体"/>
          <w:b/>
          <w:sz w:val="28"/>
          <w:szCs w:val="28"/>
          <w:highlight w:val="none"/>
        </w:rPr>
        <w:t>（符合政策要求，并申请按残疾人福利性单位投标者提供）</w:t>
      </w:r>
      <w:r>
        <w:rPr>
          <w:rFonts w:hint="eastAsia" w:ascii="宋体" w:hAnsi="宋体"/>
          <w:b/>
          <w:kern w:val="44"/>
          <w:sz w:val="28"/>
          <w:szCs w:val="28"/>
          <w:highlight w:val="none"/>
        </w:rPr>
        <w:t>：</w:t>
      </w:r>
    </w:p>
    <w:p w14:paraId="28C63A6F">
      <w:pPr>
        <w:spacing w:line="588" w:lineRule="exact"/>
        <w:rPr>
          <w:rFonts w:ascii="宋体" w:hAnsi="宋体"/>
          <w:spacing w:val="6"/>
          <w:sz w:val="30"/>
          <w:szCs w:val="30"/>
          <w:highlight w:val="none"/>
        </w:rPr>
      </w:pPr>
    </w:p>
    <w:p w14:paraId="1164F179">
      <w:pPr>
        <w:spacing w:line="588" w:lineRule="exact"/>
        <w:jc w:val="center"/>
        <w:rPr>
          <w:rFonts w:ascii="宋体" w:hAnsi="宋体"/>
          <w:b/>
          <w:spacing w:val="6"/>
          <w:sz w:val="32"/>
          <w:szCs w:val="32"/>
          <w:highlight w:val="none"/>
        </w:rPr>
      </w:pPr>
      <w:bookmarkStart w:id="832" w:name="OLE_LINK13"/>
      <w:bookmarkStart w:id="833" w:name="OLE_LINK14"/>
      <w:r>
        <w:rPr>
          <w:rFonts w:hint="eastAsia" w:ascii="宋体" w:hAnsi="宋体"/>
          <w:b/>
          <w:spacing w:val="6"/>
          <w:sz w:val="32"/>
          <w:szCs w:val="32"/>
          <w:highlight w:val="none"/>
        </w:rPr>
        <w:t>残疾人福利性单位声明函</w:t>
      </w:r>
      <w:bookmarkEnd w:id="832"/>
      <w:bookmarkEnd w:id="833"/>
    </w:p>
    <w:p w14:paraId="7FC328D6">
      <w:pPr>
        <w:spacing w:line="588" w:lineRule="exact"/>
        <w:ind w:firstLine="624" w:firstLineChars="200"/>
        <w:rPr>
          <w:rFonts w:ascii="宋体" w:hAnsi="宋体"/>
          <w:spacing w:val="6"/>
          <w:sz w:val="30"/>
          <w:szCs w:val="30"/>
          <w:highlight w:val="none"/>
        </w:rPr>
      </w:pPr>
      <w:r>
        <w:rPr>
          <w:rFonts w:hint="eastAsia" w:ascii="宋体" w:hAnsi="宋体"/>
          <w:spacing w:val="6"/>
          <w:sz w:val="30"/>
          <w:szCs w:val="30"/>
          <w:highlight w:val="none"/>
        </w:rPr>
        <w:t>本单位郑重声明，根据《财政部</w:t>
      </w:r>
      <w:r>
        <w:rPr>
          <w:rFonts w:ascii="宋体" w:hAnsi="宋体"/>
          <w:spacing w:val="6"/>
          <w:sz w:val="30"/>
          <w:szCs w:val="30"/>
          <w:highlight w:val="none"/>
        </w:rPr>
        <w:t xml:space="preserve"> </w:t>
      </w:r>
      <w:r>
        <w:rPr>
          <w:rFonts w:hint="eastAsia" w:ascii="宋体" w:hAnsi="宋体"/>
          <w:spacing w:val="6"/>
          <w:sz w:val="30"/>
          <w:szCs w:val="30"/>
          <w:highlight w:val="none"/>
        </w:rPr>
        <w:t>民政部</w:t>
      </w:r>
      <w:r>
        <w:rPr>
          <w:rFonts w:ascii="宋体" w:hAnsi="宋体"/>
          <w:spacing w:val="6"/>
          <w:sz w:val="30"/>
          <w:szCs w:val="30"/>
          <w:highlight w:val="none"/>
        </w:rPr>
        <w:t xml:space="preserve"> </w:t>
      </w:r>
      <w:r>
        <w:rPr>
          <w:rFonts w:hint="eastAsia" w:ascii="宋体" w:hAnsi="宋体"/>
          <w:spacing w:val="6"/>
          <w:sz w:val="30"/>
          <w:szCs w:val="30"/>
          <w:highlight w:val="none"/>
        </w:rPr>
        <w:t>中国残疾人联合会关于促进残疾人就业政府采购政策的通知》（财库</w:t>
      </w:r>
      <w:r>
        <w:rPr>
          <w:rFonts w:hint="eastAsia" w:ascii="宋体" w:hAnsi="宋体"/>
          <w:sz w:val="32"/>
          <w:szCs w:val="32"/>
          <w:highlight w:val="none"/>
        </w:rPr>
        <w:t>〔</w:t>
      </w:r>
      <w:r>
        <w:rPr>
          <w:rFonts w:ascii="宋体" w:hAnsi="宋体"/>
          <w:sz w:val="32"/>
          <w:szCs w:val="32"/>
          <w:highlight w:val="none"/>
        </w:rPr>
        <w:t>2017</w:t>
      </w:r>
      <w:r>
        <w:rPr>
          <w:rFonts w:hint="eastAsia" w:ascii="宋体" w:hAnsi="宋体"/>
          <w:sz w:val="32"/>
          <w:szCs w:val="32"/>
          <w:highlight w:val="none"/>
        </w:rPr>
        <w:t>〕</w:t>
      </w:r>
      <w:r>
        <w:rPr>
          <w:rFonts w:ascii="宋体" w:hAnsi="宋体"/>
          <w:sz w:val="32"/>
          <w:szCs w:val="32"/>
          <w:highlight w:val="none"/>
        </w:rPr>
        <w:t xml:space="preserve"> 141</w:t>
      </w:r>
      <w:r>
        <w:rPr>
          <w:rFonts w:hint="eastAsia" w:ascii="宋体" w:hAnsi="宋体"/>
          <w:spacing w:val="6"/>
          <w:sz w:val="30"/>
          <w:szCs w:val="30"/>
          <w:highlight w:val="none"/>
        </w:rPr>
        <w:t>号）的规定，本单位为符合条件的残疾人福利性单位，且本单位参加</w:t>
      </w:r>
      <w:r>
        <w:rPr>
          <w:rFonts w:hint="eastAsia" w:ascii="宋体" w:hAnsi="宋体"/>
          <w:spacing w:val="6"/>
          <w:sz w:val="30"/>
          <w:szCs w:val="30"/>
          <w:highlight w:val="none"/>
          <w:u w:val="single"/>
        </w:rPr>
        <w:t xml:space="preserve">        </w:t>
      </w:r>
      <w:r>
        <w:rPr>
          <w:rFonts w:hint="eastAsia" w:ascii="宋体" w:hAnsi="宋体"/>
          <w:spacing w:val="6"/>
          <w:sz w:val="30"/>
          <w:szCs w:val="30"/>
          <w:highlight w:val="none"/>
        </w:rPr>
        <w:t>单位的</w:t>
      </w:r>
      <w:r>
        <w:rPr>
          <w:rFonts w:hint="eastAsia" w:ascii="宋体" w:hAnsi="宋体"/>
          <w:spacing w:val="6"/>
          <w:sz w:val="30"/>
          <w:szCs w:val="30"/>
          <w:highlight w:val="none"/>
          <w:u w:val="single"/>
        </w:rPr>
        <w:t xml:space="preserve">        </w:t>
      </w:r>
      <w:r>
        <w:rPr>
          <w:rFonts w:hint="eastAsia" w:ascii="宋体" w:hAnsi="宋体"/>
          <w:spacing w:val="6"/>
          <w:sz w:val="30"/>
          <w:szCs w:val="30"/>
          <w:highlight w:val="none"/>
        </w:rPr>
        <w:t>项目采购活动提供本单位制造的货物（由本单位承担工程</w:t>
      </w:r>
      <w:r>
        <w:rPr>
          <w:rFonts w:ascii="宋体" w:hAnsi="宋体"/>
          <w:spacing w:val="6"/>
          <w:sz w:val="30"/>
          <w:szCs w:val="30"/>
          <w:highlight w:val="none"/>
        </w:rPr>
        <w:t>/</w:t>
      </w:r>
      <w:r>
        <w:rPr>
          <w:rFonts w:hint="eastAsia" w:ascii="宋体" w:hAnsi="宋体"/>
          <w:spacing w:val="6"/>
          <w:sz w:val="30"/>
          <w:szCs w:val="30"/>
          <w:highlight w:val="none"/>
        </w:rPr>
        <w:t>提供服务），或者提供其他残疾人福利性单位制造的货物（不包括使用非残疾人福利性单位注册商标的货物）。</w:t>
      </w:r>
    </w:p>
    <w:p w14:paraId="3188E0EB">
      <w:pPr>
        <w:spacing w:line="588" w:lineRule="exact"/>
        <w:ind w:firstLine="624" w:firstLineChars="200"/>
        <w:rPr>
          <w:rFonts w:ascii="宋体" w:hAnsi="宋体"/>
          <w:spacing w:val="6"/>
          <w:sz w:val="30"/>
          <w:szCs w:val="30"/>
          <w:highlight w:val="none"/>
        </w:rPr>
      </w:pPr>
      <w:r>
        <w:rPr>
          <w:rFonts w:hint="eastAsia" w:ascii="宋体" w:hAnsi="宋体"/>
          <w:spacing w:val="6"/>
          <w:sz w:val="30"/>
          <w:szCs w:val="30"/>
          <w:highlight w:val="none"/>
        </w:rPr>
        <w:t>本单位对上述声明的真实性负责。如有虚假，将依法承担相应责任。</w:t>
      </w:r>
    </w:p>
    <w:p w14:paraId="7B1EFA7E">
      <w:pPr>
        <w:tabs>
          <w:tab w:val="left" w:pos="4860"/>
        </w:tabs>
        <w:spacing w:line="588" w:lineRule="exact"/>
        <w:ind w:right="1560" w:firstLine="3432" w:firstLineChars="1100"/>
        <w:rPr>
          <w:rFonts w:ascii="宋体" w:hAnsi="宋体"/>
          <w:spacing w:val="6"/>
          <w:sz w:val="30"/>
          <w:szCs w:val="30"/>
          <w:highlight w:val="none"/>
        </w:rPr>
      </w:pPr>
    </w:p>
    <w:p w14:paraId="69357C04">
      <w:pPr>
        <w:tabs>
          <w:tab w:val="left" w:pos="4860"/>
        </w:tabs>
        <w:spacing w:line="588" w:lineRule="exact"/>
        <w:ind w:right="1560" w:firstLine="3432" w:firstLineChars="1100"/>
        <w:rPr>
          <w:rFonts w:ascii="宋体" w:hAnsi="宋体"/>
          <w:spacing w:val="6"/>
          <w:sz w:val="30"/>
          <w:szCs w:val="30"/>
          <w:highlight w:val="none"/>
        </w:rPr>
      </w:pPr>
    </w:p>
    <w:p w14:paraId="1006A5EA">
      <w:pPr>
        <w:tabs>
          <w:tab w:val="left" w:pos="4860"/>
        </w:tabs>
        <w:spacing w:line="588" w:lineRule="exact"/>
        <w:ind w:right="1560" w:firstLine="3432" w:firstLineChars="1100"/>
        <w:rPr>
          <w:rFonts w:ascii="宋体" w:hAnsi="宋体"/>
          <w:spacing w:val="6"/>
          <w:sz w:val="30"/>
          <w:szCs w:val="30"/>
          <w:highlight w:val="none"/>
        </w:rPr>
      </w:pPr>
      <w:r>
        <w:rPr>
          <w:rFonts w:hint="eastAsia" w:ascii="宋体" w:hAnsi="宋体"/>
          <w:spacing w:val="6"/>
          <w:sz w:val="30"/>
          <w:szCs w:val="30"/>
          <w:highlight w:val="none"/>
        </w:rPr>
        <w:t>单位名称（盖章）：</w:t>
      </w:r>
    </w:p>
    <w:p w14:paraId="40CB46C7">
      <w:pPr>
        <w:tabs>
          <w:tab w:val="left" w:pos="4860"/>
        </w:tabs>
        <w:spacing w:line="588" w:lineRule="exact"/>
        <w:ind w:right="1560" w:firstLine="4680" w:firstLineChars="1500"/>
        <w:rPr>
          <w:rFonts w:ascii="宋体" w:hAnsi="宋体"/>
          <w:spacing w:val="6"/>
          <w:sz w:val="30"/>
          <w:szCs w:val="30"/>
          <w:highlight w:val="none"/>
        </w:rPr>
      </w:pPr>
      <w:r>
        <w:rPr>
          <w:rFonts w:hint="eastAsia" w:ascii="宋体" w:hAnsi="宋体"/>
          <w:spacing w:val="6"/>
          <w:sz w:val="30"/>
          <w:szCs w:val="30"/>
          <w:highlight w:val="none"/>
        </w:rPr>
        <w:t>日</w:t>
      </w:r>
      <w:r>
        <w:rPr>
          <w:rFonts w:ascii="宋体" w:hAnsi="宋体"/>
          <w:spacing w:val="6"/>
          <w:sz w:val="30"/>
          <w:szCs w:val="30"/>
          <w:highlight w:val="none"/>
        </w:rPr>
        <w:t xml:space="preserve">  </w:t>
      </w:r>
      <w:r>
        <w:rPr>
          <w:rFonts w:hint="eastAsia" w:ascii="宋体" w:hAnsi="宋体"/>
          <w:spacing w:val="6"/>
          <w:sz w:val="30"/>
          <w:szCs w:val="30"/>
          <w:highlight w:val="none"/>
        </w:rPr>
        <w:t>期：</w:t>
      </w:r>
    </w:p>
    <w:p w14:paraId="4D36824C">
      <w:pPr>
        <w:spacing w:line="440" w:lineRule="exact"/>
        <w:ind w:firstLine="506" w:firstLineChars="200"/>
        <w:rPr>
          <w:rFonts w:ascii="宋体" w:hAnsi="宋体"/>
          <w:b/>
          <w:bCs/>
          <w:spacing w:val="6"/>
          <w:sz w:val="24"/>
          <w:highlight w:val="none"/>
        </w:rPr>
      </w:pPr>
    </w:p>
    <w:p w14:paraId="05F6E06A">
      <w:pPr>
        <w:spacing w:line="440" w:lineRule="exact"/>
        <w:ind w:firstLine="506" w:firstLineChars="200"/>
        <w:rPr>
          <w:rFonts w:ascii="宋体" w:hAnsi="宋体"/>
          <w:b/>
          <w:bCs/>
          <w:spacing w:val="6"/>
          <w:sz w:val="24"/>
          <w:highlight w:val="none"/>
        </w:rPr>
      </w:pPr>
      <w:r>
        <w:rPr>
          <w:rFonts w:hint="eastAsia" w:ascii="宋体" w:hAnsi="宋体"/>
          <w:b/>
          <w:bCs/>
          <w:spacing w:val="6"/>
          <w:sz w:val="24"/>
          <w:highlight w:val="none"/>
        </w:rPr>
        <w:t>注：1、享受政府采购支持政策的残疾人福利性单位应当同时满足以下条件：①残疾证（不少于10人，不低于单位职工人数的25%），②劳务合同（期限一年以上），③社会保险金缴纳票据或清单，④银行代发工资证明。（供应商属残疾人福利性单位，提供其他残疾人福利性单位制造的货物时，需同时提供该制造企业出具的《残疾人福利性单位声明函》）。</w:t>
      </w:r>
    </w:p>
    <w:p w14:paraId="062EFDD4">
      <w:pPr>
        <w:spacing w:line="440" w:lineRule="exact"/>
        <w:ind w:firstLine="506" w:firstLineChars="200"/>
        <w:rPr>
          <w:rFonts w:ascii="宋体" w:hAnsi="宋体"/>
          <w:b/>
          <w:bCs/>
          <w:spacing w:val="6"/>
          <w:sz w:val="24"/>
          <w:highlight w:val="none"/>
        </w:rPr>
      </w:pPr>
      <w:r>
        <w:rPr>
          <w:rFonts w:hint="eastAsia" w:ascii="宋体" w:hAnsi="宋体"/>
          <w:b/>
          <w:bCs/>
          <w:spacing w:val="6"/>
          <w:sz w:val="24"/>
          <w:highlight w:val="none"/>
        </w:rPr>
        <w:t>2、中标人本声明函随中标结果同时公布，接受其他供应商和社会监督。</w:t>
      </w:r>
    </w:p>
    <w:p w14:paraId="0B94EBB5">
      <w:pPr>
        <w:rPr>
          <w:rFonts w:ascii="宋体" w:hAnsi="宋体"/>
          <w:b/>
          <w:kern w:val="44"/>
          <w:sz w:val="32"/>
          <w:szCs w:val="32"/>
          <w:highlight w:val="none"/>
        </w:rPr>
      </w:pPr>
      <w:r>
        <w:rPr>
          <w:rFonts w:ascii="宋体" w:hAnsi="宋体"/>
          <w:highlight w:val="none"/>
        </w:rPr>
        <w:br w:type="page"/>
      </w:r>
      <w:r>
        <w:rPr>
          <w:rFonts w:hint="eastAsia" w:ascii="宋体" w:hAnsi="宋体"/>
          <w:b/>
          <w:kern w:val="44"/>
          <w:sz w:val="32"/>
          <w:szCs w:val="32"/>
          <w:highlight w:val="none"/>
        </w:rPr>
        <w:t>附件3</w:t>
      </w:r>
      <w:r>
        <w:rPr>
          <w:rFonts w:hint="eastAsia" w:ascii="宋体" w:hAnsi="宋体"/>
          <w:b/>
          <w:sz w:val="28"/>
          <w:szCs w:val="28"/>
          <w:highlight w:val="none"/>
        </w:rPr>
        <w:t>（符合政策要求，并申请按监狱企业投标者提供）</w:t>
      </w:r>
      <w:r>
        <w:rPr>
          <w:rFonts w:hint="eastAsia" w:ascii="宋体" w:hAnsi="宋体"/>
          <w:b/>
          <w:kern w:val="44"/>
          <w:sz w:val="28"/>
          <w:szCs w:val="28"/>
          <w:highlight w:val="none"/>
        </w:rPr>
        <w:t>：</w:t>
      </w:r>
    </w:p>
    <w:p w14:paraId="337D5565">
      <w:pPr>
        <w:spacing w:line="588" w:lineRule="exact"/>
        <w:rPr>
          <w:rFonts w:ascii="宋体" w:hAnsi="宋体"/>
          <w:spacing w:val="6"/>
          <w:sz w:val="30"/>
          <w:szCs w:val="30"/>
          <w:highlight w:val="none"/>
        </w:rPr>
      </w:pPr>
    </w:p>
    <w:p w14:paraId="1934A822">
      <w:pPr>
        <w:spacing w:line="588" w:lineRule="exact"/>
        <w:jc w:val="center"/>
        <w:rPr>
          <w:rFonts w:ascii="宋体" w:hAnsi="宋体"/>
          <w:b/>
          <w:spacing w:val="6"/>
          <w:sz w:val="32"/>
          <w:szCs w:val="32"/>
          <w:highlight w:val="none"/>
        </w:rPr>
      </w:pPr>
      <w:r>
        <w:rPr>
          <w:rFonts w:hint="eastAsia" w:ascii="宋体" w:hAnsi="宋体"/>
          <w:b/>
          <w:spacing w:val="6"/>
          <w:sz w:val="32"/>
          <w:szCs w:val="32"/>
          <w:highlight w:val="none"/>
        </w:rPr>
        <w:t>监狱企业证明</w:t>
      </w:r>
    </w:p>
    <w:p w14:paraId="19E0DD17">
      <w:pPr>
        <w:spacing w:line="340" w:lineRule="exact"/>
        <w:ind w:firstLine="560" w:firstLineChars="200"/>
        <w:rPr>
          <w:rFonts w:ascii="宋体" w:hAnsi="宋体"/>
          <w:color w:val="FF0000"/>
          <w:sz w:val="28"/>
          <w:szCs w:val="28"/>
          <w:highlight w:val="none"/>
        </w:rPr>
      </w:pPr>
    </w:p>
    <w:p w14:paraId="0EB63C61">
      <w:pPr>
        <w:spacing w:line="340" w:lineRule="exact"/>
        <w:ind w:firstLine="560" w:firstLineChars="200"/>
        <w:rPr>
          <w:rFonts w:ascii="宋体" w:hAnsi="宋体"/>
          <w:color w:val="FF0000"/>
          <w:sz w:val="28"/>
          <w:szCs w:val="28"/>
          <w:highlight w:val="none"/>
        </w:rPr>
      </w:pPr>
    </w:p>
    <w:p w14:paraId="27D90BBA">
      <w:pPr>
        <w:spacing w:line="340" w:lineRule="exact"/>
        <w:ind w:firstLine="560" w:firstLineChars="200"/>
        <w:rPr>
          <w:rFonts w:ascii="宋体" w:hAnsi="宋体"/>
          <w:color w:val="FF0000"/>
          <w:sz w:val="28"/>
          <w:szCs w:val="28"/>
          <w:highlight w:val="none"/>
        </w:rPr>
      </w:pPr>
    </w:p>
    <w:p w14:paraId="2C0A69A5">
      <w:pPr>
        <w:spacing w:line="340" w:lineRule="exact"/>
        <w:ind w:firstLine="560" w:firstLineChars="200"/>
        <w:rPr>
          <w:rFonts w:ascii="宋体" w:hAnsi="宋体"/>
          <w:color w:val="FF0000"/>
          <w:sz w:val="28"/>
          <w:szCs w:val="28"/>
          <w:highlight w:val="none"/>
        </w:rPr>
      </w:pPr>
    </w:p>
    <w:p w14:paraId="62672F4D">
      <w:pPr>
        <w:spacing w:line="340" w:lineRule="exact"/>
        <w:ind w:firstLine="580" w:firstLineChars="200"/>
        <w:rPr>
          <w:rFonts w:ascii="宋体" w:hAnsi="宋体"/>
          <w:color w:val="FF0000"/>
          <w:sz w:val="28"/>
          <w:szCs w:val="28"/>
          <w:highlight w:val="none"/>
        </w:rPr>
      </w:pPr>
      <w:r>
        <w:rPr>
          <w:rFonts w:hint="eastAsia" w:ascii="宋体" w:hAnsi="宋体"/>
          <w:color w:val="000000"/>
          <w:sz w:val="29"/>
          <w:szCs w:val="29"/>
          <w:highlight w:val="none"/>
        </w:rPr>
        <w:t>提供由省级以上监狱管理局、戒毒管理局（含新疆生产建设兵团）出具的属于监狱企业的证明文件。</w:t>
      </w:r>
    </w:p>
    <w:p w14:paraId="77C95D76">
      <w:pPr>
        <w:spacing w:line="480" w:lineRule="exact"/>
        <w:jc w:val="center"/>
        <w:rPr>
          <w:rFonts w:ascii="宋体" w:hAnsi="宋体" w:cs="仿宋_GB2312"/>
          <w:b/>
          <w:sz w:val="44"/>
          <w:szCs w:val="44"/>
          <w:highlight w:val="none"/>
        </w:rPr>
      </w:pPr>
    </w:p>
    <w:p w14:paraId="73E498F7">
      <w:pPr>
        <w:spacing w:line="480" w:lineRule="exact"/>
        <w:jc w:val="center"/>
        <w:rPr>
          <w:rFonts w:ascii="宋体" w:hAnsi="宋体" w:cs="仿宋_GB2312"/>
          <w:b/>
          <w:sz w:val="44"/>
          <w:szCs w:val="44"/>
          <w:highlight w:val="none"/>
        </w:rPr>
      </w:pPr>
    </w:p>
    <w:p w14:paraId="0DEC148E">
      <w:pPr>
        <w:spacing w:line="480" w:lineRule="exact"/>
        <w:jc w:val="center"/>
        <w:rPr>
          <w:rFonts w:ascii="宋体" w:hAnsi="宋体" w:cs="仿宋_GB2312"/>
          <w:b/>
          <w:sz w:val="44"/>
          <w:szCs w:val="44"/>
          <w:highlight w:val="none"/>
        </w:rPr>
      </w:pPr>
    </w:p>
    <w:p w14:paraId="529EDDAF">
      <w:pPr>
        <w:spacing w:line="480" w:lineRule="exact"/>
        <w:jc w:val="center"/>
        <w:rPr>
          <w:rFonts w:ascii="宋体" w:hAnsi="宋体" w:cs="仿宋_GB2312"/>
          <w:b/>
          <w:sz w:val="44"/>
          <w:szCs w:val="44"/>
          <w:highlight w:val="none"/>
        </w:rPr>
      </w:pPr>
    </w:p>
    <w:p w14:paraId="3FD7A935">
      <w:pPr>
        <w:spacing w:line="480" w:lineRule="exact"/>
        <w:jc w:val="center"/>
        <w:rPr>
          <w:rFonts w:ascii="宋体" w:hAnsi="宋体" w:cs="仿宋_GB2312"/>
          <w:b/>
          <w:sz w:val="44"/>
          <w:szCs w:val="44"/>
          <w:highlight w:val="none"/>
        </w:rPr>
      </w:pPr>
    </w:p>
    <w:p w14:paraId="5726937D">
      <w:pPr>
        <w:spacing w:line="480" w:lineRule="exact"/>
        <w:jc w:val="center"/>
        <w:rPr>
          <w:rFonts w:ascii="宋体" w:hAnsi="宋体" w:cs="仿宋_GB2312"/>
          <w:b/>
          <w:sz w:val="44"/>
          <w:szCs w:val="44"/>
          <w:highlight w:val="none"/>
        </w:rPr>
      </w:pPr>
    </w:p>
    <w:p w14:paraId="7E6B9A71">
      <w:pPr>
        <w:spacing w:line="480" w:lineRule="exact"/>
        <w:jc w:val="center"/>
        <w:rPr>
          <w:rFonts w:ascii="宋体" w:hAnsi="宋体" w:cs="仿宋_GB2312"/>
          <w:b/>
          <w:sz w:val="44"/>
          <w:szCs w:val="44"/>
          <w:highlight w:val="none"/>
        </w:rPr>
      </w:pPr>
    </w:p>
    <w:p w14:paraId="236BA56C">
      <w:pPr>
        <w:spacing w:line="480" w:lineRule="exact"/>
        <w:jc w:val="center"/>
        <w:rPr>
          <w:rFonts w:ascii="宋体" w:hAnsi="宋体" w:cs="仿宋_GB2312"/>
          <w:b/>
          <w:sz w:val="44"/>
          <w:szCs w:val="44"/>
          <w:highlight w:val="none"/>
        </w:rPr>
      </w:pPr>
    </w:p>
    <w:p w14:paraId="7D34467C">
      <w:pPr>
        <w:spacing w:line="480" w:lineRule="exact"/>
        <w:jc w:val="center"/>
        <w:rPr>
          <w:rFonts w:ascii="宋体" w:hAnsi="宋体" w:cs="仿宋_GB2312"/>
          <w:b/>
          <w:sz w:val="44"/>
          <w:szCs w:val="44"/>
          <w:highlight w:val="none"/>
        </w:rPr>
      </w:pPr>
    </w:p>
    <w:p w14:paraId="1EA8AD07">
      <w:pPr>
        <w:autoSpaceDE w:val="0"/>
        <w:autoSpaceDN w:val="0"/>
        <w:adjustRightInd w:val="0"/>
        <w:ind w:firstLine="482" w:firstLineChars="200"/>
        <w:jc w:val="left"/>
        <w:rPr>
          <w:rFonts w:ascii="宋体" w:hAnsi="宋体" w:cs="仿宋_GB2312"/>
          <w:sz w:val="32"/>
          <w:szCs w:val="32"/>
          <w:highlight w:val="none"/>
        </w:rPr>
      </w:pPr>
      <w:r>
        <w:rPr>
          <w:rFonts w:hint="eastAsia" w:ascii="宋体" w:hAnsi="宋体"/>
          <w:b/>
          <w:sz w:val="24"/>
          <w:highlight w:val="none"/>
        </w:rPr>
        <w:t>注：中标人的本证明文件随中标结果同时公布，接受其他供应商和社会监督。</w:t>
      </w:r>
    </w:p>
    <w:p w14:paraId="48B1793E">
      <w:pPr>
        <w:widowControl/>
        <w:spacing w:line="400" w:lineRule="exact"/>
        <w:jc w:val="left"/>
        <w:rPr>
          <w:rFonts w:ascii="宋体" w:hAnsi="宋体" w:cs="宋体"/>
          <w:bCs/>
          <w:color w:val="555555"/>
          <w:kern w:val="0"/>
          <w:sz w:val="32"/>
          <w:szCs w:val="32"/>
          <w:highlight w:val="none"/>
        </w:rPr>
      </w:pPr>
    </w:p>
    <w:p w14:paraId="4512DD60">
      <w:pPr>
        <w:rPr>
          <w:rFonts w:hint="eastAsia" w:ascii="宋体" w:hAnsi="宋体"/>
          <w:b w:val="0"/>
          <w:bCs/>
          <w:color w:val="FF0000"/>
          <w:sz w:val="24"/>
          <w:highlight w:val="none"/>
        </w:rPr>
      </w:pPr>
    </w:p>
    <w:sectPr>
      <w:footerReference r:id="rId12" w:type="default"/>
      <w:pgSz w:w="11906" w:h="16838"/>
      <w:pgMar w:top="1440" w:right="1800" w:bottom="1869"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10022FF" w:usb1="C000E47F" w:usb2="00000029" w:usb3="00000000" w:csb0="200001DF" w:csb1="20000000"/>
  </w:font>
  <w:font w:name="微软雅黑">
    <w:panose1 w:val="020B0503020204020204"/>
    <w:charset w:val="86"/>
    <w:family w:val="swiss"/>
    <w:pitch w:val="default"/>
    <w:sig w:usb0="80000287" w:usb1="280F3C52" w:usb2="00000016" w:usb3="00000000" w:csb0="0004001F" w:csb1="00000000"/>
  </w:font>
  <w:font w:name="华文楷体">
    <w:altName w:val="宋体"/>
    <w:panose1 w:val="02010600040101010101"/>
    <w:charset w:val="86"/>
    <w:family w:val="auto"/>
    <w:pitch w:val="default"/>
    <w:sig w:usb0="00000000" w:usb1="00000000" w:usb2="00000000" w:usb3="00000000" w:csb0="0004009F" w:csb1="DFD70000"/>
  </w:font>
  <w:font w:name="chs_boot">
    <w:altName w:val="宋体"/>
    <w:panose1 w:val="00000000000000000000"/>
    <w:charset w:val="00"/>
    <w:family w:val="swiss"/>
    <w:pitch w:val="default"/>
    <w:sig w:usb0="00000000" w:usb1="00000000" w:usb2="00000016" w:usb3="00000000" w:csb0="001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4A133">
    <w:pPr>
      <w:pStyle w:val="20"/>
      <w:jc w:val="center"/>
    </w:pPr>
    <w:r>
      <w:rPr>
        <w:rFonts w:hint="eastAsia"/>
      </w:rPr>
      <w:t>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E438C">
    <w:pPr>
      <w:pStyle w:val="2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7B886">
    <w:pPr>
      <w:pStyle w:val="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EB2D2">
    <w:pPr>
      <w:pStyle w:val="2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96C83E">
                          <w:pPr>
                            <w:pStyle w:val="2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296C83E">
                    <w:pPr>
                      <w:pStyle w:val="2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A0169">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7D7009">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47D7009">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36DFF">
    <w:pPr>
      <w:pStyle w:val="12"/>
      <w:spacing w:line="14" w:lineRule="auto"/>
      <w:rPr>
        <w:sz w:val="20"/>
      </w:rPr>
    </w:pPr>
    <w:r>
      <w:rPr>
        <w:sz w:val="20"/>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2F7B4F">
                          <w:pPr>
                            <w:pStyle w:val="20"/>
                          </w:pPr>
                          <w:r>
                            <w:fldChar w:fldCharType="begin"/>
                          </w:r>
                          <w:r>
                            <w:instrText xml:space="preserve"> PAGE  \* MERGEFORMAT </w:instrText>
                          </w:r>
                          <w:r>
                            <w:fldChar w:fldCharType="separate"/>
                          </w:r>
                          <w:r>
                            <w:t>74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42F7B4F">
                    <w:pPr>
                      <w:pStyle w:val="20"/>
                    </w:pPr>
                    <w:r>
                      <w:fldChar w:fldCharType="begin"/>
                    </w:r>
                    <w:r>
                      <w:instrText xml:space="preserve"> PAGE  \* MERGEFORMAT </w:instrText>
                    </w:r>
                    <w:r>
                      <w:fldChar w:fldCharType="separate"/>
                    </w:r>
                    <w:r>
                      <w:t>74</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2EB14">
    <w:pPr>
      <w:pStyle w:val="12"/>
      <w:spacing w:line="14" w:lineRule="auto"/>
      <w:rPr>
        <w:sz w:val="20"/>
      </w:rPr>
    </w:pPr>
    <w:r>
      <w:rPr>
        <w:sz w:val="20"/>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31A2B7">
                          <w:pPr>
                            <w:pStyle w:val="20"/>
                          </w:pPr>
                          <w:r>
                            <w:fldChar w:fldCharType="begin"/>
                          </w:r>
                          <w:r>
                            <w:instrText xml:space="preserve"> PAGE  \* MERGEFORMAT </w:instrText>
                          </w:r>
                          <w:r>
                            <w:fldChar w:fldCharType="separate"/>
                          </w:r>
                          <w:r>
                            <w:t>75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D31A2B7">
                    <w:pPr>
                      <w:pStyle w:val="20"/>
                    </w:pPr>
                    <w:r>
                      <w:fldChar w:fldCharType="begin"/>
                    </w:r>
                    <w:r>
                      <w:instrText xml:space="preserve"> PAGE  \* MERGEFORMAT </w:instrText>
                    </w:r>
                    <w:r>
                      <w:fldChar w:fldCharType="separate"/>
                    </w:r>
                    <w:r>
                      <w:t>75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60FCE">
    <w:pPr>
      <w:pStyle w:val="22"/>
    </w:pPr>
    <w:r>
      <w:rPr>
        <w:rFonts w:hint="eastAsia" w:ascii="仿宋_GB2312" w:eastAsia="仿宋_GB2312"/>
      </w:rPr>
      <w:t>开封市政府采购中心政府采购招标文件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C7D21A">
    <w:pPr>
      <w:pStyle w:val="22"/>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B8710">
    <w:pPr>
      <w:pStyle w:val="22"/>
      <w:rPr>
        <w:rFonts w:ascii="仿宋_GB2312" w:eastAsia="仿宋_GB2312"/>
      </w:rPr>
    </w:pPr>
    <w:r>
      <w:rPr>
        <w:rFonts w:hint="eastAsia" w:ascii="仿宋_GB2312" w:eastAsia="仿宋_GB2312"/>
      </w:rPr>
      <w:t>开封市政府采购中心政府采购招标文件</w:t>
    </w:r>
  </w:p>
  <w:p w14:paraId="70D7F270">
    <w:pPr>
      <w:pStyle w:val="22"/>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F7DA9"/>
    <w:multiLevelType w:val="singleLevel"/>
    <w:tmpl w:val="80CF7DA9"/>
    <w:lvl w:ilvl="0" w:tentative="0">
      <w:start w:val="1"/>
      <w:numFmt w:val="decimal"/>
      <w:suff w:val="nothing"/>
      <w:lvlText w:val="%1．"/>
      <w:lvlJc w:val="left"/>
      <w:pPr>
        <w:ind w:left="0" w:firstLine="400"/>
      </w:pPr>
      <w:rPr>
        <w:rFonts w:hint="default"/>
      </w:rPr>
    </w:lvl>
  </w:abstractNum>
  <w:abstractNum w:abstractNumId="1">
    <w:nsid w:val="85437088"/>
    <w:multiLevelType w:val="singleLevel"/>
    <w:tmpl w:val="85437088"/>
    <w:lvl w:ilvl="0" w:tentative="0">
      <w:start w:val="1"/>
      <w:numFmt w:val="chineseCounting"/>
      <w:suff w:val="nothing"/>
      <w:lvlText w:val="第%1章　"/>
      <w:lvlJc w:val="left"/>
      <w:rPr>
        <w:rFonts w:hint="eastAsia"/>
      </w:rPr>
    </w:lvl>
  </w:abstractNum>
  <w:abstractNum w:abstractNumId="2">
    <w:nsid w:val="B77C5786"/>
    <w:multiLevelType w:val="multilevel"/>
    <w:tmpl w:val="B77C5786"/>
    <w:lvl w:ilvl="0" w:tentative="0">
      <w:start w:val="1"/>
      <w:numFmt w:val="decimal"/>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3">
    <w:nsid w:val="C5D989B7"/>
    <w:multiLevelType w:val="singleLevel"/>
    <w:tmpl w:val="C5D989B7"/>
    <w:lvl w:ilvl="0" w:tentative="0">
      <w:start w:val="1"/>
      <w:numFmt w:val="decimal"/>
      <w:lvlText w:val="%1)"/>
      <w:lvlJc w:val="left"/>
      <w:pPr>
        <w:tabs>
          <w:tab w:val="left" w:pos="420"/>
        </w:tabs>
        <w:ind w:left="845" w:hanging="425"/>
      </w:pPr>
      <w:rPr>
        <w:rFonts w:hint="default"/>
      </w:rPr>
    </w:lvl>
  </w:abstractNum>
  <w:abstractNum w:abstractNumId="4">
    <w:nsid w:val="DE81DB27"/>
    <w:multiLevelType w:val="singleLevel"/>
    <w:tmpl w:val="DE81DB27"/>
    <w:lvl w:ilvl="0" w:tentative="0">
      <w:start w:val="1"/>
      <w:numFmt w:val="decimal"/>
      <w:lvlText w:val="(%1)"/>
      <w:lvlJc w:val="left"/>
      <w:pPr>
        <w:tabs>
          <w:tab w:val="left" w:pos="420"/>
        </w:tabs>
        <w:ind w:left="845" w:hanging="425"/>
      </w:pPr>
      <w:rPr>
        <w:rFonts w:hint="default"/>
      </w:rPr>
    </w:lvl>
  </w:abstractNum>
  <w:abstractNum w:abstractNumId="5">
    <w:nsid w:val="2AEC5AC3"/>
    <w:multiLevelType w:val="multilevel"/>
    <w:tmpl w:val="2AEC5AC3"/>
    <w:lvl w:ilvl="0" w:tentative="0">
      <w:start w:val="1"/>
      <w:numFmt w:val="decimal"/>
      <w:lvlText w:val="%1、"/>
      <w:lvlJc w:val="left"/>
      <w:pPr>
        <w:tabs>
          <w:tab w:val="left" w:pos="1360"/>
        </w:tabs>
        <w:ind w:left="1360" w:hanging="720"/>
      </w:pPr>
      <w:rPr>
        <w:rFonts w:hint="default"/>
      </w:rPr>
    </w:lvl>
    <w:lvl w:ilvl="1" w:tentative="0">
      <w:start w:val="1"/>
      <w:numFmt w:val="lowerLetter"/>
      <w:lvlText w:val="%2)"/>
      <w:lvlJc w:val="left"/>
      <w:pPr>
        <w:tabs>
          <w:tab w:val="left" w:pos="1480"/>
        </w:tabs>
        <w:ind w:left="1480" w:hanging="420"/>
      </w:pPr>
    </w:lvl>
    <w:lvl w:ilvl="2" w:tentative="0">
      <w:start w:val="1"/>
      <w:numFmt w:val="lowerRoman"/>
      <w:lvlText w:val="%3."/>
      <w:lvlJc w:val="right"/>
      <w:pPr>
        <w:tabs>
          <w:tab w:val="left" w:pos="1900"/>
        </w:tabs>
        <w:ind w:left="1900" w:hanging="420"/>
      </w:pPr>
    </w:lvl>
    <w:lvl w:ilvl="3" w:tentative="0">
      <w:start w:val="1"/>
      <w:numFmt w:val="decimal"/>
      <w:lvlText w:val="%4."/>
      <w:lvlJc w:val="left"/>
      <w:pPr>
        <w:tabs>
          <w:tab w:val="left" w:pos="2320"/>
        </w:tabs>
        <w:ind w:left="2320" w:hanging="420"/>
      </w:pPr>
    </w:lvl>
    <w:lvl w:ilvl="4" w:tentative="0">
      <w:start w:val="1"/>
      <w:numFmt w:val="lowerLetter"/>
      <w:lvlText w:val="%5)"/>
      <w:lvlJc w:val="left"/>
      <w:pPr>
        <w:tabs>
          <w:tab w:val="left" w:pos="2740"/>
        </w:tabs>
        <w:ind w:left="2740" w:hanging="420"/>
      </w:pPr>
    </w:lvl>
    <w:lvl w:ilvl="5" w:tentative="0">
      <w:start w:val="1"/>
      <w:numFmt w:val="lowerRoman"/>
      <w:lvlText w:val="%6."/>
      <w:lvlJc w:val="right"/>
      <w:pPr>
        <w:tabs>
          <w:tab w:val="left" w:pos="3160"/>
        </w:tabs>
        <w:ind w:left="3160" w:hanging="420"/>
      </w:pPr>
    </w:lvl>
    <w:lvl w:ilvl="6" w:tentative="0">
      <w:start w:val="1"/>
      <w:numFmt w:val="decimal"/>
      <w:lvlText w:val="%7."/>
      <w:lvlJc w:val="left"/>
      <w:pPr>
        <w:tabs>
          <w:tab w:val="left" w:pos="3580"/>
        </w:tabs>
        <w:ind w:left="3580" w:hanging="420"/>
      </w:pPr>
    </w:lvl>
    <w:lvl w:ilvl="7" w:tentative="0">
      <w:start w:val="1"/>
      <w:numFmt w:val="lowerLetter"/>
      <w:lvlText w:val="%8)"/>
      <w:lvlJc w:val="left"/>
      <w:pPr>
        <w:tabs>
          <w:tab w:val="left" w:pos="4000"/>
        </w:tabs>
        <w:ind w:left="4000" w:hanging="420"/>
      </w:pPr>
    </w:lvl>
    <w:lvl w:ilvl="8" w:tentative="0">
      <w:start w:val="1"/>
      <w:numFmt w:val="lowerRoman"/>
      <w:lvlText w:val="%9."/>
      <w:lvlJc w:val="right"/>
      <w:pPr>
        <w:tabs>
          <w:tab w:val="left" w:pos="4420"/>
        </w:tabs>
        <w:ind w:left="4420" w:hanging="420"/>
      </w:pPr>
    </w:lvl>
  </w:abstractNum>
  <w:abstractNum w:abstractNumId="6">
    <w:nsid w:val="64CF817D"/>
    <w:multiLevelType w:val="singleLevel"/>
    <w:tmpl w:val="64CF817D"/>
    <w:lvl w:ilvl="0" w:tentative="0">
      <w:start w:val="1"/>
      <w:numFmt w:val="chineseCounting"/>
      <w:suff w:val="nothing"/>
      <w:lvlText w:val="%1、"/>
      <w:lvlJc w:val="left"/>
      <w:pPr>
        <w:ind w:left="0" w:firstLine="420"/>
      </w:pPr>
      <w:rPr>
        <w:rFonts w:hint="eastAsia"/>
      </w:rPr>
    </w:lvl>
  </w:abstractNum>
  <w:num w:numId="1">
    <w:abstractNumId w:val="2"/>
  </w:num>
  <w:num w:numId="2">
    <w:abstractNumId w:val="1"/>
  </w:num>
  <w:num w:numId="3">
    <w:abstractNumId w:val="3"/>
  </w:num>
  <w:num w:numId="4">
    <w:abstractNumId w:val="4"/>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BlODJmM2IxZDBhODExZGZiODFhMmIyMDVmYTc2ZGQifQ=="/>
  </w:docVars>
  <w:rsids>
    <w:rsidRoot w:val="00774BDA"/>
    <w:rsid w:val="00000197"/>
    <w:rsid w:val="000006AD"/>
    <w:rsid w:val="00000853"/>
    <w:rsid w:val="00000E7D"/>
    <w:rsid w:val="00001182"/>
    <w:rsid w:val="000012A6"/>
    <w:rsid w:val="000014A7"/>
    <w:rsid w:val="000023FF"/>
    <w:rsid w:val="000030CC"/>
    <w:rsid w:val="00003118"/>
    <w:rsid w:val="000034B5"/>
    <w:rsid w:val="000039AC"/>
    <w:rsid w:val="00003A38"/>
    <w:rsid w:val="00003CE4"/>
    <w:rsid w:val="00003DAF"/>
    <w:rsid w:val="00004727"/>
    <w:rsid w:val="00004A3F"/>
    <w:rsid w:val="00004D5B"/>
    <w:rsid w:val="000069DD"/>
    <w:rsid w:val="00006B53"/>
    <w:rsid w:val="000070BF"/>
    <w:rsid w:val="0000717E"/>
    <w:rsid w:val="00010986"/>
    <w:rsid w:val="0001104C"/>
    <w:rsid w:val="000120B2"/>
    <w:rsid w:val="00012A11"/>
    <w:rsid w:val="00013636"/>
    <w:rsid w:val="0001456D"/>
    <w:rsid w:val="000147CA"/>
    <w:rsid w:val="000150DC"/>
    <w:rsid w:val="00015444"/>
    <w:rsid w:val="00015B8B"/>
    <w:rsid w:val="000162E3"/>
    <w:rsid w:val="0001642C"/>
    <w:rsid w:val="00016B0A"/>
    <w:rsid w:val="00016E6A"/>
    <w:rsid w:val="00017216"/>
    <w:rsid w:val="000175E9"/>
    <w:rsid w:val="000179BF"/>
    <w:rsid w:val="000201EB"/>
    <w:rsid w:val="00020773"/>
    <w:rsid w:val="000208D2"/>
    <w:rsid w:val="00020AF7"/>
    <w:rsid w:val="00020B15"/>
    <w:rsid w:val="000211DD"/>
    <w:rsid w:val="00021454"/>
    <w:rsid w:val="00021986"/>
    <w:rsid w:val="00021AB5"/>
    <w:rsid w:val="000220C7"/>
    <w:rsid w:val="00022211"/>
    <w:rsid w:val="000223B0"/>
    <w:rsid w:val="000225C1"/>
    <w:rsid w:val="00022F5D"/>
    <w:rsid w:val="0002396C"/>
    <w:rsid w:val="00023BDF"/>
    <w:rsid w:val="00024303"/>
    <w:rsid w:val="00024933"/>
    <w:rsid w:val="00024C81"/>
    <w:rsid w:val="0002563F"/>
    <w:rsid w:val="00025676"/>
    <w:rsid w:val="0002597C"/>
    <w:rsid w:val="0002623D"/>
    <w:rsid w:val="000262C6"/>
    <w:rsid w:val="00026528"/>
    <w:rsid w:val="00026C8F"/>
    <w:rsid w:val="00026C94"/>
    <w:rsid w:val="0003032D"/>
    <w:rsid w:val="000303D9"/>
    <w:rsid w:val="00030595"/>
    <w:rsid w:val="000305EF"/>
    <w:rsid w:val="00030CD5"/>
    <w:rsid w:val="00030E70"/>
    <w:rsid w:val="00031545"/>
    <w:rsid w:val="00031830"/>
    <w:rsid w:val="0003197E"/>
    <w:rsid w:val="000322D2"/>
    <w:rsid w:val="0003279B"/>
    <w:rsid w:val="000330E6"/>
    <w:rsid w:val="0003312F"/>
    <w:rsid w:val="00033287"/>
    <w:rsid w:val="00034029"/>
    <w:rsid w:val="00034058"/>
    <w:rsid w:val="000341C7"/>
    <w:rsid w:val="00035242"/>
    <w:rsid w:val="00035C5C"/>
    <w:rsid w:val="00035C8D"/>
    <w:rsid w:val="000365E4"/>
    <w:rsid w:val="00036FDB"/>
    <w:rsid w:val="000372B2"/>
    <w:rsid w:val="00037718"/>
    <w:rsid w:val="00040C94"/>
    <w:rsid w:val="0004131B"/>
    <w:rsid w:val="000414DD"/>
    <w:rsid w:val="00041986"/>
    <w:rsid w:val="000419FE"/>
    <w:rsid w:val="00041B64"/>
    <w:rsid w:val="0004222C"/>
    <w:rsid w:val="00042510"/>
    <w:rsid w:val="00042DC4"/>
    <w:rsid w:val="00043689"/>
    <w:rsid w:val="000438F5"/>
    <w:rsid w:val="00043AE7"/>
    <w:rsid w:val="000442E1"/>
    <w:rsid w:val="00044B31"/>
    <w:rsid w:val="00044D31"/>
    <w:rsid w:val="00044DEE"/>
    <w:rsid w:val="00045659"/>
    <w:rsid w:val="000457ED"/>
    <w:rsid w:val="000460E1"/>
    <w:rsid w:val="000467EE"/>
    <w:rsid w:val="00046A9C"/>
    <w:rsid w:val="0004736C"/>
    <w:rsid w:val="00047417"/>
    <w:rsid w:val="00047ACE"/>
    <w:rsid w:val="00047D2F"/>
    <w:rsid w:val="0005069E"/>
    <w:rsid w:val="000507E5"/>
    <w:rsid w:val="00050978"/>
    <w:rsid w:val="00050D4A"/>
    <w:rsid w:val="000514D2"/>
    <w:rsid w:val="000519FC"/>
    <w:rsid w:val="00051D6C"/>
    <w:rsid w:val="0005233B"/>
    <w:rsid w:val="00052B8A"/>
    <w:rsid w:val="00052E71"/>
    <w:rsid w:val="00053215"/>
    <w:rsid w:val="00053247"/>
    <w:rsid w:val="00053411"/>
    <w:rsid w:val="00053EA2"/>
    <w:rsid w:val="00053F6D"/>
    <w:rsid w:val="00053F72"/>
    <w:rsid w:val="00054389"/>
    <w:rsid w:val="00055DE6"/>
    <w:rsid w:val="0005659B"/>
    <w:rsid w:val="00056768"/>
    <w:rsid w:val="000567D5"/>
    <w:rsid w:val="00056B10"/>
    <w:rsid w:val="00056C80"/>
    <w:rsid w:val="00056CDF"/>
    <w:rsid w:val="00057D51"/>
    <w:rsid w:val="000606B0"/>
    <w:rsid w:val="00060AC6"/>
    <w:rsid w:val="00061121"/>
    <w:rsid w:val="00061A28"/>
    <w:rsid w:val="00061F97"/>
    <w:rsid w:val="00061FD5"/>
    <w:rsid w:val="0006275B"/>
    <w:rsid w:val="00062D61"/>
    <w:rsid w:val="00063851"/>
    <w:rsid w:val="000641F7"/>
    <w:rsid w:val="000651E7"/>
    <w:rsid w:val="00065C00"/>
    <w:rsid w:val="00070394"/>
    <w:rsid w:val="000706A0"/>
    <w:rsid w:val="000707AC"/>
    <w:rsid w:val="00070EBF"/>
    <w:rsid w:val="00070ED5"/>
    <w:rsid w:val="00070F6C"/>
    <w:rsid w:val="000710FC"/>
    <w:rsid w:val="00072E05"/>
    <w:rsid w:val="00073620"/>
    <w:rsid w:val="0007429F"/>
    <w:rsid w:val="00074BD4"/>
    <w:rsid w:val="00074E9C"/>
    <w:rsid w:val="0007513C"/>
    <w:rsid w:val="000757B8"/>
    <w:rsid w:val="0007592D"/>
    <w:rsid w:val="00075BA5"/>
    <w:rsid w:val="00075DD0"/>
    <w:rsid w:val="000767CF"/>
    <w:rsid w:val="00076A78"/>
    <w:rsid w:val="00076D2C"/>
    <w:rsid w:val="00076F12"/>
    <w:rsid w:val="00077B34"/>
    <w:rsid w:val="00077F0E"/>
    <w:rsid w:val="00080051"/>
    <w:rsid w:val="00080C8C"/>
    <w:rsid w:val="0008231C"/>
    <w:rsid w:val="000824AF"/>
    <w:rsid w:val="000826D6"/>
    <w:rsid w:val="000826F7"/>
    <w:rsid w:val="00082942"/>
    <w:rsid w:val="00082E16"/>
    <w:rsid w:val="00082F09"/>
    <w:rsid w:val="000831E2"/>
    <w:rsid w:val="000837E4"/>
    <w:rsid w:val="00083A7B"/>
    <w:rsid w:val="000848CA"/>
    <w:rsid w:val="00084B86"/>
    <w:rsid w:val="00084B94"/>
    <w:rsid w:val="00086493"/>
    <w:rsid w:val="000864D0"/>
    <w:rsid w:val="000868F3"/>
    <w:rsid w:val="00087271"/>
    <w:rsid w:val="0008790A"/>
    <w:rsid w:val="00087D2C"/>
    <w:rsid w:val="0009066C"/>
    <w:rsid w:val="0009139B"/>
    <w:rsid w:val="000918D5"/>
    <w:rsid w:val="00091929"/>
    <w:rsid w:val="00092F1D"/>
    <w:rsid w:val="00093013"/>
    <w:rsid w:val="000933FA"/>
    <w:rsid w:val="00093C41"/>
    <w:rsid w:val="000941A7"/>
    <w:rsid w:val="000941B5"/>
    <w:rsid w:val="00094302"/>
    <w:rsid w:val="00094624"/>
    <w:rsid w:val="00094800"/>
    <w:rsid w:val="00094863"/>
    <w:rsid w:val="00094ACE"/>
    <w:rsid w:val="0009594D"/>
    <w:rsid w:val="000965D0"/>
    <w:rsid w:val="00097080"/>
    <w:rsid w:val="00097D06"/>
    <w:rsid w:val="000A04B4"/>
    <w:rsid w:val="000A172F"/>
    <w:rsid w:val="000A1E6E"/>
    <w:rsid w:val="000A1FED"/>
    <w:rsid w:val="000A2806"/>
    <w:rsid w:val="000A2B25"/>
    <w:rsid w:val="000A2E6E"/>
    <w:rsid w:val="000A381C"/>
    <w:rsid w:val="000A3836"/>
    <w:rsid w:val="000A4C06"/>
    <w:rsid w:val="000A518A"/>
    <w:rsid w:val="000A5B29"/>
    <w:rsid w:val="000A6785"/>
    <w:rsid w:val="000A7617"/>
    <w:rsid w:val="000A7FD0"/>
    <w:rsid w:val="000B023E"/>
    <w:rsid w:val="000B13F7"/>
    <w:rsid w:val="000B16B6"/>
    <w:rsid w:val="000B234C"/>
    <w:rsid w:val="000B25FB"/>
    <w:rsid w:val="000B2749"/>
    <w:rsid w:val="000B29E1"/>
    <w:rsid w:val="000B4C16"/>
    <w:rsid w:val="000B510B"/>
    <w:rsid w:val="000B5422"/>
    <w:rsid w:val="000B5996"/>
    <w:rsid w:val="000B6710"/>
    <w:rsid w:val="000B67C7"/>
    <w:rsid w:val="000B737C"/>
    <w:rsid w:val="000C0FA3"/>
    <w:rsid w:val="000C1297"/>
    <w:rsid w:val="000C17FC"/>
    <w:rsid w:val="000C1B10"/>
    <w:rsid w:val="000C20DE"/>
    <w:rsid w:val="000C3CFD"/>
    <w:rsid w:val="000C47F4"/>
    <w:rsid w:val="000C4E93"/>
    <w:rsid w:val="000C5044"/>
    <w:rsid w:val="000C58E8"/>
    <w:rsid w:val="000C5FA0"/>
    <w:rsid w:val="000C60E1"/>
    <w:rsid w:val="000C6175"/>
    <w:rsid w:val="000C61ED"/>
    <w:rsid w:val="000C6797"/>
    <w:rsid w:val="000C7114"/>
    <w:rsid w:val="000C79E7"/>
    <w:rsid w:val="000C7E15"/>
    <w:rsid w:val="000D01C7"/>
    <w:rsid w:val="000D0403"/>
    <w:rsid w:val="000D0681"/>
    <w:rsid w:val="000D2650"/>
    <w:rsid w:val="000D297E"/>
    <w:rsid w:val="000D2F98"/>
    <w:rsid w:val="000D35A0"/>
    <w:rsid w:val="000D36A9"/>
    <w:rsid w:val="000D3A55"/>
    <w:rsid w:val="000D438A"/>
    <w:rsid w:val="000D497A"/>
    <w:rsid w:val="000D4BC7"/>
    <w:rsid w:val="000D5477"/>
    <w:rsid w:val="000D54B6"/>
    <w:rsid w:val="000D631E"/>
    <w:rsid w:val="000D66D8"/>
    <w:rsid w:val="000D6C39"/>
    <w:rsid w:val="000D729F"/>
    <w:rsid w:val="000D75A6"/>
    <w:rsid w:val="000D7E31"/>
    <w:rsid w:val="000E067E"/>
    <w:rsid w:val="000E09C0"/>
    <w:rsid w:val="000E0F43"/>
    <w:rsid w:val="000E18AF"/>
    <w:rsid w:val="000E1F13"/>
    <w:rsid w:val="000E1FD0"/>
    <w:rsid w:val="000E2290"/>
    <w:rsid w:val="000E2455"/>
    <w:rsid w:val="000E2EAC"/>
    <w:rsid w:val="000E39EB"/>
    <w:rsid w:val="000E39F1"/>
    <w:rsid w:val="000E3D6C"/>
    <w:rsid w:val="000E3F86"/>
    <w:rsid w:val="000E4634"/>
    <w:rsid w:val="000E4F26"/>
    <w:rsid w:val="000E58BA"/>
    <w:rsid w:val="000E5AC3"/>
    <w:rsid w:val="000E5EB8"/>
    <w:rsid w:val="000E75CC"/>
    <w:rsid w:val="000F08C1"/>
    <w:rsid w:val="000F0C9F"/>
    <w:rsid w:val="000F0CF3"/>
    <w:rsid w:val="000F0F3D"/>
    <w:rsid w:val="000F1158"/>
    <w:rsid w:val="000F1B48"/>
    <w:rsid w:val="000F1B83"/>
    <w:rsid w:val="000F287A"/>
    <w:rsid w:val="000F2AEA"/>
    <w:rsid w:val="000F3AE7"/>
    <w:rsid w:val="000F3B34"/>
    <w:rsid w:val="000F3CCD"/>
    <w:rsid w:val="000F403E"/>
    <w:rsid w:val="000F4205"/>
    <w:rsid w:val="000F429F"/>
    <w:rsid w:val="000F483F"/>
    <w:rsid w:val="000F49F1"/>
    <w:rsid w:val="000F4D81"/>
    <w:rsid w:val="000F5DCB"/>
    <w:rsid w:val="000F6480"/>
    <w:rsid w:val="000F667C"/>
    <w:rsid w:val="000F6704"/>
    <w:rsid w:val="000F6881"/>
    <w:rsid w:val="000F68AB"/>
    <w:rsid w:val="000F6CDA"/>
    <w:rsid w:val="000F72B2"/>
    <w:rsid w:val="000F75AA"/>
    <w:rsid w:val="00100369"/>
    <w:rsid w:val="0010066F"/>
    <w:rsid w:val="001016C1"/>
    <w:rsid w:val="0010180C"/>
    <w:rsid w:val="00101E26"/>
    <w:rsid w:val="00101ED8"/>
    <w:rsid w:val="00101EE3"/>
    <w:rsid w:val="00102F52"/>
    <w:rsid w:val="00103A06"/>
    <w:rsid w:val="00103D69"/>
    <w:rsid w:val="00104946"/>
    <w:rsid w:val="00104960"/>
    <w:rsid w:val="001053BA"/>
    <w:rsid w:val="00105B28"/>
    <w:rsid w:val="00106926"/>
    <w:rsid w:val="00106ACF"/>
    <w:rsid w:val="0010719F"/>
    <w:rsid w:val="00107A57"/>
    <w:rsid w:val="00107BFB"/>
    <w:rsid w:val="001100CC"/>
    <w:rsid w:val="0011087A"/>
    <w:rsid w:val="00110D01"/>
    <w:rsid w:val="00111173"/>
    <w:rsid w:val="00111325"/>
    <w:rsid w:val="0011159C"/>
    <w:rsid w:val="00111637"/>
    <w:rsid w:val="00111718"/>
    <w:rsid w:val="00111795"/>
    <w:rsid w:val="00111B01"/>
    <w:rsid w:val="00112041"/>
    <w:rsid w:val="00112303"/>
    <w:rsid w:val="00112D84"/>
    <w:rsid w:val="00113088"/>
    <w:rsid w:val="00113535"/>
    <w:rsid w:val="0011440F"/>
    <w:rsid w:val="00115038"/>
    <w:rsid w:val="0011517C"/>
    <w:rsid w:val="00115808"/>
    <w:rsid w:val="00115E37"/>
    <w:rsid w:val="001165D0"/>
    <w:rsid w:val="00116A5C"/>
    <w:rsid w:val="00116DC2"/>
    <w:rsid w:val="00117127"/>
    <w:rsid w:val="0011738A"/>
    <w:rsid w:val="00117A39"/>
    <w:rsid w:val="00117CD3"/>
    <w:rsid w:val="00117DA2"/>
    <w:rsid w:val="00120197"/>
    <w:rsid w:val="00120959"/>
    <w:rsid w:val="00120D4A"/>
    <w:rsid w:val="00121929"/>
    <w:rsid w:val="00122154"/>
    <w:rsid w:val="00122157"/>
    <w:rsid w:val="001228F4"/>
    <w:rsid w:val="00122D5D"/>
    <w:rsid w:val="00122D5F"/>
    <w:rsid w:val="0012317A"/>
    <w:rsid w:val="00123AD2"/>
    <w:rsid w:val="00124321"/>
    <w:rsid w:val="0012501D"/>
    <w:rsid w:val="001256D4"/>
    <w:rsid w:val="00126069"/>
    <w:rsid w:val="00126565"/>
    <w:rsid w:val="0012674E"/>
    <w:rsid w:val="00127539"/>
    <w:rsid w:val="00130716"/>
    <w:rsid w:val="00130810"/>
    <w:rsid w:val="00131E56"/>
    <w:rsid w:val="00132502"/>
    <w:rsid w:val="001328B9"/>
    <w:rsid w:val="001328F3"/>
    <w:rsid w:val="0013315E"/>
    <w:rsid w:val="0013334E"/>
    <w:rsid w:val="001333C2"/>
    <w:rsid w:val="001333E7"/>
    <w:rsid w:val="001339C9"/>
    <w:rsid w:val="0013470A"/>
    <w:rsid w:val="001354B3"/>
    <w:rsid w:val="00135584"/>
    <w:rsid w:val="0013567F"/>
    <w:rsid w:val="001358BB"/>
    <w:rsid w:val="00135A92"/>
    <w:rsid w:val="00135CD5"/>
    <w:rsid w:val="00136437"/>
    <w:rsid w:val="001365BE"/>
    <w:rsid w:val="00136B9A"/>
    <w:rsid w:val="00137F04"/>
    <w:rsid w:val="00140102"/>
    <w:rsid w:val="00141C7B"/>
    <w:rsid w:val="00142CC7"/>
    <w:rsid w:val="00143A9B"/>
    <w:rsid w:val="0014412B"/>
    <w:rsid w:val="00144262"/>
    <w:rsid w:val="001454E0"/>
    <w:rsid w:val="00145B0A"/>
    <w:rsid w:val="00145D92"/>
    <w:rsid w:val="00146BAB"/>
    <w:rsid w:val="00147834"/>
    <w:rsid w:val="00147CEC"/>
    <w:rsid w:val="00147EA9"/>
    <w:rsid w:val="0015029C"/>
    <w:rsid w:val="00150311"/>
    <w:rsid w:val="00150928"/>
    <w:rsid w:val="00150970"/>
    <w:rsid w:val="00150AC7"/>
    <w:rsid w:val="00150C37"/>
    <w:rsid w:val="00151115"/>
    <w:rsid w:val="00152482"/>
    <w:rsid w:val="00152E81"/>
    <w:rsid w:val="001534C0"/>
    <w:rsid w:val="00154FFE"/>
    <w:rsid w:val="00155921"/>
    <w:rsid w:val="001559B3"/>
    <w:rsid w:val="00155B15"/>
    <w:rsid w:val="00155C4D"/>
    <w:rsid w:val="00155E2F"/>
    <w:rsid w:val="001563E5"/>
    <w:rsid w:val="001565F8"/>
    <w:rsid w:val="001574EE"/>
    <w:rsid w:val="00157589"/>
    <w:rsid w:val="001579BF"/>
    <w:rsid w:val="00157B00"/>
    <w:rsid w:val="00157B3E"/>
    <w:rsid w:val="001601EA"/>
    <w:rsid w:val="00162437"/>
    <w:rsid w:val="0016275A"/>
    <w:rsid w:val="0016275D"/>
    <w:rsid w:val="0016290F"/>
    <w:rsid w:val="00163067"/>
    <w:rsid w:val="00164116"/>
    <w:rsid w:val="00164C04"/>
    <w:rsid w:val="001656B6"/>
    <w:rsid w:val="00165CB2"/>
    <w:rsid w:val="0016619E"/>
    <w:rsid w:val="00166236"/>
    <w:rsid w:val="00166756"/>
    <w:rsid w:val="00166D2D"/>
    <w:rsid w:val="001679A4"/>
    <w:rsid w:val="00167C44"/>
    <w:rsid w:val="00167DEF"/>
    <w:rsid w:val="00167F76"/>
    <w:rsid w:val="001701C4"/>
    <w:rsid w:val="00170247"/>
    <w:rsid w:val="001709A0"/>
    <w:rsid w:val="00170ACE"/>
    <w:rsid w:val="00171788"/>
    <w:rsid w:val="00171A9D"/>
    <w:rsid w:val="001721A5"/>
    <w:rsid w:val="00172A69"/>
    <w:rsid w:val="00172B7C"/>
    <w:rsid w:val="00172B9D"/>
    <w:rsid w:val="00172EFD"/>
    <w:rsid w:val="00173830"/>
    <w:rsid w:val="00173B59"/>
    <w:rsid w:val="00173C98"/>
    <w:rsid w:val="00173E97"/>
    <w:rsid w:val="0017411F"/>
    <w:rsid w:val="001746CC"/>
    <w:rsid w:val="00174BE8"/>
    <w:rsid w:val="001754A8"/>
    <w:rsid w:val="0017561E"/>
    <w:rsid w:val="00175DDC"/>
    <w:rsid w:val="0017635F"/>
    <w:rsid w:val="00176812"/>
    <w:rsid w:val="00176D76"/>
    <w:rsid w:val="001777C8"/>
    <w:rsid w:val="00177EDF"/>
    <w:rsid w:val="00180151"/>
    <w:rsid w:val="0018067A"/>
    <w:rsid w:val="00180C47"/>
    <w:rsid w:val="00180D7B"/>
    <w:rsid w:val="00180DA5"/>
    <w:rsid w:val="00180DB5"/>
    <w:rsid w:val="00181FB9"/>
    <w:rsid w:val="00182782"/>
    <w:rsid w:val="00182F6D"/>
    <w:rsid w:val="001831AE"/>
    <w:rsid w:val="00183B3E"/>
    <w:rsid w:val="00183E3B"/>
    <w:rsid w:val="00184D6A"/>
    <w:rsid w:val="00184DC6"/>
    <w:rsid w:val="00185055"/>
    <w:rsid w:val="00185543"/>
    <w:rsid w:val="00185C7F"/>
    <w:rsid w:val="001863E4"/>
    <w:rsid w:val="00186761"/>
    <w:rsid w:val="00186794"/>
    <w:rsid w:val="00186819"/>
    <w:rsid w:val="00186BA5"/>
    <w:rsid w:val="001873C6"/>
    <w:rsid w:val="001875F7"/>
    <w:rsid w:val="00187DEA"/>
    <w:rsid w:val="00190A3E"/>
    <w:rsid w:val="00190CF3"/>
    <w:rsid w:val="00190FBE"/>
    <w:rsid w:val="00191129"/>
    <w:rsid w:val="001911F0"/>
    <w:rsid w:val="00191A71"/>
    <w:rsid w:val="00191D2A"/>
    <w:rsid w:val="00191FD6"/>
    <w:rsid w:val="00192A02"/>
    <w:rsid w:val="00192CB3"/>
    <w:rsid w:val="00192D87"/>
    <w:rsid w:val="00193241"/>
    <w:rsid w:val="00193339"/>
    <w:rsid w:val="00193AFB"/>
    <w:rsid w:val="00193BC6"/>
    <w:rsid w:val="00194F05"/>
    <w:rsid w:val="001950EF"/>
    <w:rsid w:val="00195E24"/>
    <w:rsid w:val="00195F77"/>
    <w:rsid w:val="00195F93"/>
    <w:rsid w:val="001963AA"/>
    <w:rsid w:val="00196698"/>
    <w:rsid w:val="00197011"/>
    <w:rsid w:val="001971BC"/>
    <w:rsid w:val="00197235"/>
    <w:rsid w:val="0019744B"/>
    <w:rsid w:val="001978F3"/>
    <w:rsid w:val="00197B08"/>
    <w:rsid w:val="00197C7C"/>
    <w:rsid w:val="001A05BA"/>
    <w:rsid w:val="001A08F6"/>
    <w:rsid w:val="001A1285"/>
    <w:rsid w:val="001A2FA6"/>
    <w:rsid w:val="001A333F"/>
    <w:rsid w:val="001A34CB"/>
    <w:rsid w:val="001A3A79"/>
    <w:rsid w:val="001A3DC4"/>
    <w:rsid w:val="001A419C"/>
    <w:rsid w:val="001A4601"/>
    <w:rsid w:val="001A483C"/>
    <w:rsid w:val="001A4A14"/>
    <w:rsid w:val="001A5A73"/>
    <w:rsid w:val="001A5FA1"/>
    <w:rsid w:val="001A62BE"/>
    <w:rsid w:val="001A62F1"/>
    <w:rsid w:val="001A635D"/>
    <w:rsid w:val="001A63B1"/>
    <w:rsid w:val="001A77E6"/>
    <w:rsid w:val="001B0261"/>
    <w:rsid w:val="001B0BAA"/>
    <w:rsid w:val="001B148D"/>
    <w:rsid w:val="001B1B58"/>
    <w:rsid w:val="001B2E89"/>
    <w:rsid w:val="001B3DBB"/>
    <w:rsid w:val="001B41EE"/>
    <w:rsid w:val="001B4B0F"/>
    <w:rsid w:val="001B5110"/>
    <w:rsid w:val="001B5A2D"/>
    <w:rsid w:val="001B5E33"/>
    <w:rsid w:val="001B6090"/>
    <w:rsid w:val="001B61D3"/>
    <w:rsid w:val="001B6BE2"/>
    <w:rsid w:val="001B7BBE"/>
    <w:rsid w:val="001B7C7F"/>
    <w:rsid w:val="001B7CC7"/>
    <w:rsid w:val="001B7E60"/>
    <w:rsid w:val="001C0362"/>
    <w:rsid w:val="001C086F"/>
    <w:rsid w:val="001C1402"/>
    <w:rsid w:val="001C1887"/>
    <w:rsid w:val="001C193E"/>
    <w:rsid w:val="001C2986"/>
    <w:rsid w:val="001C2BEA"/>
    <w:rsid w:val="001C2C38"/>
    <w:rsid w:val="001C2C9A"/>
    <w:rsid w:val="001C2F2E"/>
    <w:rsid w:val="001C2F39"/>
    <w:rsid w:val="001C2F3B"/>
    <w:rsid w:val="001C3477"/>
    <w:rsid w:val="001C3FA8"/>
    <w:rsid w:val="001C44A4"/>
    <w:rsid w:val="001C45E6"/>
    <w:rsid w:val="001C4711"/>
    <w:rsid w:val="001C4C6B"/>
    <w:rsid w:val="001C4E1B"/>
    <w:rsid w:val="001C51E5"/>
    <w:rsid w:val="001C6026"/>
    <w:rsid w:val="001C637C"/>
    <w:rsid w:val="001C66BD"/>
    <w:rsid w:val="001C6835"/>
    <w:rsid w:val="001C71BB"/>
    <w:rsid w:val="001C72E5"/>
    <w:rsid w:val="001C759F"/>
    <w:rsid w:val="001C7BCD"/>
    <w:rsid w:val="001C7E14"/>
    <w:rsid w:val="001D0A95"/>
    <w:rsid w:val="001D0FF8"/>
    <w:rsid w:val="001D1461"/>
    <w:rsid w:val="001D148C"/>
    <w:rsid w:val="001D2678"/>
    <w:rsid w:val="001D273C"/>
    <w:rsid w:val="001D2798"/>
    <w:rsid w:val="001D33F0"/>
    <w:rsid w:val="001D3C25"/>
    <w:rsid w:val="001D3DAC"/>
    <w:rsid w:val="001D412B"/>
    <w:rsid w:val="001D58B7"/>
    <w:rsid w:val="001D5966"/>
    <w:rsid w:val="001D6155"/>
    <w:rsid w:val="001D64E2"/>
    <w:rsid w:val="001D6B17"/>
    <w:rsid w:val="001D756E"/>
    <w:rsid w:val="001D7595"/>
    <w:rsid w:val="001D76E4"/>
    <w:rsid w:val="001D78C9"/>
    <w:rsid w:val="001D7ADF"/>
    <w:rsid w:val="001D7E36"/>
    <w:rsid w:val="001E0D0F"/>
    <w:rsid w:val="001E1A5A"/>
    <w:rsid w:val="001E208F"/>
    <w:rsid w:val="001E239B"/>
    <w:rsid w:val="001E249C"/>
    <w:rsid w:val="001E294B"/>
    <w:rsid w:val="001E2BCE"/>
    <w:rsid w:val="001E2F66"/>
    <w:rsid w:val="001E306D"/>
    <w:rsid w:val="001E3856"/>
    <w:rsid w:val="001E390D"/>
    <w:rsid w:val="001E39DE"/>
    <w:rsid w:val="001E4362"/>
    <w:rsid w:val="001E44B3"/>
    <w:rsid w:val="001E485F"/>
    <w:rsid w:val="001E4A48"/>
    <w:rsid w:val="001E562D"/>
    <w:rsid w:val="001E5B6C"/>
    <w:rsid w:val="001E5D1D"/>
    <w:rsid w:val="001E5DE5"/>
    <w:rsid w:val="001E63B1"/>
    <w:rsid w:val="001E7138"/>
    <w:rsid w:val="001E73C5"/>
    <w:rsid w:val="001E74B5"/>
    <w:rsid w:val="001E78A8"/>
    <w:rsid w:val="001F0077"/>
    <w:rsid w:val="001F01F8"/>
    <w:rsid w:val="001F1107"/>
    <w:rsid w:val="001F1A2D"/>
    <w:rsid w:val="001F1F89"/>
    <w:rsid w:val="001F217C"/>
    <w:rsid w:val="001F22C3"/>
    <w:rsid w:val="001F2B2F"/>
    <w:rsid w:val="001F3AF9"/>
    <w:rsid w:val="001F3EBA"/>
    <w:rsid w:val="001F48B7"/>
    <w:rsid w:val="001F4F07"/>
    <w:rsid w:val="001F4FAF"/>
    <w:rsid w:val="001F555A"/>
    <w:rsid w:val="001F5AB7"/>
    <w:rsid w:val="001F62B2"/>
    <w:rsid w:val="001F6379"/>
    <w:rsid w:val="001F6985"/>
    <w:rsid w:val="001F746C"/>
    <w:rsid w:val="001F7759"/>
    <w:rsid w:val="002000E6"/>
    <w:rsid w:val="00200497"/>
    <w:rsid w:val="00201062"/>
    <w:rsid w:val="0020348F"/>
    <w:rsid w:val="00204509"/>
    <w:rsid w:val="0020453E"/>
    <w:rsid w:val="00204A1F"/>
    <w:rsid w:val="0020544A"/>
    <w:rsid w:val="00205C3D"/>
    <w:rsid w:val="00205E38"/>
    <w:rsid w:val="00206001"/>
    <w:rsid w:val="002064B2"/>
    <w:rsid w:val="00206C2E"/>
    <w:rsid w:val="00206DA8"/>
    <w:rsid w:val="00207028"/>
    <w:rsid w:val="00207498"/>
    <w:rsid w:val="002103C5"/>
    <w:rsid w:val="00210404"/>
    <w:rsid w:val="0021063B"/>
    <w:rsid w:val="0021198C"/>
    <w:rsid w:val="00212579"/>
    <w:rsid w:val="00212B18"/>
    <w:rsid w:val="00212D1C"/>
    <w:rsid w:val="00213689"/>
    <w:rsid w:val="00213BA0"/>
    <w:rsid w:val="00213FD4"/>
    <w:rsid w:val="00214153"/>
    <w:rsid w:val="002141A1"/>
    <w:rsid w:val="00214408"/>
    <w:rsid w:val="00214AB5"/>
    <w:rsid w:val="002150CD"/>
    <w:rsid w:val="002151A2"/>
    <w:rsid w:val="00215360"/>
    <w:rsid w:val="00215A20"/>
    <w:rsid w:val="00215FDC"/>
    <w:rsid w:val="0021643B"/>
    <w:rsid w:val="00216D64"/>
    <w:rsid w:val="002173E3"/>
    <w:rsid w:val="002178DF"/>
    <w:rsid w:val="00220927"/>
    <w:rsid w:val="002209BD"/>
    <w:rsid w:val="00220CE5"/>
    <w:rsid w:val="00220E35"/>
    <w:rsid w:val="00221167"/>
    <w:rsid w:val="00221FBB"/>
    <w:rsid w:val="00222553"/>
    <w:rsid w:val="00222876"/>
    <w:rsid w:val="00222922"/>
    <w:rsid w:val="00222AEA"/>
    <w:rsid w:val="00222B92"/>
    <w:rsid w:val="00222F8C"/>
    <w:rsid w:val="00223C19"/>
    <w:rsid w:val="00223CBD"/>
    <w:rsid w:val="00223F59"/>
    <w:rsid w:val="00224BD2"/>
    <w:rsid w:val="00224D61"/>
    <w:rsid w:val="00224E91"/>
    <w:rsid w:val="00225A72"/>
    <w:rsid w:val="00226081"/>
    <w:rsid w:val="002261EB"/>
    <w:rsid w:val="002262BA"/>
    <w:rsid w:val="002265F7"/>
    <w:rsid w:val="00227D78"/>
    <w:rsid w:val="0023103B"/>
    <w:rsid w:val="00231910"/>
    <w:rsid w:val="00231C0C"/>
    <w:rsid w:val="00232198"/>
    <w:rsid w:val="00233CA1"/>
    <w:rsid w:val="00233F30"/>
    <w:rsid w:val="002350DD"/>
    <w:rsid w:val="00235E9E"/>
    <w:rsid w:val="002366BF"/>
    <w:rsid w:val="00236CDB"/>
    <w:rsid w:val="0023748C"/>
    <w:rsid w:val="002378D0"/>
    <w:rsid w:val="00240379"/>
    <w:rsid w:val="002404E1"/>
    <w:rsid w:val="0024053D"/>
    <w:rsid w:val="0024089B"/>
    <w:rsid w:val="002408A7"/>
    <w:rsid w:val="00240A5A"/>
    <w:rsid w:val="00240DB9"/>
    <w:rsid w:val="00241597"/>
    <w:rsid w:val="0024190A"/>
    <w:rsid w:val="00241BAF"/>
    <w:rsid w:val="00241E86"/>
    <w:rsid w:val="00241FB2"/>
    <w:rsid w:val="00243583"/>
    <w:rsid w:val="0024385C"/>
    <w:rsid w:val="002447DE"/>
    <w:rsid w:val="0024481E"/>
    <w:rsid w:val="00244C93"/>
    <w:rsid w:val="00244DFC"/>
    <w:rsid w:val="00245614"/>
    <w:rsid w:val="00245BE6"/>
    <w:rsid w:val="00246225"/>
    <w:rsid w:val="002465C4"/>
    <w:rsid w:val="002465C7"/>
    <w:rsid w:val="00246742"/>
    <w:rsid w:val="00246912"/>
    <w:rsid w:val="002476B8"/>
    <w:rsid w:val="00247C87"/>
    <w:rsid w:val="00247E12"/>
    <w:rsid w:val="00247F5C"/>
    <w:rsid w:val="002500F1"/>
    <w:rsid w:val="00250E92"/>
    <w:rsid w:val="00251BA2"/>
    <w:rsid w:val="00252339"/>
    <w:rsid w:val="00252487"/>
    <w:rsid w:val="00252726"/>
    <w:rsid w:val="00252D71"/>
    <w:rsid w:val="00252EBE"/>
    <w:rsid w:val="00253C38"/>
    <w:rsid w:val="00253EEE"/>
    <w:rsid w:val="00253FA3"/>
    <w:rsid w:val="00254015"/>
    <w:rsid w:val="00254380"/>
    <w:rsid w:val="0025479D"/>
    <w:rsid w:val="00254A0B"/>
    <w:rsid w:val="00254B9B"/>
    <w:rsid w:val="00255019"/>
    <w:rsid w:val="00255B28"/>
    <w:rsid w:val="00255FC7"/>
    <w:rsid w:val="002561FD"/>
    <w:rsid w:val="00256879"/>
    <w:rsid w:val="002569E8"/>
    <w:rsid w:val="00256B82"/>
    <w:rsid w:val="00256C01"/>
    <w:rsid w:val="00256C8A"/>
    <w:rsid w:val="00256CB5"/>
    <w:rsid w:val="00260782"/>
    <w:rsid w:val="002608E8"/>
    <w:rsid w:val="002609D8"/>
    <w:rsid w:val="00260E45"/>
    <w:rsid w:val="00260E79"/>
    <w:rsid w:val="002611D4"/>
    <w:rsid w:val="002617C7"/>
    <w:rsid w:val="00261A54"/>
    <w:rsid w:val="00263180"/>
    <w:rsid w:val="002633E3"/>
    <w:rsid w:val="00263669"/>
    <w:rsid w:val="002637CF"/>
    <w:rsid w:val="00263842"/>
    <w:rsid w:val="0026387B"/>
    <w:rsid w:val="00263A4D"/>
    <w:rsid w:val="0026400B"/>
    <w:rsid w:val="0026400C"/>
    <w:rsid w:val="002647C2"/>
    <w:rsid w:val="00265038"/>
    <w:rsid w:val="0026548A"/>
    <w:rsid w:val="002654CE"/>
    <w:rsid w:val="00265D41"/>
    <w:rsid w:val="00266ADC"/>
    <w:rsid w:val="00267103"/>
    <w:rsid w:val="00270639"/>
    <w:rsid w:val="002710E2"/>
    <w:rsid w:val="002720BF"/>
    <w:rsid w:val="002728B0"/>
    <w:rsid w:val="00272AF3"/>
    <w:rsid w:val="002739B5"/>
    <w:rsid w:val="00273B6C"/>
    <w:rsid w:val="002742D5"/>
    <w:rsid w:val="002749CF"/>
    <w:rsid w:val="00274B25"/>
    <w:rsid w:val="002753BD"/>
    <w:rsid w:val="00275BDD"/>
    <w:rsid w:val="00275E73"/>
    <w:rsid w:val="002762B8"/>
    <w:rsid w:val="002763A9"/>
    <w:rsid w:val="00276E5E"/>
    <w:rsid w:val="002808FF"/>
    <w:rsid w:val="00280B86"/>
    <w:rsid w:val="002814F1"/>
    <w:rsid w:val="0028255B"/>
    <w:rsid w:val="00282A61"/>
    <w:rsid w:val="00282F89"/>
    <w:rsid w:val="00283365"/>
    <w:rsid w:val="00284BA6"/>
    <w:rsid w:val="00285773"/>
    <w:rsid w:val="002858A5"/>
    <w:rsid w:val="002869A9"/>
    <w:rsid w:val="00286F1F"/>
    <w:rsid w:val="00287CD6"/>
    <w:rsid w:val="002903F3"/>
    <w:rsid w:val="002905B2"/>
    <w:rsid w:val="002909AC"/>
    <w:rsid w:val="002911E8"/>
    <w:rsid w:val="00292490"/>
    <w:rsid w:val="00292E08"/>
    <w:rsid w:val="0029335F"/>
    <w:rsid w:val="0029343D"/>
    <w:rsid w:val="0029361C"/>
    <w:rsid w:val="00293730"/>
    <w:rsid w:val="002951A1"/>
    <w:rsid w:val="00295807"/>
    <w:rsid w:val="002964F0"/>
    <w:rsid w:val="0029670B"/>
    <w:rsid w:val="00296949"/>
    <w:rsid w:val="00296CC2"/>
    <w:rsid w:val="00296ED3"/>
    <w:rsid w:val="0029750A"/>
    <w:rsid w:val="002977FD"/>
    <w:rsid w:val="00297888"/>
    <w:rsid w:val="002A0089"/>
    <w:rsid w:val="002A0483"/>
    <w:rsid w:val="002A0720"/>
    <w:rsid w:val="002A0D0C"/>
    <w:rsid w:val="002A136D"/>
    <w:rsid w:val="002A1C0E"/>
    <w:rsid w:val="002A1FD9"/>
    <w:rsid w:val="002A259A"/>
    <w:rsid w:val="002A2C11"/>
    <w:rsid w:val="002A3490"/>
    <w:rsid w:val="002A34BE"/>
    <w:rsid w:val="002A35DB"/>
    <w:rsid w:val="002A36E4"/>
    <w:rsid w:val="002A4957"/>
    <w:rsid w:val="002A4B97"/>
    <w:rsid w:val="002A4C35"/>
    <w:rsid w:val="002A501A"/>
    <w:rsid w:val="002A5098"/>
    <w:rsid w:val="002A5099"/>
    <w:rsid w:val="002A5C20"/>
    <w:rsid w:val="002A5C55"/>
    <w:rsid w:val="002A5FA8"/>
    <w:rsid w:val="002A6145"/>
    <w:rsid w:val="002A6D65"/>
    <w:rsid w:val="002A7283"/>
    <w:rsid w:val="002A7551"/>
    <w:rsid w:val="002A75BA"/>
    <w:rsid w:val="002A7C22"/>
    <w:rsid w:val="002A7CF8"/>
    <w:rsid w:val="002B0489"/>
    <w:rsid w:val="002B08C3"/>
    <w:rsid w:val="002B14F3"/>
    <w:rsid w:val="002B162E"/>
    <w:rsid w:val="002B1956"/>
    <w:rsid w:val="002B1A16"/>
    <w:rsid w:val="002B1E39"/>
    <w:rsid w:val="002B20B1"/>
    <w:rsid w:val="002B2385"/>
    <w:rsid w:val="002B2AE4"/>
    <w:rsid w:val="002B329E"/>
    <w:rsid w:val="002B406C"/>
    <w:rsid w:val="002B548E"/>
    <w:rsid w:val="002B555F"/>
    <w:rsid w:val="002B591F"/>
    <w:rsid w:val="002B5F24"/>
    <w:rsid w:val="002B5FC3"/>
    <w:rsid w:val="002B6440"/>
    <w:rsid w:val="002B658D"/>
    <w:rsid w:val="002B7984"/>
    <w:rsid w:val="002B7BA7"/>
    <w:rsid w:val="002B7ED4"/>
    <w:rsid w:val="002C160F"/>
    <w:rsid w:val="002C176E"/>
    <w:rsid w:val="002C1814"/>
    <w:rsid w:val="002C1B4D"/>
    <w:rsid w:val="002C2769"/>
    <w:rsid w:val="002C2A42"/>
    <w:rsid w:val="002C2B8B"/>
    <w:rsid w:val="002C2EC4"/>
    <w:rsid w:val="002C2FC5"/>
    <w:rsid w:val="002C2FCF"/>
    <w:rsid w:val="002C315F"/>
    <w:rsid w:val="002C38E0"/>
    <w:rsid w:val="002C41A9"/>
    <w:rsid w:val="002C41CB"/>
    <w:rsid w:val="002C4991"/>
    <w:rsid w:val="002C4B08"/>
    <w:rsid w:val="002C5C4C"/>
    <w:rsid w:val="002C600B"/>
    <w:rsid w:val="002C643D"/>
    <w:rsid w:val="002C6BB9"/>
    <w:rsid w:val="002C6D7A"/>
    <w:rsid w:val="002C6EDF"/>
    <w:rsid w:val="002C7195"/>
    <w:rsid w:val="002C74E8"/>
    <w:rsid w:val="002C7657"/>
    <w:rsid w:val="002C765A"/>
    <w:rsid w:val="002C7B35"/>
    <w:rsid w:val="002C7B57"/>
    <w:rsid w:val="002D053B"/>
    <w:rsid w:val="002D188C"/>
    <w:rsid w:val="002D199D"/>
    <w:rsid w:val="002D1BFF"/>
    <w:rsid w:val="002D4502"/>
    <w:rsid w:val="002D45B7"/>
    <w:rsid w:val="002D51D4"/>
    <w:rsid w:val="002D53EF"/>
    <w:rsid w:val="002D5447"/>
    <w:rsid w:val="002D56E0"/>
    <w:rsid w:val="002D5B19"/>
    <w:rsid w:val="002D65EE"/>
    <w:rsid w:val="002D6835"/>
    <w:rsid w:val="002D7C12"/>
    <w:rsid w:val="002D7F90"/>
    <w:rsid w:val="002E094F"/>
    <w:rsid w:val="002E0DC1"/>
    <w:rsid w:val="002E0DCE"/>
    <w:rsid w:val="002E1DB4"/>
    <w:rsid w:val="002E21DB"/>
    <w:rsid w:val="002E25D0"/>
    <w:rsid w:val="002E3400"/>
    <w:rsid w:val="002E3C45"/>
    <w:rsid w:val="002E3ECE"/>
    <w:rsid w:val="002E4110"/>
    <w:rsid w:val="002E4684"/>
    <w:rsid w:val="002E4A18"/>
    <w:rsid w:val="002E5195"/>
    <w:rsid w:val="002E5918"/>
    <w:rsid w:val="002E6018"/>
    <w:rsid w:val="002E65D8"/>
    <w:rsid w:val="002E66AE"/>
    <w:rsid w:val="002E66FF"/>
    <w:rsid w:val="002E7B5B"/>
    <w:rsid w:val="002F017F"/>
    <w:rsid w:val="002F0611"/>
    <w:rsid w:val="002F0762"/>
    <w:rsid w:val="002F08FC"/>
    <w:rsid w:val="002F0A52"/>
    <w:rsid w:val="002F1370"/>
    <w:rsid w:val="002F27C2"/>
    <w:rsid w:val="002F28FF"/>
    <w:rsid w:val="002F2E95"/>
    <w:rsid w:val="002F2F08"/>
    <w:rsid w:val="002F3AA5"/>
    <w:rsid w:val="002F3CDA"/>
    <w:rsid w:val="002F4089"/>
    <w:rsid w:val="002F4876"/>
    <w:rsid w:val="002F4A2E"/>
    <w:rsid w:val="002F517F"/>
    <w:rsid w:val="002F568E"/>
    <w:rsid w:val="002F575C"/>
    <w:rsid w:val="002F5941"/>
    <w:rsid w:val="002F59EC"/>
    <w:rsid w:val="002F5A40"/>
    <w:rsid w:val="002F5D61"/>
    <w:rsid w:val="002F687E"/>
    <w:rsid w:val="002F6B40"/>
    <w:rsid w:val="002F6D6A"/>
    <w:rsid w:val="002F70D4"/>
    <w:rsid w:val="002F72E9"/>
    <w:rsid w:val="002F7790"/>
    <w:rsid w:val="002F7D1D"/>
    <w:rsid w:val="00300C88"/>
    <w:rsid w:val="00300FF5"/>
    <w:rsid w:val="00301397"/>
    <w:rsid w:val="0030198A"/>
    <w:rsid w:val="00301D54"/>
    <w:rsid w:val="00302148"/>
    <w:rsid w:val="003022EF"/>
    <w:rsid w:val="00303006"/>
    <w:rsid w:val="0030431C"/>
    <w:rsid w:val="0030569C"/>
    <w:rsid w:val="00305726"/>
    <w:rsid w:val="003058B0"/>
    <w:rsid w:val="0030698A"/>
    <w:rsid w:val="00306E14"/>
    <w:rsid w:val="003071E0"/>
    <w:rsid w:val="0030725F"/>
    <w:rsid w:val="003074E8"/>
    <w:rsid w:val="00307A6A"/>
    <w:rsid w:val="00307EBA"/>
    <w:rsid w:val="0031037A"/>
    <w:rsid w:val="00311AAD"/>
    <w:rsid w:val="00311B50"/>
    <w:rsid w:val="00311D53"/>
    <w:rsid w:val="0031250E"/>
    <w:rsid w:val="0031268F"/>
    <w:rsid w:val="0031310B"/>
    <w:rsid w:val="003134A1"/>
    <w:rsid w:val="00314CB1"/>
    <w:rsid w:val="00314F0F"/>
    <w:rsid w:val="00315B40"/>
    <w:rsid w:val="0031610B"/>
    <w:rsid w:val="003165CA"/>
    <w:rsid w:val="00316C5C"/>
    <w:rsid w:val="0031711C"/>
    <w:rsid w:val="003178BD"/>
    <w:rsid w:val="00317B92"/>
    <w:rsid w:val="0032014A"/>
    <w:rsid w:val="003213B5"/>
    <w:rsid w:val="00321D61"/>
    <w:rsid w:val="0032216B"/>
    <w:rsid w:val="00322870"/>
    <w:rsid w:val="00322D47"/>
    <w:rsid w:val="003236A6"/>
    <w:rsid w:val="00323AE5"/>
    <w:rsid w:val="00324A08"/>
    <w:rsid w:val="00324E9B"/>
    <w:rsid w:val="00324F30"/>
    <w:rsid w:val="003250C9"/>
    <w:rsid w:val="00325754"/>
    <w:rsid w:val="0032660B"/>
    <w:rsid w:val="0032733B"/>
    <w:rsid w:val="0032770C"/>
    <w:rsid w:val="00327EA0"/>
    <w:rsid w:val="00332012"/>
    <w:rsid w:val="00332397"/>
    <w:rsid w:val="00332673"/>
    <w:rsid w:val="0033297D"/>
    <w:rsid w:val="00332A1F"/>
    <w:rsid w:val="00333DAF"/>
    <w:rsid w:val="003347A0"/>
    <w:rsid w:val="00334AB5"/>
    <w:rsid w:val="00334BA3"/>
    <w:rsid w:val="00334C1F"/>
    <w:rsid w:val="003351D1"/>
    <w:rsid w:val="00335255"/>
    <w:rsid w:val="003361A8"/>
    <w:rsid w:val="003361CF"/>
    <w:rsid w:val="00336642"/>
    <w:rsid w:val="003366DC"/>
    <w:rsid w:val="00336809"/>
    <w:rsid w:val="00336DF0"/>
    <w:rsid w:val="0033759A"/>
    <w:rsid w:val="00337B15"/>
    <w:rsid w:val="003406F8"/>
    <w:rsid w:val="003408E1"/>
    <w:rsid w:val="00341E92"/>
    <w:rsid w:val="00341EA7"/>
    <w:rsid w:val="003439C9"/>
    <w:rsid w:val="00343BF3"/>
    <w:rsid w:val="00343C8E"/>
    <w:rsid w:val="00344B40"/>
    <w:rsid w:val="00344B50"/>
    <w:rsid w:val="00345061"/>
    <w:rsid w:val="00345232"/>
    <w:rsid w:val="00345F15"/>
    <w:rsid w:val="00345FF6"/>
    <w:rsid w:val="003465C1"/>
    <w:rsid w:val="00346B51"/>
    <w:rsid w:val="00346F0D"/>
    <w:rsid w:val="00347013"/>
    <w:rsid w:val="00347500"/>
    <w:rsid w:val="00347511"/>
    <w:rsid w:val="00347712"/>
    <w:rsid w:val="00347AFA"/>
    <w:rsid w:val="00347C2C"/>
    <w:rsid w:val="00347DB2"/>
    <w:rsid w:val="00350858"/>
    <w:rsid w:val="003524CF"/>
    <w:rsid w:val="00352AFB"/>
    <w:rsid w:val="00352C98"/>
    <w:rsid w:val="00352E89"/>
    <w:rsid w:val="00352EF8"/>
    <w:rsid w:val="00352FC6"/>
    <w:rsid w:val="00354528"/>
    <w:rsid w:val="00354E76"/>
    <w:rsid w:val="003551A8"/>
    <w:rsid w:val="00355222"/>
    <w:rsid w:val="0035529F"/>
    <w:rsid w:val="003562F7"/>
    <w:rsid w:val="003565A4"/>
    <w:rsid w:val="0035671E"/>
    <w:rsid w:val="003567F7"/>
    <w:rsid w:val="00356996"/>
    <w:rsid w:val="00356B55"/>
    <w:rsid w:val="00356E72"/>
    <w:rsid w:val="00356F89"/>
    <w:rsid w:val="00357343"/>
    <w:rsid w:val="00357708"/>
    <w:rsid w:val="0035787B"/>
    <w:rsid w:val="00357EFD"/>
    <w:rsid w:val="0036042E"/>
    <w:rsid w:val="00360F13"/>
    <w:rsid w:val="003619B3"/>
    <w:rsid w:val="00361D52"/>
    <w:rsid w:val="0036226F"/>
    <w:rsid w:val="00362F45"/>
    <w:rsid w:val="00362F59"/>
    <w:rsid w:val="00365411"/>
    <w:rsid w:val="003656D7"/>
    <w:rsid w:val="00365718"/>
    <w:rsid w:val="00366075"/>
    <w:rsid w:val="00366644"/>
    <w:rsid w:val="003666AC"/>
    <w:rsid w:val="003666E1"/>
    <w:rsid w:val="003667F4"/>
    <w:rsid w:val="0036697B"/>
    <w:rsid w:val="00367957"/>
    <w:rsid w:val="0037083E"/>
    <w:rsid w:val="00370B0F"/>
    <w:rsid w:val="00370C76"/>
    <w:rsid w:val="00370F15"/>
    <w:rsid w:val="00372F0E"/>
    <w:rsid w:val="00373017"/>
    <w:rsid w:val="00373287"/>
    <w:rsid w:val="00373361"/>
    <w:rsid w:val="00373675"/>
    <w:rsid w:val="003738C3"/>
    <w:rsid w:val="00373C63"/>
    <w:rsid w:val="00373D2E"/>
    <w:rsid w:val="00373E03"/>
    <w:rsid w:val="00373E32"/>
    <w:rsid w:val="003746B6"/>
    <w:rsid w:val="00374B3D"/>
    <w:rsid w:val="00374C97"/>
    <w:rsid w:val="00374E63"/>
    <w:rsid w:val="0037507A"/>
    <w:rsid w:val="003759D5"/>
    <w:rsid w:val="00375D0B"/>
    <w:rsid w:val="00376156"/>
    <w:rsid w:val="00376651"/>
    <w:rsid w:val="00376E08"/>
    <w:rsid w:val="00377753"/>
    <w:rsid w:val="00377A64"/>
    <w:rsid w:val="003803FE"/>
    <w:rsid w:val="0038044D"/>
    <w:rsid w:val="00380595"/>
    <w:rsid w:val="00380940"/>
    <w:rsid w:val="00380DF9"/>
    <w:rsid w:val="0038114C"/>
    <w:rsid w:val="003812D0"/>
    <w:rsid w:val="003813C8"/>
    <w:rsid w:val="00382489"/>
    <w:rsid w:val="00382E19"/>
    <w:rsid w:val="003830D8"/>
    <w:rsid w:val="003831F3"/>
    <w:rsid w:val="00383AEF"/>
    <w:rsid w:val="00383C6E"/>
    <w:rsid w:val="00383D2F"/>
    <w:rsid w:val="00383E86"/>
    <w:rsid w:val="00383EBE"/>
    <w:rsid w:val="00384185"/>
    <w:rsid w:val="00384D4D"/>
    <w:rsid w:val="00384F51"/>
    <w:rsid w:val="0038505F"/>
    <w:rsid w:val="00385367"/>
    <w:rsid w:val="00385678"/>
    <w:rsid w:val="003859EC"/>
    <w:rsid w:val="00386252"/>
    <w:rsid w:val="00387393"/>
    <w:rsid w:val="00387886"/>
    <w:rsid w:val="00387896"/>
    <w:rsid w:val="00387900"/>
    <w:rsid w:val="00387B6A"/>
    <w:rsid w:val="00390651"/>
    <w:rsid w:val="00390CC3"/>
    <w:rsid w:val="00390EA3"/>
    <w:rsid w:val="0039102A"/>
    <w:rsid w:val="0039191E"/>
    <w:rsid w:val="00392185"/>
    <w:rsid w:val="003921AB"/>
    <w:rsid w:val="00392233"/>
    <w:rsid w:val="00392C50"/>
    <w:rsid w:val="00392EC6"/>
    <w:rsid w:val="00393373"/>
    <w:rsid w:val="0039342F"/>
    <w:rsid w:val="00393468"/>
    <w:rsid w:val="00394CEF"/>
    <w:rsid w:val="00394E7B"/>
    <w:rsid w:val="003952EE"/>
    <w:rsid w:val="00395FDA"/>
    <w:rsid w:val="00396CEC"/>
    <w:rsid w:val="00397386"/>
    <w:rsid w:val="00397669"/>
    <w:rsid w:val="00397A3E"/>
    <w:rsid w:val="00397FCF"/>
    <w:rsid w:val="003A0C26"/>
    <w:rsid w:val="003A1019"/>
    <w:rsid w:val="003A10FA"/>
    <w:rsid w:val="003A12A6"/>
    <w:rsid w:val="003A138B"/>
    <w:rsid w:val="003A1664"/>
    <w:rsid w:val="003A1B37"/>
    <w:rsid w:val="003A2432"/>
    <w:rsid w:val="003A2B99"/>
    <w:rsid w:val="003A33BE"/>
    <w:rsid w:val="003A373B"/>
    <w:rsid w:val="003A4783"/>
    <w:rsid w:val="003A6169"/>
    <w:rsid w:val="003A6235"/>
    <w:rsid w:val="003A68CB"/>
    <w:rsid w:val="003A6D7E"/>
    <w:rsid w:val="003A72B1"/>
    <w:rsid w:val="003A7643"/>
    <w:rsid w:val="003A7820"/>
    <w:rsid w:val="003B0655"/>
    <w:rsid w:val="003B0BA9"/>
    <w:rsid w:val="003B167E"/>
    <w:rsid w:val="003B18A9"/>
    <w:rsid w:val="003B1ADC"/>
    <w:rsid w:val="003B2584"/>
    <w:rsid w:val="003B25AB"/>
    <w:rsid w:val="003B37A0"/>
    <w:rsid w:val="003B445E"/>
    <w:rsid w:val="003B4BE7"/>
    <w:rsid w:val="003B4D7C"/>
    <w:rsid w:val="003B4E9E"/>
    <w:rsid w:val="003B59EB"/>
    <w:rsid w:val="003B5B8F"/>
    <w:rsid w:val="003B5EC5"/>
    <w:rsid w:val="003B6715"/>
    <w:rsid w:val="003B6824"/>
    <w:rsid w:val="003B6914"/>
    <w:rsid w:val="003B6C77"/>
    <w:rsid w:val="003B706F"/>
    <w:rsid w:val="003B7815"/>
    <w:rsid w:val="003B7B5D"/>
    <w:rsid w:val="003B7DB5"/>
    <w:rsid w:val="003B7DFB"/>
    <w:rsid w:val="003C0176"/>
    <w:rsid w:val="003C04A3"/>
    <w:rsid w:val="003C0565"/>
    <w:rsid w:val="003C0598"/>
    <w:rsid w:val="003C067E"/>
    <w:rsid w:val="003C09CF"/>
    <w:rsid w:val="003C0DAD"/>
    <w:rsid w:val="003C148F"/>
    <w:rsid w:val="003C2C4B"/>
    <w:rsid w:val="003C4E0F"/>
    <w:rsid w:val="003C4E36"/>
    <w:rsid w:val="003C4F8B"/>
    <w:rsid w:val="003C52C8"/>
    <w:rsid w:val="003C5ACA"/>
    <w:rsid w:val="003C5E86"/>
    <w:rsid w:val="003C5EC3"/>
    <w:rsid w:val="003C658F"/>
    <w:rsid w:val="003C7769"/>
    <w:rsid w:val="003D0717"/>
    <w:rsid w:val="003D0CB8"/>
    <w:rsid w:val="003D0F92"/>
    <w:rsid w:val="003D0FDB"/>
    <w:rsid w:val="003D103F"/>
    <w:rsid w:val="003D11A2"/>
    <w:rsid w:val="003D1E05"/>
    <w:rsid w:val="003D1F0D"/>
    <w:rsid w:val="003D23BB"/>
    <w:rsid w:val="003D47D2"/>
    <w:rsid w:val="003D4922"/>
    <w:rsid w:val="003D5156"/>
    <w:rsid w:val="003D525D"/>
    <w:rsid w:val="003D555E"/>
    <w:rsid w:val="003D5721"/>
    <w:rsid w:val="003D651D"/>
    <w:rsid w:val="003D676E"/>
    <w:rsid w:val="003D6E5D"/>
    <w:rsid w:val="003D7220"/>
    <w:rsid w:val="003D77C7"/>
    <w:rsid w:val="003E0042"/>
    <w:rsid w:val="003E0671"/>
    <w:rsid w:val="003E06DF"/>
    <w:rsid w:val="003E082C"/>
    <w:rsid w:val="003E08F7"/>
    <w:rsid w:val="003E1179"/>
    <w:rsid w:val="003E12FB"/>
    <w:rsid w:val="003E1460"/>
    <w:rsid w:val="003E14AF"/>
    <w:rsid w:val="003E1510"/>
    <w:rsid w:val="003E19F6"/>
    <w:rsid w:val="003E2B89"/>
    <w:rsid w:val="003E2C66"/>
    <w:rsid w:val="003E2F96"/>
    <w:rsid w:val="003E2FE1"/>
    <w:rsid w:val="003E3B3E"/>
    <w:rsid w:val="003E3FDE"/>
    <w:rsid w:val="003E457C"/>
    <w:rsid w:val="003E4FE0"/>
    <w:rsid w:val="003E500D"/>
    <w:rsid w:val="003E519F"/>
    <w:rsid w:val="003E6F8D"/>
    <w:rsid w:val="003E7770"/>
    <w:rsid w:val="003F0140"/>
    <w:rsid w:val="003F2055"/>
    <w:rsid w:val="003F2059"/>
    <w:rsid w:val="003F2486"/>
    <w:rsid w:val="003F28D5"/>
    <w:rsid w:val="003F2D39"/>
    <w:rsid w:val="003F2E0C"/>
    <w:rsid w:val="003F2EE6"/>
    <w:rsid w:val="003F3338"/>
    <w:rsid w:val="003F36D0"/>
    <w:rsid w:val="003F3AF0"/>
    <w:rsid w:val="003F3B23"/>
    <w:rsid w:val="003F3C2A"/>
    <w:rsid w:val="003F4A6D"/>
    <w:rsid w:val="003F4D48"/>
    <w:rsid w:val="003F5869"/>
    <w:rsid w:val="003F5ED7"/>
    <w:rsid w:val="003F696C"/>
    <w:rsid w:val="003F7841"/>
    <w:rsid w:val="003F7DAC"/>
    <w:rsid w:val="00400DC7"/>
    <w:rsid w:val="00401DEA"/>
    <w:rsid w:val="004020F7"/>
    <w:rsid w:val="004022E8"/>
    <w:rsid w:val="004023ED"/>
    <w:rsid w:val="004038FE"/>
    <w:rsid w:val="00403BC5"/>
    <w:rsid w:val="00403F0C"/>
    <w:rsid w:val="004046B2"/>
    <w:rsid w:val="0040491A"/>
    <w:rsid w:val="00404D30"/>
    <w:rsid w:val="00404D42"/>
    <w:rsid w:val="00404FC7"/>
    <w:rsid w:val="0040500F"/>
    <w:rsid w:val="004059F4"/>
    <w:rsid w:val="00405AFC"/>
    <w:rsid w:val="00406195"/>
    <w:rsid w:val="00406613"/>
    <w:rsid w:val="0040663C"/>
    <w:rsid w:val="00406715"/>
    <w:rsid w:val="0040693C"/>
    <w:rsid w:val="004079E7"/>
    <w:rsid w:val="00407ABC"/>
    <w:rsid w:val="004100C7"/>
    <w:rsid w:val="00410583"/>
    <w:rsid w:val="00410BC0"/>
    <w:rsid w:val="00410F8B"/>
    <w:rsid w:val="00411293"/>
    <w:rsid w:val="00411E7A"/>
    <w:rsid w:val="0041206D"/>
    <w:rsid w:val="004122B7"/>
    <w:rsid w:val="00412715"/>
    <w:rsid w:val="00412A21"/>
    <w:rsid w:val="00412C6C"/>
    <w:rsid w:val="00412E32"/>
    <w:rsid w:val="00412FBA"/>
    <w:rsid w:val="004134F5"/>
    <w:rsid w:val="0041353F"/>
    <w:rsid w:val="0041390E"/>
    <w:rsid w:val="00413B6D"/>
    <w:rsid w:val="004142F2"/>
    <w:rsid w:val="00414753"/>
    <w:rsid w:val="00414B87"/>
    <w:rsid w:val="00415A6F"/>
    <w:rsid w:val="0041641C"/>
    <w:rsid w:val="00416AD1"/>
    <w:rsid w:val="004174F3"/>
    <w:rsid w:val="0041758C"/>
    <w:rsid w:val="00417DBA"/>
    <w:rsid w:val="004201D2"/>
    <w:rsid w:val="00420989"/>
    <w:rsid w:val="004209C8"/>
    <w:rsid w:val="00420E7D"/>
    <w:rsid w:val="004212BA"/>
    <w:rsid w:val="00421446"/>
    <w:rsid w:val="00421AB2"/>
    <w:rsid w:val="00421CC1"/>
    <w:rsid w:val="00421CEE"/>
    <w:rsid w:val="00421FA1"/>
    <w:rsid w:val="0042235C"/>
    <w:rsid w:val="00422391"/>
    <w:rsid w:val="00422ACD"/>
    <w:rsid w:val="00422C86"/>
    <w:rsid w:val="004233BD"/>
    <w:rsid w:val="0042378F"/>
    <w:rsid w:val="00423850"/>
    <w:rsid w:val="00423D5E"/>
    <w:rsid w:val="00424600"/>
    <w:rsid w:val="00424982"/>
    <w:rsid w:val="004257C5"/>
    <w:rsid w:val="0042592F"/>
    <w:rsid w:val="004262BE"/>
    <w:rsid w:val="00426432"/>
    <w:rsid w:val="00426784"/>
    <w:rsid w:val="00426C8B"/>
    <w:rsid w:val="00427841"/>
    <w:rsid w:val="00430480"/>
    <w:rsid w:val="004311E7"/>
    <w:rsid w:val="00431553"/>
    <w:rsid w:val="00432197"/>
    <w:rsid w:val="00432660"/>
    <w:rsid w:val="00432A0F"/>
    <w:rsid w:val="00432F80"/>
    <w:rsid w:val="0043345B"/>
    <w:rsid w:val="004334DF"/>
    <w:rsid w:val="004334ED"/>
    <w:rsid w:val="004335D1"/>
    <w:rsid w:val="00433DF7"/>
    <w:rsid w:val="00434259"/>
    <w:rsid w:val="00434881"/>
    <w:rsid w:val="00434C35"/>
    <w:rsid w:val="00434CB4"/>
    <w:rsid w:val="004358F5"/>
    <w:rsid w:val="00436C32"/>
    <w:rsid w:val="004374B4"/>
    <w:rsid w:val="00437AF5"/>
    <w:rsid w:val="0044094D"/>
    <w:rsid w:val="00440CD6"/>
    <w:rsid w:val="00441783"/>
    <w:rsid w:val="00441D3C"/>
    <w:rsid w:val="00442C7C"/>
    <w:rsid w:val="00442DE8"/>
    <w:rsid w:val="004432FB"/>
    <w:rsid w:val="00443413"/>
    <w:rsid w:val="0044404B"/>
    <w:rsid w:val="004444D4"/>
    <w:rsid w:val="004450FE"/>
    <w:rsid w:val="00445C13"/>
    <w:rsid w:val="00445D7A"/>
    <w:rsid w:val="00445DE2"/>
    <w:rsid w:val="00446A23"/>
    <w:rsid w:val="00446EA0"/>
    <w:rsid w:val="00447012"/>
    <w:rsid w:val="0044705A"/>
    <w:rsid w:val="0044797B"/>
    <w:rsid w:val="00450255"/>
    <w:rsid w:val="00450566"/>
    <w:rsid w:val="0045157F"/>
    <w:rsid w:val="00451ECE"/>
    <w:rsid w:val="00452EDE"/>
    <w:rsid w:val="004539E5"/>
    <w:rsid w:val="00453E57"/>
    <w:rsid w:val="00454797"/>
    <w:rsid w:val="00454A4C"/>
    <w:rsid w:val="004552A7"/>
    <w:rsid w:val="00455958"/>
    <w:rsid w:val="004560AE"/>
    <w:rsid w:val="00456E2E"/>
    <w:rsid w:val="0045741D"/>
    <w:rsid w:val="00457574"/>
    <w:rsid w:val="00457641"/>
    <w:rsid w:val="00457A77"/>
    <w:rsid w:val="004600AA"/>
    <w:rsid w:val="004602BB"/>
    <w:rsid w:val="00460514"/>
    <w:rsid w:val="00460B1E"/>
    <w:rsid w:val="004612AC"/>
    <w:rsid w:val="004615F7"/>
    <w:rsid w:val="004617CF"/>
    <w:rsid w:val="00461C6A"/>
    <w:rsid w:val="004622AB"/>
    <w:rsid w:val="00462325"/>
    <w:rsid w:val="004623D7"/>
    <w:rsid w:val="0046414F"/>
    <w:rsid w:val="004642F0"/>
    <w:rsid w:val="00464ECE"/>
    <w:rsid w:val="0046514A"/>
    <w:rsid w:val="0046571C"/>
    <w:rsid w:val="00465ACB"/>
    <w:rsid w:val="00465AD9"/>
    <w:rsid w:val="0046603F"/>
    <w:rsid w:val="004663B1"/>
    <w:rsid w:val="004667B7"/>
    <w:rsid w:val="0046680E"/>
    <w:rsid w:val="00466C20"/>
    <w:rsid w:val="00466D9B"/>
    <w:rsid w:val="00466EFD"/>
    <w:rsid w:val="004676CB"/>
    <w:rsid w:val="00467A94"/>
    <w:rsid w:val="004700D9"/>
    <w:rsid w:val="004704D0"/>
    <w:rsid w:val="004707EA"/>
    <w:rsid w:val="004712C4"/>
    <w:rsid w:val="0047145D"/>
    <w:rsid w:val="00471E8B"/>
    <w:rsid w:val="0047447D"/>
    <w:rsid w:val="004755FC"/>
    <w:rsid w:val="0047617C"/>
    <w:rsid w:val="004765E1"/>
    <w:rsid w:val="004770A7"/>
    <w:rsid w:val="004770FE"/>
    <w:rsid w:val="00477BAB"/>
    <w:rsid w:val="00477BBA"/>
    <w:rsid w:val="00477CE2"/>
    <w:rsid w:val="0048016E"/>
    <w:rsid w:val="00480E02"/>
    <w:rsid w:val="0048109E"/>
    <w:rsid w:val="00481128"/>
    <w:rsid w:val="00481A34"/>
    <w:rsid w:val="00481CC3"/>
    <w:rsid w:val="0048205F"/>
    <w:rsid w:val="00482331"/>
    <w:rsid w:val="00482BF3"/>
    <w:rsid w:val="00482DC6"/>
    <w:rsid w:val="0048504A"/>
    <w:rsid w:val="0048532E"/>
    <w:rsid w:val="00485867"/>
    <w:rsid w:val="0048626F"/>
    <w:rsid w:val="0048660D"/>
    <w:rsid w:val="00486829"/>
    <w:rsid w:val="0049086A"/>
    <w:rsid w:val="00491199"/>
    <w:rsid w:val="004918E1"/>
    <w:rsid w:val="00491B75"/>
    <w:rsid w:val="004923D7"/>
    <w:rsid w:val="004926DD"/>
    <w:rsid w:val="00493158"/>
    <w:rsid w:val="0049353D"/>
    <w:rsid w:val="004935AC"/>
    <w:rsid w:val="00493D4F"/>
    <w:rsid w:val="00494DA7"/>
    <w:rsid w:val="00494E45"/>
    <w:rsid w:val="00494E71"/>
    <w:rsid w:val="00495032"/>
    <w:rsid w:val="004950FE"/>
    <w:rsid w:val="004953CA"/>
    <w:rsid w:val="00495FB2"/>
    <w:rsid w:val="00496097"/>
    <w:rsid w:val="0049622A"/>
    <w:rsid w:val="004968FC"/>
    <w:rsid w:val="00496FE3"/>
    <w:rsid w:val="004A0B9E"/>
    <w:rsid w:val="004A0EA9"/>
    <w:rsid w:val="004A1935"/>
    <w:rsid w:val="004A1D70"/>
    <w:rsid w:val="004A2B20"/>
    <w:rsid w:val="004A2B48"/>
    <w:rsid w:val="004A431E"/>
    <w:rsid w:val="004A48D3"/>
    <w:rsid w:val="004A4BFA"/>
    <w:rsid w:val="004A4DFC"/>
    <w:rsid w:val="004A5230"/>
    <w:rsid w:val="004A56B2"/>
    <w:rsid w:val="004A5B2D"/>
    <w:rsid w:val="004A5E1D"/>
    <w:rsid w:val="004A657E"/>
    <w:rsid w:val="004A670C"/>
    <w:rsid w:val="004A6B69"/>
    <w:rsid w:val="004A718E"/>
    <w:rsid w:val="004A7F43"/>
    <w:rsid w:val="004B02A0"/>
    <w:rsid w:val="004B04C6"/>
    <w:rsid w:val="004B05CE"/>
    <w:rsid w:val="004B0755"/>
    <w:rsid w:val="004B108E"/>
    <w:rsid w:val="004B134F"/>
    <w:rsid w:val="004B179D"/>
    <w:rsid w:val="004B17AE"/>
    <w:rsid w:val="004B1FE9"/>
    <w:rsid w:val="004B29F7"/>
    <w:rsid w:val="004B2ED1"/>
    <w:rsid w:val="004B3DE2"/>
    <w:rsid w:val="004B4ED9"/>
    <w:rsid w:val="004B5201"/>
    <w:rsid w:val="004B5360"/>
    <w:rsid w:val="004B5947"/>
    <w:rsid w:val="004B5A96"/>
    <w:rsid w:val="004B63F3"/>
    <w:rsid w:val="004B66D5"/>
    <w:rsid w:val="004B6E93"/>
    <w:rsid w:val="004B6F02"/>
    <w:rsid w:val="004B73A4"/>
    <w:rsid w:val="004B7A34"/>
    <w:rsid w:val="004C06EF"/>
    <w:rsid w:val="004C0C35"/>
    <w:rsid w:val="004C0D35"/>
    <w:rsid w:val="004C137E"/>
    <w:rsid w:val="004C1401"/>
    <w:rsid w:val="004C1674"/>
    <w:rsid w:val="004C1747"/>
    <w:rsid w:val="004C2C44"/>
    <w:rsid w:val="004C304B"/>
    <w:rsid w:val="004C3B9D"/>
    <w:rsid w:val="004C3C45"/>
    <w:rsid w:val="004C3DD3"/>
    <w:rsid w:val="004C4308"/>
    <w:rsid w:val="004C4CC4"/>
    <w:rsid w:val="004C5145"/>
    <w:rsid w:val="004C560B"/>
    <w:rsid w:val="004C58A9"/>
    <w:rsid w:val="004C5963"/>
    <w:rsid w:val="004C5D90"/>
    <w:rsid w:val="004C683D"/>
    <w:rsid w:val="004C71A9"/>
    <w:rsid w:val="004C733C"/>
    <w:rsid w:val="004C74D7"/>
    <w:rsid w:val="004C7687"/>
    <w:rsid w:val="004C7B87"/>
    <w:rsid w:val="004D01E6"/>
    <w:rsid w:val="004D025B"/>
    <w:rsid w:val="004D03BC"/>
    <w:rsid w:val="004D03D7"/>
    <w:rsid w:val="004D16A1"/>
    <w:rsid w:val="004D179B"/>
    <w:rsid w:val="004D1C45"/>
    <w:rsid w:val="004D1D3D"/>
    <w:rsid w:val="004D1E3A"/>
    <w:rsid w:val="004D2967"/>
    <w:rsid w:val="004D30FC"/>
    <w:rsid w:val="004D31CA"/>
    <w:rsid w:val="004D3992"/>
    <w:rsid w:val="004D44EA"/>
    <w:rsid w:val="004D4BEA"/>
    <w:rsid w:val="004D4D70"/>
    <w:rsid w:val="004D4DD7"/>
    <w:rsid w:val="004D51AF"/>
    <w:rsid w:val="004D6B8B"/>
    <w:rsid w:val="004D752F"/>
    <w:rsid w:val="004D76AE"/>
    <w:rsid w:val="004D7AF2"/>
    <w:rsid w:val="004D7EA4"/>
    <w:rsid w:val="004E0671"/>
    <w:rsid w:val="004E06FA"/>
    <w:rsid w:val="004E0A0D"/>
    <w:rsid w:val="004E17B7"/>
    <w:rsid w:val="004E25D4"/>
    <w:rsid w:val="004E25F4"/>
    <w:rsid w:val="004E3163"/>
    <w:rsid w:val="004E363B"/>
    <w:rsid w:val="004E370F"/>
    <w:rsid w:val="004E3948"/>
    <w:rsid w:val="004E3AB2"/>
    <w:rsid w:val="004E3CA6"/>
    <w:rsid w:val="004E3F4F"/>
    <w:rsid w:val="004E4D2F"/>
    <w:rsid w:val="004E4F06"/>
    <w:rsid w:val="004E56DD"/>
    <w:rsid w:val="004E57A9"/>
    <w:rsid w:val="004E5A67"/>
    <w:rsid w:val="004E5C66"/>
    <w:rsid w:val="004E677E"/>
    <w:rsid w:val="004E70C9"/>
    <w:rsid w:val="004E736B"/>
    <w:rsid w:val="004E7C94"/>
    <w:rsid w:val="004F00A4"/>
    <w:rsid w:val="004F0AA5"/>
    <w:rsid w:val="004F133B"/>
    <w:rsid w:val="004F159E"/>
    <w:rsid w:val="004F17B1"/>
    <w:rsid w:val="004F27B1"/>
    <w:rsid w:val="004F2897"/>
    <w:rsid w:val="004F3149"/>
    <w:rsid w:val="004F315F"/>
    <w:rsid w:val="004F3AE1"/>
    <w:rsid w:val="004F3CD3"/>
    <w:rsid w:val="004F417C"/>
    <w:rsid w:val="004F42AC"/>
    <w:rsid w:val="004F451A"/>
    <w:rsid w:val="004F5231"/>
    <w:rsid w:val="004F5802"/>
    <w:rsid w:val="004F6510"/>
    <w:rsid w:val="004F690A"/>
    <w:rsid w:val="004F71CA"/>
    <w:rsid w:val="004F77FA"/>
    <w:rsid w:val="00500154"/>
    <w:rsid w:val="00500A7A"/>
    <w:rsid w:val="00500EBD"/>
    <w:rsid w:val="00501536"/>
    <w:rsid w:val="0050323C"/>
    <w:rsid w:val="00503744"/>
    <w:rsid w:val="00503ACF"/>
    <w:rsid w:val="005049C7"/>
    <w:rsid w:val="00504BBB"/>
    <w:rsid w:val="00505224"/>
    <w:rsid w:val="00505824"/>
    <w:rsid w:val="005059E6"/>
    <w:rsid w:val="00505F9D"/>
    <w:rsid w:val="00506965"/>
    <w:rsid w:val="00506CD0"/>
    <w:rsid w:val="00507717"/>
    <w:rsid w:val="00510322"/>
    <w:rsid w:val="00511B10"/>
    <w:rsid w:val="00511BCA"/>
    <w:rsid w:val="00511D1E"/>
    <w:rsid w:val="00511D32"/>
    <w:rsid w:val="0051230B"/>
    <w:rsid w:val="005123CB"/>
    <w:rsid w:val="00512DEE"/>
    <w:rsid w:val="005136AD"/>
    <w:rsid w:val="00514213"/>
    <w:rsid w:val="005144E0"/>
    <w:rsid w:val="00514500"/>
    <w:rsid w:val="00514BB6"/>
    <w:rsid w:val="00514D45"/>
    <w:rsid w:val="0051551F"/>
    <w:rsid w:val="00515799"/>
    <w:rsid w:val="005165D9"/>
    <w:rsid w:val="005168D3"/>
    <w:rsid w:val="00520106"/>
    <w:rsid w:val="0052042E"/>
    <w:rsid w:val="0052052F"/>
    <w:rsid w:val="00520570"/>
    <w:rsid w:val="00520BBD"/>
    <w:rsid w:val="005218D7"/>
    <w:rsid w:val="00521AB8"/>
    <w:rsid w:val="00521FAA"/>
    <w:rsid w:val="0052303D"/>
    <w:rsid w:val="005232F1"/>
    <w:rsid w:val="0052356D"/>
    <w:rsid w:val="005247D1"/>
    <w:rsid w:val="00525004"/>
    <w:rsid w:val="00525285"/>
    <w:rsid w:val="005258B6"/>
    <w:rsid w:val="00525CF2"/>
    <w:rsid w:val="005261A6"/>
    <w:rsid w:val="005268B5"/>
    <w:rsid w:val="00526BC3"/>
    <w:rsid w:val="00527030"/>
    <w:rsid w:val="0052707D"/>
    <w:rsid w:val="005270D1"/>
    <w:rsid w:val="00530055"/>
    <w:rsid w:val="00530185"/>
    <w:rsid w:val="00530372"/>
    <w:rsid w:val="0053101A"/>
    <w:rsid w:val="005315D4"/>
    <w:rsid w:val="00531E25"/>
    <w:rsid w:val="00533082"/>
    <w:rsid w:val="00533148"/>
    <w:rsid w:val="005334C1"/>
    <w:rsid w:val="00534236"/>
    <w:rsid w:val="00534454"/>
    <w:rsid w:val="00534C91"/>
    <w:rsid w:val="00535597"/>
    <w:rsid w:val="00535B58"/>
    <w:rsid w:val="00536CC5"/>
    <w:rsid w:val="005379CF"/>
    <w:rsid w:val="00541234"/>
    <w:rsid w:val="005414A4"/>
    <w:rsid w:val="00541654"/>
    <w:rsid w:val="005418B8"/>
    <w:rsid w:val="00541CD3"/>
    <w:rsid w:val="00541F35"/>
    <w:rsid w:val="00541FB2"/>
    <w:rsid w:val="00542413"/>
    <w:rsid w:val="00542EEE"/>
    <w:rsid w:val="0054372E"/>
    <w:rsid w:val="00543943"/>
    <w:rsid w:val="00543A02"/>
    <w:rsid w:val="0054491B"/>
    <w:rsid w:val="00544CE7"/>
    <w:rsid w:val="005456CB"/>
    <w:rsid w:val="00545CDE"/>
    <w:rsid w:val="005461FE"/>
    <w:rsid w:val="0054658A"/>
    <w:rsid w:val="00546A01"/>
    <w:rsid w:val="00546BD8"/>
    <w:rsid w:val="00546F74"/>
    <w:rsid w:val="00546FF7"/>
    <w:rsid w:val="00550135"/>
    <w:rsid w:val="0055065C"/>
    <w:rsid w:val="00550E7E"/>
    <w:rsid w:val="00552022"/>
    <w:rsid w:val="00552B75"/>
    <w:rsid w:val="0055350D"/>
    <w:rsid w:val="00553A60"/>
    <w:rsid w:val="00553B0A"/>
    <w:rsid w:val="00553CA3"/>
    <w:rsid w:val="00553F3F"/>
    <w:rsid w:val="00554160"/>
    <w:rsid w:val="005545EA"/>
    <w:rsid w:val="00554E37"/>
    <w:rsid w:val="00555101"/>
    <w:rsid w:val="00555105"/>
    <w:rsid w:val="0055651A"/>
    <w:rsid w:val="00556984"/>
    <w:rsid w:val="00556E3E"/>
    <w:rsid w:val="0055710A"/>
    <w:rsid w:val="00557727"/>
    <w:rsid w:val="00560109"/>
    <w:rsid w:val="00560451"/>
    <w:rsid w:val="00560475"/>
    <w:rsid w:val="005604CB"/>
    <w:rsid w:val="0056065F"/>
    <w:rsid w:val="00560812"/>
    <w:rsid w:val="00560934"/>
    <w:rsid w:val="00561687"/>
    <w:rsid w:val="00561A4F"/>
    <w:rsid w:val="00561E55"/>
    <w:rsid w:val="00562073"/>
    <w:rsid w:val="00562475"/>
    <w:rsid w:val="00562557"/>
    <w:rsid w:val="00562626"/>
    <w:rsid w:val="00562E5F"/>
    <w:rsid w:val="00563473"/>
    <w:rsid w:val="00563823"/>
    <w:rsid w:val="0056391F"/>
    <w:rsid w:val="00563B56"/>
    <w:rsid w:val="00563EED"/>
    <w:rsid w:val="0056543A"/>
    <w:rsid w:val="00565732"/>
    <w:rsid w:val="00566019"/>
    <w:rsid w:val="0056634F"/>
    <w:rsid w:val="00566413"/>
    <w:rsid w:val="00566E57"/>
    <w:rsid w:val="00567053"/>
    <w:rsid w:val="00567BDE"/>
    <w:rsid w:val="00567E09"/>
    <w:rsid w:val="005700BB"/>
    <w:rsid w:val="005702F3"/>
    <w:rsid w:val="00570304"/>
    <w:rsid w:val="00570696"/>
    <w:rsid w:val="00570C8B"/>
    <w:rsid w:val="005710CA"/>
    <w:rsid w:val="00571E37"/>
    <w:rsid w:val="005723E1"/>
    <w:rsid w:val="00573105"/>
    <w:rsid w:val="00573AAB"/>
    <w:rsid w:val="00573B2A"/>
    <w:rsid w:val="00573FE3"/>
    <w:rsid w:val="00575531"/>
    <w:rsid w:val="005756CC"/>
    <w:rsid w:val="00575917"/>
    <w:rsid w:val="00575BBD"/>
    <w:rsid w:val="00575EE9"/>
    <w:rsid w:val="00575FA0"/>
    <w:rsid w:val="00576574"/>
    <w:rsid w:val="005775E5"/>
    <w:rsid w:val="00577D2E"/>
    <w:rsid w:val="005804A7"/>
    <w:rsid w:val="005804BD"/>
    <w:rsid w:val="00581884"/>
    <w:rsid w:val="0058459F"/>
    <w:rsid w:val="0058469E"/>
    <w:rsid w:val="00585109"/>
    <w:rsid w:val="005853DB"/>
    <w:rsid w:val="005854B7"/>
    <w:rsid w:val="00585838"/>
    <w:rsid w:val="00585B88"/>
    <w:rsid w:val="00585F93"/>
    <w:rsid w:val="00586ED2"/>
    <w:rsid w:val="00587DBD"/>
    <w:rsid w:val="005906D9"/>
    <w:rsid w:val="00590A3E"/>
    <w:rsid w:val="00590B10"/>
    <w:rsid w:val="00590BD3"/>
    <w:rsid w:val="00590DDA"/>
    <w:rsid w:val="00591310"/>
    <w:rsid w:val="00591316"/>
    <w:rsid w:val="0059176B"/>
    <w:rsid w:val="00591D4C"/>
    <w:rsid w:val="00591E59"/>
    <w:rsid w:val="00592685"/>
    <w:rsid w:val="00592B5A"/>
    <w:rsid w:val="00592DA5"/>
    <w:rsid w:val="00592FEB"/>
    <w:rsid w:val="005930FF"/>
    <w:rsid w:val="0059404C"/>
    <w:rsid w:val="00594351"/>
    <w:rsid w:val="0059438D"/>
    <w:rsid w:val="00594555"/>
    <w:rsid w:val="00594676"/>
    <w:rsid w:val="005956F0"/>
    <w:rsid w:val="0059712C"/>
    <w:rsid w:val="00597361"/>
    <w:rsid w:val="00597DF7"/>
    <w:rsid w:val="005A03A9"/>
    <w:rsid w:val="005A08F0"/>
    <w:rsid w:val="005A137D"/>
    <w:rsid w:val="005A1E28"/>
    <w:rsid w:val="005A2CD1"/>
    <w:rsid w:val="005A2DEE"/>
    <w:rsid w:val="005A2F74"/>
    <w:rsid w:val="005A360F"/>
    <w:rsid w:val="005A39A1"/>
    <w:rsid w:val="005A3EAD"/>
    <w:rsid w:val="005A44F8"/>
    <w:rsid w:val="005A4602"/>
    <w:rsid w:val="005A4769"/>
    <w:rsid w:val="005A4837"/>
    <w:rsid w:val="005A4AC2"/>
    <w:rsid w:val="005A4ED6"/>
    <w:rsid w:val="005A4FAC"/>
    <w:rsid w:val="005A5605"/>
    <w:rsid w:val="005A56A8"/>
    <w:rsid w:val="005A5A10"/>
    <w:rsid w:val="005A7675"/>
    <w:rsid w:val="005A7A2E"/>
    <w:rsid w:val="005B008B"/>
    <w:rsid w:val="005B0120"/>
    <w:rsid w:val="005B0D90"/>
    <w:rsid w:val="005B165A"/>
    <w:rsid w:val="005B1A49"/>
    <w:rsid w:val="005B1AFB"/>
    <w:rsid w:val="005B2C27"/>
    <w:rsid w:val="005B2E47"/>
    <w:rsid w:val="005B31B9"/>
    <w:rsid w:val="005B35D6"/>
    <w:rsid w:val="005B3628"/>
    <w:rsid w:val="005B3CAC"/>
    <w:rsid w:val="005B4A05"/>
    <w:rsid w:val="005B5253"/>
    <w:rsid w:val="005B58BE"/>
    <w:rsid w:val="005B59E1"/>
    <w:rsid w:val="005B5A71"/>
    <w:rsid w:val="005B64D2"/>
    <w:rsid w:val="005B7239"/>
    <w:rsid w:val="005B72CA"/>
    <w:rsid w:val="005B7850"/>
    <w:rsid w:val="005B7AB4"/>
    <w:rsid w:val="005B7CD4"/>
    <w:rsid w:val="005C08AB"/>
    <w:rsid w:val="005C1415"/>
    <w:rsid w:val="005C14A0"/>
    <w:rsid w:val="005C1A52"/>
    <w:rsid w:val="005C1A76"/>
    <w:rsid w:val="005C1D71"/>
    <w:rsid w:val="005C1ED8"/>
    <w:rsid w:val="005C222A"/>
    <w:rsid w:val="005C24D8"/>
    <w:rsid w:val="005C310F"/>
    <w:rsid w:val="005C316F"/>
    <w:rsid w:val="005C3704"/>
    <w:rsid w:val="005C3D96"/>
    <w:rsid w:val="005C44D8"/>
    <w:rsid w:val="005C51FA"/>
    <w:rsid w:val="005C57C9"/>
    <w:rsid w:val="005C59F0"/>
    <w:rsid w:val="005C6C7D"/>
    <w:rsid w:val="005C7098"/>
    <w:rsid w:val="005C7113"/>
    <w:rsid w:val="005C722E"/>
    <w:rsid w:val="005C7512"/>
    <w:rsid w:val="005C762C"/>
    <w:rsid w:val="005C77FF"/>
    <w:rsid w:val="005D10F2"/>
    <w:rsid w:val="005D1414"/>
    <w:rsid w:val="005D1B44"/>
    <w:rsid w:val="005D20CA"/>
    <w:rsid w:val="005D2721"/>
    <w:rsid w:val="005D2836"/>
    <w:rsid w:val="005D33FD"/>
    <w:rsid w:val="005D3811"/>
    <w:rsid w:val="005D3B13"/>
    <w:rsid w:val="005D3C72"/>
    <w:rsid w:val="005D45A4"/>
    <w:rsid w:val="005D48B4"/>
    <w:rsid w:val="005D61E3"/>
    <w:rsid w:val="005D68AD"/>
    <w:rsid w:val="005D6942"/>
    <w:rsid w:val="005D6D3B"/>
    <w:rsid w:val="005D6D46"/>
    <w:rsid w:val="005D724E"/>
    <w:rsid w:val="005D7264"/>
    <w:rsid w:val="005D7CEF"/>
    <w:rsid w:val="005E0464"/>
    <w:rsid w:val="005E198E"/>
    <w:rsid w:val="005E1B33"/>
    <w:rsid w:val="005E2022"/>
    <w:rsid w:val="005E2315"/>
    <w:rsid w:val="005E2EE9"/>
    <w:rsid w:val="005E30ED"/>
    <w:rsid w:val="005E3FED"/>
    <w:rsid w:val="005E4251"/>
    <w:rsid w:val="005E4B3D"/>
    <w:rsid w:val="005E4B93"/>
    <w:rsid w:val="005E4CCE"/>
    <w:rsid w:val="005E520B"/>
    <w:rsid w:val="005E5346"/>
    <w:rsid w:val="005E5909"/>
    <w:rsid w:val="005E5FDC"/>
    <w:rsid w:val="005E64C8"/>
    <w:rsid w:val="005E6F9A"/>
    <w:rsid w:val="005E76B8"/>
    <w:rsid w:val="005F032E"/>
    <w:rsid w:val="005F090F"/>
    <w:rsid w:val="005F119A"/>
    <w:rsid w:val="005F34EE"/>
    <w:rsid w:val="005F3779"/>
    <w:rsid w:val="005F4243"/>
    <w:rsid w:val="005F4816"/>
    <w:rsid w:val="005F602C"/>
    <w:rsid w:val="005F6267"/>
    <w:rsid w:val="005F62AB"/>
    <w:rsid w:val="005F64ED"/>
    <w:rsid w:val="005F69D7"/>
    <w:rsid w:val="005F6C59"/>
    <w:rsid w:val="005F710A"/>
    <w:rsid w:val="005F723E"/>
    <w:rsid w:val="005F79AE"/>
    <w:rsid w:val="00601416"/>
    <w:rsid w:val="0060175C"/>
    <w:rsid w:val="00601983"/>
    <w:rsid w:val="006019BD"/>
    <w:rsid w:val="00602C6E"/>
    <w:rsid w:val="00603CF9"/>
    <w:rsid w:val="00604009"/>
    <w:rsid w:val="00604132"/>
    <w:rsid w:val="006043A5"/>
    <w:rsid w:val="00604A06"/>
    <w:rsid w:val="00604BCE"/>
    <w:rsid w:val="00604C59"/>
    <w:rsid w:val="0060522B"/>
    <w:rsid w:val="00605718"/>
    <w:rsid w:val="0060580E"/>
    <w:rsid w:val="00605B7C"/>
    <w:rsid w:val="00605D2A"/>
    <w:rsid w:val="00605FBD"/>
    <w:rsid w:val="006064A5"/>
    <w:rsid w:val="00606A2A"/>
    <w:rsid w:val="00607100"/>
    <w:rsid w:val="00607267"/>
    <w:rsid w:val="006072EB"/>
    <w:rsid w:val="00607425"/>
    <w:rsid w:val="00607FEA"/>
    <w:rsid w:val="00610D97"/>
    <w:rsid w:val="00610DCA"/>
    <w:rsid w:val="00611B77"/>
    <w:rsid w:val="00611E94"/>
    <w:rsid w:val="00612AE6"/>
    <w:rsid w:val="00613069"/>
    <w:rsid w:val="0061353E"/>
    <w:rsid w:val="006136F6"/>
    <w:rsid w:val="00613BC0"/>
    <w:rsid w:val="00613BFD"/>
    <w:rsid w:val="00614403"/>
    <w:rsid w:val="00614FDE"/>
    <w:rsid w:val="00615060"/>
    <w:rsid w:val="006158F7"/>
    <w:rsid w:val="0061606D"/>
    <w:rsid w:val="006161DA"/>
    <w:rsid w:val="00616641"/>
    <w:rsid w:val="00616AEF"/>
    <w:rsid w:val="006172FA"/>
    <w:rsid w:val="006174C2"/>
    <w:rsid w:val="00617972"/>
    <w:rsid w:val="006203C3"/>
    <w:rsid w:val="00620832"/>
    <w:rsid w:val="00620CF5"/>
    <w:rsid w:val="00620D4D"/>
    <w:rsid w:val="00620FE6"/>
    <w:rsid w:val="006222A6"/>
    <w:rsid w:val="00622C67"/>
    <w:rsid w:val="00623037"/>
    <w:rsid w:val="006231D0"/>
    <w:rsid w:val="006234E6"/>
    <w:rsid w:val="006236D9"/>
    <w:rsid w:val="00623E00"/>
    <w:rsid w:val="00625999"/>
    <w:rsid w:val="00625D7E"/>
    <w:rsid w:val="00626163"/>
    <w:rsid w:val="00626209"/>
    <w:rsid w:val="006264D5"/>
    <w:rsid w:val="00626E67"/>
    <w:rsid w:val="00627208"/>
    <w:rsid w:val="00630270"/>
    <w:rsid w:val="00631CF5"/>
    <w:rsid w:val="00631EF2"/>
    <w:rsid w:val="0063233A"/>
    <w:rsid w:val="006323DA"/>
    <w:rsid w:val="00632626"/>
    <w:rsid w:val="0063390A"/>
    <w:rsid w:val="00633917"/>
    <w:rsid w:val="00633B40"/>
    <w:rsid w:val="00633F58"/>
    <w:rsid w:val="00634CFD"/>
    <w:rsid w:val="006354FC"/>
    <w:rsid w:val="006358E0"/>
    <w:rsid w:val="00636728"/>
    <w:rsid w:val="00637294"/>
    <w:rsid w:val="006400AE"/>
    <w:rsid w:val="006401AC"/>
    <w:rsid w:val="0064090C"/>
    <w:rsid w:val="006413F0"/>
    <w:rsid w:val="00641725"/>
    <w:rsid w:val="006418BB"/>
    <w:rsid w:val="00641DC2"/>
    <w:rsid w:val="00642130"/>
    <w:rsid w:val="00642518"/>
    <w:rsid w:val="0064352A"/>
    <w:rsid w:val="00643579"/>
    <w:rsid w:val="006436BD"/>
    <w:rsid w:val="006437AF"/>
    <w:rsid w:val="00643A13"/>
    <w:rsid w:val="00643C7A"/>
    <w:rsid w:val="006441C4"/>
    <w:rsid w:val="00644649"/>
    <w:rsid w:val="0064487E"/>
    <w:rsid w:val="00644917"/>
    <w:rsid w:val="00644B0B"/>
    <w:rsid w:val="00645698"/>
    <w:rsid w:val="0064571B"/>
    <w:rsid w:val="00646126"/>
    <w:rsid w:val="0064689B"/>
    <w:rsid w:val="00646C4E"/>
    <w:rsid w:val="00646E49"/>
    <w:rsid w:val="00647A17"/>
    <w:rsid w:val="00647D91"/>
    <w:rsid w:val="00647F79"/>
    <w:rsid w:val="00650416"/>
    <w:rsid w:val="0065060A"/>
    <w:rsid w:val="006508F7"/>
    <w:rsid w:val="00651188"/>
    <w:rsid w:val="006512FC"/>
    <w:rsid w:val="00651416"/>
    <w:rsid w:val="00651850"/>
    <w:rsid w:val="00651DFB"/>
    <w:rsid w:val="0065258D"/>
    <w:rsid w:val="00654083"/>
    <w:rsid w:val="00654F7E"/>
    <w:rsid w:val="00655891"/>
    <w:rsid w:val="00655BB2"/>
    <w:rsid w:val="00657761"/>
    <w:rsid w:val="0065789C"/>
    <w:rsid w:val="0066042B"/>
    <w:rsid w:val="006606D4"/>
    <w:rsid w:val="0066092D"/>
    <w:rsid w:val="00660E0C"/>
    <w:rsid w:val="00660FDD"/>
    <w:rsid w:val="00661310"/>
    <w:rsid w:val="00661BCD"/>
    <w:rsid w:val="006624C9"/>
    <w:rsid w:val="006625AB"/>
    <w:rsid w:val="00662873"/>
    <w:rsid w:val="00662B96"/>
    <w:rsid w:val="00663129"/>
    <w:rsid w:val="006635A4"/>
    <w:rsid w:val="006637C0"/>
    <w:rsid w:val="00663BD2"/>
    <w:rsid w:val="00663D33"/>
    <w:rsid w:val="00663ED2"/>
    <w:rsid w:val="00663F33"/>
    <w:rsid w:val="00663FF1"/>
    <w:rsid w:val="0066402B"/>
    <w:rsid w:val="00664765"/>
    <w:rsid w:val="00665198"/>
    <w:rsid w:val="006652B4"/>
    <w:rsid w:val="0066641C"/>
    <w:rsid w:val="006705C5"/>
    <w:rsid w:val="00671284"/>
    <w:rsid w:val="00672372"/>
    <w:rsid w:val="006726DB"/>
    <w:rsid w:val="00672A70"/>
    <w:rsid w:val="00672CD7"/>
    <w:rsid w:val="006735ED"/>
    <w:rsid w:val="006738E4"/>
    <w:rsid w:val="00674D15"/>
    <w:rsid w:val="006756F7"/>
    <w:rsid w:val="006765CA"/>
    <w:rsid w:val="0067697D"/>
    <w:rsid w:val="00676E42"/>
    <w:rsid w:val="00676EDC"/>
    <w:rsid w:val="0067795A"/>
    <w:rsid w:val="00677A0E"/>
    <w:rsid w:val="00677AF4"/>
    <w:rsid w:val="00677F86"/>
    <w:rsid w:val="00681529"/>
    <w:rsid w:val="00681602"/>
    <w:rsid w:val="0068306C"/>
    <w:rsid w:val="00683B75"/>
    <w:rsid w:val="00683F84"/>
    <w:rsid w:val="00684226"/>
    <w:rsid w:val="00685003"/>
    <w:rsid w:val="0068517D"/>
    <w:rsid w:val="006851AE"/>
    <w:rsid w:val="006851C4"/>
    <w:rsid w:val="00685274"/>
    <w:rsid w:val="006855D6"/>
    <w:rsid w:val="006866DB"/>
    <w:rsid w:val="00686C8E"/>
    <w:rsid w:val="00686EC0"/>
    <w:rsid w:val="00687035"/>
    <w:rsid w:val="006878B9"/>
    <w:rsid w:val="0069178B"/>
    <w:rsid w:val="00691CC5"/>
    <w:rsid w:val="00691F99"/>
    <w:rsid w:val="0069235D"/>
    <w:rsid w:val="006930AD"/>
    <w:rsid w:val="006932D5"/>
    <w:rsid w:val="00693520"/>
    <w:rsid w:val="00693E23"/>
    <w:rsid w:val="0069422F"/>
    <w:rsid w:val="006964E2"/>
    <w:rsid w:val="00696D2C"/>
    <w:rsid w:val="00696E28"/>
    <w:rsid w:val="006973D0"/>
    <w:rsid w:val="0069743D"/>
    <w:rsid w:val="00697842"/>
    <w:rsid w:val="00697982"/>
    <w:rsid w:val="00697EC1"/>
    <w:rsid w:val="00697F07"/>
    <w:rsid w:val="006A00FC"/>
    <w:rsid w:val="006A0737"/>
    <w:rsid w:val="006A0929"/>
    <w:rsid w:val="006A12AA"/>
    <w:rsid w:val="006A1937"/>
    <w:rsid w:val="006A220F"/>
    <w:rsid w:val="006A25C3"/>
    <w:rsid w:val="006A2674"/>
    <w:rsid w:val="006A2E41"/>
    <w:rsid w:val="006A3238"/>
    <w:rsid w:val="006A35F7"/>
    <w:rsid w:val="006A3B71"/>
    <w:rsid w:val="006A3BB4"/>
    <w:rsid w:val="006A4A31"/>
    <w:rsid w:val="006A4AA6"/>
    <w:rsid w:val="006A5646"/>
    <w:rsid w:val="006A5AEC"/>
    <w:rsid w:val="006A5E9F"/>
    <w:rsid w:val="006A61AA"/>
    <w:rsid w:val="006A6725"/>
    <w:rsid w:val="006A6A4E"/>
    <w:rsid w:val="006A6B51"/>
    <w:rsid w:val="006A6B74"/>
    <w:rsid w:val="006B0008"/>
    <w:rsid w:val="006B0419"/>
    <w:rsid w:val="006B0763"/>
    <w:rsid w:val="006B13D2"/>
    <w:rsid w:val="006B24F7"/>
    <w:rsid w:val="006B2CCF"/>
    <w:rsid w:val="006B2F32"/>
    <w:rsid w:val="006B38F0"/>
    <w:rsid w:val="006B3929"/>
    <w:rsid w:val="006B39DF"/>
    <w:rsid w:val="006B3E6B"/>
    <w:rsid w:val="006B3EF4"/>
    <w:rsid w:val="006B443A"/>
    <w:rsid w:val="006B47E3"/>
    <w:rsid w:val="006B4F11"/>
    <w:rsid w:val="006B5B26"/>
    <w:rsid w:val="006B5F23"/>
    <w:rsid w:val="006B678B"/>
    <w:rsid w:val="006B69CA"/>
    <w:rsid w:val="006B6CA1"/>
    <w:rsid w:val="006B6F70"/>
    <w:rsid w:val="006B7528"/>
    <w:rsid w:val="006B7AA8"/>
    <w:rsid w:val="006B7B47"/>
    <w:rsid w:val="006B7DA9"/>
    <w:rsid w:val="006C0531"/>
    <w:rsid w:val="006C06EE"/>
    <w:rsid w:val="006C08C7"/>
    <w:rsid w:val="006C10C0"/>
    <w:rsid w:val="006C11E1"/>
    <w:rsid w:val="006C1269"/>
    <w:rsid w:val="006C1402"/>
    <w:rsid w:val="006C1AC0"/>
    <w:rsid w:val="006C2A8F"/>
    <w:rsid w:val="006C2EA5"/>
    <w:rsid w:val="006C3C24"/>
    <w:rsid w:val="006C3E39"/>
    <w:rsid w:val="006C4847"/>
    <w:rsid w:val="006C5079"/>
    <w:rsid w:val="006C525E"/>
    <w:rsid w:val="006C58F3"/>
    <w:rsid w:val="006C5B9A"/>
    <w:rsid w:val="006C6196"/>
    <w:rsid w:val="006C631E"/>
    <w:rsid w:val="006C6467"/>
    <w:rsid w:val="006C6CF5"/>
    <w:rsid w:val="006C73A6"/>
    <w:rsid w:val="006C73CB"/>
    <w:rsid w:val="006D0364"/>
    <w:rsid w:val="006D08E8"/>
    <w:rsid w:val="006D0B9E"/>
    <w:rsid w:val="006D0C11"/>
    <w:rsid w:val="006D0E62"/>
    <w:rsid w:val="006D11AD"/>
    <w:rsid w:val="006D19DF"/>
    <w:rsid w:val="006D21AF"/>
    <w:rsid w:val="006D220B"/>
    <w:rsid w:val="006D2D91"/>
    <w:rsid w:val="006D30E6"/>
    <w:rsid w:val="006D36D1"/>
    <w:rsid w:val="006D43A9"/>
    <w:rsid w:val="006D4C07"/>
    <w:rsid w:val="006D5A05"/>
    <w:rsid w:val="006D612C"/>
    <w:rsid w:val="006D62F0"/>
    <w:rsid w:val="006D66D4"/>
    <w:rsid w:val="006D694B"/>
    <w:rsid w:val="006D6C45"/>
    <w:rsid w:val="006D6FBA"/>
    <w:rsid w:val="006D6FFF"/>
    <w:rsid w:val="006E0D45"/>
    <w:rsid w:val="006E0E64"/>
    <w:rsid w:val="006E101D"/>
    <w:rsid w:val="006E15C6"/>
    <w:rsid w:val="006E1CE8"/>
    <w:rsid w:val="006E2312"/>
    <w:rsid w:val="006E2E7E"/>
    <w:rsid w:val="006E2EA6"/>
    <w:rsid w:val="006E4E8A"/>
    <w:rsid w:val="006E4F30"/>
    <w:rsid w:val="006E5160"/>
    <w:rsid w:val="006E564C"/>
    <w:rsid w:val="006E60B5"/>
    <w:rsid w:val="006E770C"/>
    <w:rsid w:val="006F0163"/>
    <w:rsid w:val="006F0746"/>
    <w:rsid w:val="006F099B"/>
    <w:rsid w:val="006F0C2E"/>
    <w:rsid w:val="006F0F77"/>
    <w:rsid w:val="006F1307"/>
    <w:rsid w:val="006F1560"/>
    <w:rsid w:val="006F15D7"/>
    <w:rsid w:val="006F16B2"/>
    <w:rsid w:val="006F1A28"/>
    <w:rsid w:val="006F1A8F"/>
    <w:rsid w:val="006F1DB5"/>
    <w:rsid w:val="006F1FC7"/>
    <w:rsid w:val="006F23A3"/>
    <w:rsid w:val="006F23D4"/>
    <w:rsid w:val="006F2A78"/>
    <w:rsid w:val="006F2B9B"/>
    <w:rsid w:val="006F30C4"/>
    <w:rsid w:val="006F3995"/>
    <w:rsid w:val="006F3FBA"/>
    <w:rsid w:val="006F4E50"/>
    <w:rsid w:val="006F53A7"/>
    <w:rsid w:val="006F5747"/>
    <w:rsid w:val="006F64DF"/>
    <w:rsid w:val="006F6C43"/>
    <w:rsid w:val="006F72CE"/>
    <w:rsid w:val="006F72D1"/>
    <w:rsid w:val="006F74E6"/>
    <w:rsid w:val="006F756C"/>
    <w:rsid w:val="006F7E91"/>
    <w:rsid w:val="0070028A"/>
    <w:rsid w:val="00700695"/>
    <w:rsid w:val="00700C4B"/>
    <w:rsid w:val="00700FB1"/>
    <w:rsid w:val="00701598"/>
    <w:rsid w:val="0070235D"/>
    <w:rsid w:val="007029F5"/>
    <w:rsid w:val="0070320F"/>
    <w:rsid w:val="0070372A"/>
    <w:rsid w:val="007037C5"/>
    <w:rsid w:val="00704A73"/>
    <w:rsid w:val="00704C73"/>
    <w:rsid w:val="00705073"/>
    <w:rsid w:val="007054DA"/>
    <w:rsid w:val="0070589F"/>
    <w:rsid w:val="0070600D"/>
    <w:rsid w:val="00707921"/>
    <w:rsid w:val="00707A1E"/>
    <w:rsid w:val="00707B9F"/>
    <w:rsid w:val="00707C2A"/>
    <w:rsid w:val="00707F60"/>
    <w:rsid w:val="007118B0"/>
    <w:rsid w:val="00711F3B"/>
    <w:rsid w:val="00712D4B"/>
    <w:rsid w:val="00713314"/>
    <w:rsid w:val="00713A1E"/>
    <w:rsid w:val="00714B11"/>
    <w:rsid w:val="00714E8A"/>
    <w:rsid w:val="007151D0"/>
    <w:rsid w:val="0071544C"/>
    <w:rsid w:val="00716882"/>
    <w:rsid w:val="00717757"/>
    <w:rsid w:val="00717D66"/>
    <w:rsid w:val="00720678"/>
    <w:rsid w:val="00721D59"/>
    <w:rsid w:val="00722BEF"/>
    <w:rsid w:val="00723082"/>
    <w:rsid w:val="007232F6"/>
    <w:rsid w:val="0072373F"/>
    <w:rsid w:val="00723D38"/>
    <w:rsid w:val="00723D42"/>
    <w:rsid w:val="00723E23"/>
    <w:rsid w:val="007245CB"/>
    <w:rsid w:val="00724E1F"/>
    <w:rsid w:val="00725B00"/>
    <w:rsid w:val="00725D32"/>
    <w:rsid w:val="007261DE"/>
    <w:rsid w:val="00726592"/>
    <w:rsid w:val="00726C96"/>
    <w:rsid w:val="00726DD7"/>
    <w:rsid w:val="00727120"/>
    <w:rsid w:val="00727491"/>
    <w:rsid w:val="007274F6"/>
    <w:rsid w:val="0072769D"/>
    <w:rsid w:val="00730B16"/>
    <w:rsid w:val="00731B43"/>
    <w:rsid w:val="00731D6E"/>
    <w:rsid w:val="00731E44"/>
    <w:rsid w:val="007324E1"/>
    <w:rsid w:val="00732911"/>
    <w:rsid w:val="00732D62"/>
    <w:rsid w:val="00732FE6"/>
    <w:rsid w:val="00733FBD"/>
    <w:rsid w:val="007340AE"/>
    <w:rsid w:val="007349B8"/>
    <w:rsid w:val="00734C80"/>
    <w:rsid w:val="007350F0"/>
    <w:rsid w:val="0073675C"/>
    <w:rsid w:val="007367E9"/>
    <w:rsid w:val="007369F7"/>
    <w:rsid w:val="007375BD"/>
    <w:rsid w:val="007401A7"/>
    <w:rsid w:val="0074029A"/>
    <w:rsid w:val="00740BAA"/>
    <w:rsid w:val="0074135F"/>
    <w:rsid w:val="00741AC9"/>
    <w:rsid w:val="00741D64"/>
    <w:rsid w:val="00742BAB"/>
    <w:rsid w:val="007431FC"/>
    <w:rsid w:val="007432E5"/>
    <w:rsid w:val="00743572"/>
    <w:rsid w:val="00743CFC"/>
    <w:rsid w:val="0074499F"/>
    <w:rsid w:val="00744C85"/>
    <w:rsid w:val="0074523A"/>
    <w:rsid w:val="007456D9"/>
    <w:rsid w:val="00745710"/>
    <w:rsid w:val="007458AF"/>
    <w:rsid w:val="00745B54"/>
    <w:rsid w:val="00745EBE"/>
    <w:rsid w:val="00745F98"/>
    <w:rsid w:val="00746019"/>
    <w:rsid w:val="00746AA8"/>
    <w:rsid w:val="00747412"/>
    <w:rsid w:val="007475E2"/>
    <w:rsid w:val="00747903"/>
    <w:rsid w:val="00747FF1"/>
    <w:rsid w:val="007500FA"/>
    <w:rsid w:val="00750C28"/>
    <w:rsid w:val="00750EB7"/>
    <w:rsid w:val="00751218"/>
    <w:rsid w:val="00751228"/>
    <w:rsid w:val="007517ED"/>
    <w:rsid w:val="00751F67"/>
    <w:rsid w:val="00753170"/>
    <w:rsid w:val="0075339D"/>
    <w:rsid w:val="0075378A"/>
    <w:rsid w:val="00753875"/>
    <w:rsid w:val="00753987"/>
    <w:rsid w:val="00753A98"/>
    <w:rsid w:val="00753ABF"/>
    <w:rsid w:val="00753C52"/>
    <w:rsid w:val="0075400B"/>
    <w:rsid w:val="0075400E"/>
    <w:rsid w:val="007541ED"/>
    <w:rsid w:val="007545E9"/>
    <w:rsid w:val="007547CE"/>
    <w:rsid w:val="007555FF"/>
    <w:rsid w:val="00755A13"/>
    <w:rsid w:val="00755C17"/>
    <w:rsid w:val="007562D2"/>
    <w:rsid w:val="00756596"/>
    <w:rsid w:val="007569A4"/>
    <w:rsid w:val="007569B3"/>
    <w:rsid w:val="00756D36"/>
    <w:rsid w:val="007572A1"/>
    <w:rsid w:val="0075730F"/>
    <w:rsid w:val="007574D3"/>
    <w:rsid w:val="00757756"/>
    <w:rsid w:val="00757ACA"/>
    <w:rsid w:val="00760575"/>
    <w:rsid w:val="00760CCD"/>
    <w:rsid w:val="00761EC4"/>
    <w:rsid w:val="0076240F"/>
    <w:rsid w:val="00762542"/>
    <w:rsid w:val="00762C46"/>
    <w:rsid w:val="00762F84"/>
    <w:rsid w:val="00763601"/>
    <w:rsid w:val="007646F4"/>
    <w:rsid w:val="007647C5"/>
    <w:rsid w:val="00765168"/>
    <w:rsid w:val="00765912"/>
    <w:rsid w:val="00765FF0"/>
    <w:rsid w:val="00767397"/>
    <w:rsid w:val="00770058"/>
    <w:rsid w:val="0077092F"/>
    <w:rsid w:val="0077130C"/>
    <w:rsid w:val="007714DD"/>
    <w:rsid w:val="007715BC"/>
    <w:rsid w:val="00771B73"/>
    <w:rsid w:val="00771BC3"/>
    <w:rsid w:val="00771C2A"/>
    <w:rsid w:val="00771FA2"/>
    <w:rsid w:val="0077208B"/>
    <w:rsid w:val="00773812"/>
    <w:rsid w:val="0077434C"/>
    <w:rsid w:val="007747F8"/>
    <w:rsid w:val="0077480C"/>
    <w:rsid w:val="00774B2C"/>
    <w:rsid w:val="00774BDA"/>
    <w:rsid w:val="00775DA3"/>
    <w:rsid w:val="0077611B"/>
    <w:rsid w:val="007761D5"/>
    <w:rsid w:val="00776397"/>
    <w:rsid w:val="0077660A"/>
    <w:rsid w:val="0077688D"/>
    <w:rsid w:val="00776962"/>
    <w:rsid w:val="00776C74"/>
    <w:rsid w:val="007771A9"/>
    <w:rsid w:val="007776E6"/>
    <w:rsid w:val="007777C3"/>
    <w:rsid w:val="007779EB"/>
    <w:rsid w:val="00777B59"/>
    <w:rsid w:val="00777E52"/>
    <w:rsid w:val="007817BB"/>
    <w:rsid w:val="00781922"/>
    <w:rsid w:val="00781A04"/>
    <w:rsid w:val="00782788"/>
    <w:rsid w:val="00782A55"/>
    <w:rsid w:val="00783352"/>
    <w:rsid w:val="00783D9B"/>
    <w:rsid w:val="0078448E"/>
    <w:rsid w:val="00784CF3"/>
    <w:rsid w:val="00784D0A"/>
    <w:rsid w:val="007852D1"/>
    <w:rsid w:val="007857A7"/>
    <w:rsid w:val="00785E2D"/>
    <w:rsid w:val="00790244"/>
    <w:rsid w:val="007913E9"/>
    <w:rsid w:val="00791BC1"/>
    <w:rsid w:val="0079235A"/>
    <w:rsid w:val="0079288D"/>
    <w:rsid w:val="007929B2"/>
    <w:rsid w:val="00792D3E"/>
    <w:rsid w:val="00792F3B"/>
    <w:rsid w:val="007931C4"/>
    <w:rsid w:val="007932B0"/>
    <w:rsid w:val="0079541D"/>
    <w:rsid w:val="00795F67"/>
    <w:rsid w:val="0079627E"/>
    <w:rsid w:val="007969B2"/>
    <w:rsid w:val="00796F27"/>
    <w:rsid w:val="0079784E"/>
    <w:rsid w:val="007978D5"/>
    <w:rsid w:val="00797ACD"/>
    <w:rsid w:val="007A09E8"/>
    <w:rsid w:val="007A1068"/>
    <w:rsid w:val="007A11BD"/>
    <w:rsid w:val="007A18DC"/>
    <w:rsid w:val="007A1D5B"/>
    <w:rsid w:val="007A3189"/>
    <w:rsid w:val="007A3ABB"/>
    <w:rsid w:val="007A4004"/>
    <w:rsid w:val="007A4994"/>
    <w:rsid w:val="007A5725"/>
    <w:rsid w:val="007A5976"/>
    <w:rsid w:val="007A59A4"/>
    <w:rsid w:val="007A6AE5"/>
    <w:rsid w:val="007A721A"/>
    <w:rsid w:val="007A7CFF"/>
    <w:rsid w:val="007B0E4F"/>
    <w:rsid w:val="007B16CE"/>
    <w:rsid w:val="007B1827"/>
    <w:rsid w:val="007B2B46"/>
    <w:rsid w:val="007B2D75"/>
    <w:rsid w:val="007B32F3"/>
    <w:rsid w:val="007B350E"/>
    <w:rsid w:val="007B35AA"/>
    <w:rsid w:val="007B3840"/>
    <w:rsid w:val="007B3A8E"/>
    <w:rsid w:val="007B3BCB"/>
    <w:rsid w:val="007B3F4A"/>
    <w:rsid w:val="007B3F4F"/>
    <w:rsid w:val="007B3FE1"/>
    <w:rsid w:val="007B4422"/>
    <w:rsid w:val="007B46EE"/>
    <w:rsid w:val="007B47BE"/>
    <w:rsid w:val="007B48D7"/>
    <w:rsid w:val="007B6801"/>
    <w:rsid w:val="007B6B5E"/>
    <w:rsid w:val="007B6CC1"/>
    <w:rsid w:val="007B6ED2"/>
    <w:rsid w:val="007B6FE9"/>
    <w:rsid w:val="007B7203"/>
    <w:rsid w:val="007C0EE0"/>
    <w:rsid w:val="007C138C"/>
    <w:rsid w:val="007C1956"/>
    <w:rsid w:val="007C1A39"/>
    <w:rsid w:val="007C1B89"/>
    <w:rsid w:val="007C2D67"/>
    <w:rsid w:val="007C3144"/>
    <w:rsid w:val="007C32AB"/>
    <w:rsid w:val="007C4387"/>
    <w:rsid w:val="007C469D"/>
    <w:rsid w:val="007C4D7C"/>
    <w:rsid w:val="007C5649"/>
    <w:rsid w:val="007C5AA2"/>
    <w:rsid w:val="007C5B30"/>
    <w:rsid w:val="007C5F37"/>
    <w:rsid w:val="007C6122"/>
    <w:rsid w:val="007C6413"/>
    <w:rsid w:val="007C70A0"/>
    <w:rsid w:val="007C7988"/>
    <w:rsid w:val="007C7BDC"/>
    <w:rsid w:val="007D0647"/>
    <w:rsid w:val="007D07C9"/>
    <w:rsid w:val="007D099B"/>
    <w:rsid w:val="007D122F"/>
    <w:rsid w:val="007D1FD3"/>
    <w:rsid w:val="007D243D"/>
    <w:rsid w:val="007D27CA"/>
    <w:rsid w:val="007D27D4"/>
    <w:rsid w:val="007D456F"/>
    <w:rsid w:val="007D4B59"/>
    <w:rsid w:val="007D5622"/>
    <w:rsid w:val="007D58A9"/>
    <w:rsid w:val="007D6510"/>
    <w:rsid w:val="007D6FC9"/>
    <w:rsid w:val="007D7335"/>
    <w:rsid w:val="007D78C4"/>
    <w:rsid w:val="007D7ADE"/>
    <w:rsid w:val="007E0310"/>
    <w:rsid w:val="007E1009"/>
    <w:rsid w:val="007E118A"/>
    <w:rsid w:val="007E180E"/>
    <w:rsid w:val="007E23D1"/>
    <w:rsid w:val="007E269F"/>
    <w:rsid w:val="007E31A7"/>
    <w:rsid w:val="007E395D"/>
    <w:rsid w:val="007E3C7E"/>
    <w:rsid w:val="007E3CF2"/>
    <w:rsid w:val="007E51D8"/>
    <w:rsid w:val="007E586F"/>
    <w:rsid w:val="007E6E91"/>
    <w:rsid w:val="007E72AC"/>
    <w:rsid w:val="007E7D16"/>
    <w:rsid w:val="007F034E"/>
    <w:rsid w:val="007F0C96"/>
    <w:rsid w:val="007F10D9"/>
    <w:rsid w:val="007F11DE"/>
    <w:rsid w:val="007F1348"/>
    <w:rsid w:val="007F1F80"/>
    <w:rsid w:val="007F242E"/>
    <w:rsid w:val="007F2506"/>
    <w:rsid w:val="007F2B2A"/>
    <w:rsid w:val="007F2D65"/>
    <w:rsid w:val="007F3294"/>
    <w:rsid w:val="007F3C61"/>
    <w:rsid w:val="007F41FA"/>
    <w:rsid w:val="007F47B9"/>
    <w:rsid w:val="007F5A9D"/>
    <w:rsid w:val="007F6734"/>
    <w:rsid w:val="007F67E4"/>
    <w:rsid w:val="007F7052"/>
    <w:rsid w:val="007F7677"/>
    <w:rsid w:val="007F7CEB"/>
    <w:rsid w:val="00800835"/>
    <w:rsid w:val="008008CB"/>
    <w:rsid w:val="00800E91"/>
    <w:rsid w:val="00801692"/>
    <w:rsid w:val="00802170"/>
    <w:rsid w:val="008022B5"/>
    <w:rsid w:val="0080238D"/>
    <w:rsid w:val="008023A8"/>
    <w:rsid w:val="0080255A"/>
    <w:rsid w:val="0080371C"/>
    <w:rsid w:val="00803CD8"/>
    <w:rsid w:val="00803D5E"/>
    <w:rsid w:val="008045D5"/>
    <w:rsid w:val="00804672"/>
    <w:rsid w:val="0080469F"/>
    <w:rsid w:val="00804964"/>
    <w:rsid w:val="00804F4F"/>
    <w:rsid w:val="008051C3"/>
    <w:rsid w:val="008056B2"/>
    <w:rsid w:val="00805D53"/>
    <w:rsid w:val="00806882"/>
    <w:rsid w:val="008069FD"/>
    <w:rsid w:val="00807032"/>
    <w:rsid w:val="00807CC2"/>
    <w:rsid w:val="00811960"/>
    <w:rsid w:val="00812BA1"/>
    <w:rsid w:val="008130E8"/>
    <w:rsid w:val="00813309"/>
    <w:rsid w:val="00813820"/>
    <w:rsid w:val="008138CA"/>
    <w:rsid w:val="00813A8C"/>
    <w:rsid w:val="00813D39"/>
    <w:rsid w:val="00813EC1"/>
    <w:rsid w:val="00814F1C"/>
    <w:rsid w:val="00815ADB"/>
    <w:rsid w:val="008163ED"/>
    <w:rsid w:val="00816766"/>
    <w:rsid w:val="00816BF0"/>
    <w:rsid w:val="00820406"/>
    <w:rsid w:val="008216F0"/>
    <w:rsid w:val="008219A2"/>
    <w:rsid w:val="00822775"/>
    <w:rsid w:val="00822E2E"/>
    <w:rsid w:val="0082309E"/>
    <w:rsid w:val="008234A1"/>
    <w:rsid w:val="00823E06"/>
    <w:rsid w:val="0082489B"/>
    <w:rsid w:val="0082509E"/>
    <w:rsid w:val="00825C5A"/>
    <w:rsid w:val="008267F4"/>
    <w:rsid w:val="00826B37"/>
    <w:rsid w:val="00826DD1"/>
    <w:rsid w:val="0082704B"/>
    <w:rsid w:val="00827271"/>
    <w:rsid w:val="008275A3"/>
    <w:rsid w:val="008276BF"/>
    <w:rsid w:val="008278D8"/>
    <w:rsid w:val="00827E93"/>
    <w:rsid w:val="00830207"/>
    <w:rsid w:val="00830A96"/>
    <w:rsid w:val="00830B6F"/>
    <w:rsid w:val="008310C2"/>
    <w:rsid w:val="008314B8"/>
    <w:rsid w:val="00831770"/>
    <w:rsid w:val="00831A95"/>
    <w:rsid w:val="00831F76"/>
    <w:rsid w:val="008323E2"/>
    <w:rsid w:val="008330C1"/>
    <w:rsid w:val="0083332E"/>
    <w:rsid w:val="0083384B"/>
    <w:rsid w:val="00834061"/>
    <w:rsid w:val="008347FA"/>
    <w:rsid w:val="00834E6D"/>
    <w:rsid w:val="00835553"/>
    <w:rsid w:val="0083617D"/>
    <w:rsid w:val="00836A80"/>
    <w:rsid w:val="00836BB3"/>
    <w:rsid w:val="00836CE1"/>
    <w:rsid w:val="00836E6C"/>
    <w:rsid w:val="008372F5"/>
    <w:rsid w:val="008373BA"/>
    <w:rsid w:val="0084025F"/>
    <w:rsid w:val="00840875"/>
    <w:rsid w:val="00841255"/>
    <w:rsid w:val="008413C1"/>
    <w:rsid w:val="008415DC"/>
    <w:rsid w:val="008426AC"/>
    <w:rsid w:val="00842875"/>
    <w:rsid w:val="00842960"/>
    <w:rsid w:val="00842A88"/>
    <w:rsid w:val="00842AE7"/>
    <w:rsid w:val="00842D88"/>
    <w:rsid w:val="00843611"/>
    <w:rsid w:val="00843D0D"/>
    <w:rsid w:val="0084402C"/>
    <w:rsid w:val="008441DF"/>
    <w:rsid w:val="0084430A"/>
    <w:rsid w:val="00844AAD"/>
    <w:rsid w:val="00844D47"/>
    <w:rsid w:val="00844F0D"/>
    <w:rsid w:val="0084517D"/>
    <w:rsid w:val="008456B3"/>
    <w:rsid w:val="008457C6"/>
    <w:rsid w:val="00845EC2"/>
    <w:rsid w:val="00845F98"/>
    <w:rsid w:val="00845FA3"/>
    <w:rsid w:val="00846E67"/>
    <w:rsid w:val="0084700B"/>
    <w:rsid w:val="00847291"/>
    <w:rsid w:val="00847B60"/>
    <w:rsid w:val="00847DFD"/>
    <w:rsid w:val="00847E88"/>
    <w:rsid w:val="00850510"/>
    <w:rsid w:val="008512BD"/>
    <w:rsid w:val="008513EA"/>
    <w:rsid w:val="008516D5"/>
    <w:rsid w:val="008519C7"/>
    <w:rsid w:val="00852365"/>
    <w:rsid w:val="00852762"/>
    <w:rsid w:val="008529CA"/>
    <w:rsid w:val="00853659"/>
    <w:rsid w:val="00853677"/>
    <w:rsid w:val="00854A89"/>
    <w:rsid w:val="00855108"/>
    <w:rsid w:val="0085529C"/>
    <w:rsid w:val="0085582C"/>
    <w:rsid w:val="00855B12"/>
    <w:rsid w:val="00855F99"/>
    <w:rsid w:val="00856244"/>
    <w:rsid w:val="00856CCA"/>
    <w:rsid w:val="008578BD"/>
    <w:rsid w:val="008609F3"/>
    <w:rsid w:val="00860D2F"/>
    <w:rsid w:val="008616DF"/>
    <w:rsid w:val="00861867"/>
    <w:rsid w:val="008620C5"/>
    <w:rsid w:val="00862E67"/>
    <w:rsid w:val="00862EC2"/>
    <w:rsid w:val="00862F1F"/>
    <w:rsid w:val="00863830"/>
    <w:rsid w:val="008638F0"/>
    <w:rsid w:val="00863986"/>
    <w:rsid w:val="00863AB4"/>
    <w:rsid w:val="008647C0"/>
    <w:rsid w:val="00864CDD"/>
    <w:rsid w:val="00864E56"/>
    <w:rsid w:val="00866AAB"/>
    <w:rsid w:val="00866DBC"/>
    <w:rsid w:val="00867B90"/>
    <w:rsid w:val="008700AC"/>
    <w:rsid w:val="008708D3"/>
    <w:rsid w:val="00870AB0"/>
    <w:rsid w:val="00871A37"/>
    <w:rsid w:val="00871A65"/>
    <w:rsid w:val="00872144"/>
    <w:rsid w:val="0087235C"/>
    <w:rsid w:val="00872873"/>
    <w:rsid w:val="00872ECF"/>
    <w:rsid w:val="00872FA7"/>
    <w:rsid w:val="008752DF"/>
    <w:rsid w:val="00876057"/>
    <w:rsid w:val="008762EE"/>
    <w:rsid w:val="00876B44"/>
    <w:rsid w:val="0087782B"/>
    <w:rsid w:val="00877B34"/>
    <w:rsid w:val="00880AB8"/>
    <w:rsid w:val="00880B21"/>
    <w:rsid w:val="00882230"/>
    <w:rsid w:val="00883D13"/>
    <w:rsid w:val="00885004"/>
    <w:rsid w:val="0088506B"/>
    <w:rsid w:val="00885287"/>
    <w:rsid w:val="008853B1"/>
    <w:rsid w:val="00885400"/>
    <w:rsid w:val="00885412"/>
    <w:rsid w:val="00885B22"/>
    <w:rsid w:val="00885D5A"/>
    <w:rsid w:val="00885E1B"/>
    <w:rsid w:val="00886170"/>
    <w:rsid w:val="00886D8E"/>
    <w:rsid w:val="00887483"/>
    <w:rsid w:val="00887EE7"/>
    <w:rsid w:val="0089076D"/>
    <w:rsid w:val="00891085"/>
    <w:rsid w:val="0089117C"/>
    <w:rsid w:val="0089268F"/>
    <w:rsid w:val="00892AE3"/>
    <w:rsid w:val="00892F1B"/>
    <w:rsid w:val="00892F2D"/>
    <w:rsid w:val="008932A3"/>
    <w:rsid w:val="00893971"/>
    <w:rsid w:val="00893ED8"/>
    <w:rsid w:val="00894330"/>
    <w:rsid w:val="0089473B"/>
    <w:rsid w:val="00894C63"/>
    <w:rsid w:val="00894E94"/>
    <w:rsid w:val="00895048"/>
    <w:rsid w:val="008950EA"/>
    <w:rsid w:val="008951BD"/>
    <w:rsid w:val="00896C70"/>
    <w:rsid w:val="008974F8"/>
    <w:rsid w:val="00897BCC"/>
    <w:rsid w:val="008A09D4"/>
    <w:rsid w:val="008A0AC8"/>
    <w:rsid w:val="008A116D"/>
    <w:rsid w:val="008A171D"/>
    <w:rsid w:val="008A180B"/>
    <w:rsid w:val="008A1A9F"/>
    <w:rsid w:val="008A1C0C"/>
    <w:rsid w:val="008A2BF4"/>
    <w:rsid w:val="008A2F7B"/>
    <w:rsid w:val="008A3C6A"/>
    <w:rsid w:val="008A4604"/>
    <w:rsid w:val="008A4F10"/>
    <w:rsid w:val="008A5A9C"/>
    <w:rsid w:val="008A5C12"/>
    <w:rsid w:val="008A5D65"/>
    <w:rsid w:val="008A660E"/>
    <w:rsid w:val="008A678B"/>
    <w:rsid w:val="008A6E19"/>
    <w:rsid w:val="008A722E"/>
    <w:rsid w:val="008A724D"/>
    <w:rsid w:val="008A72D5"/>
    <w:rsid w:val="008B1111"/>
    <w:rsid w:val="008B215D"/>
    <w:rsid w:val="008B23FE"/>
    <w:rsid w:val="008B4011"/>
    <w:rsid w:val="008B44D4"/>
    <w:rsid w:val="008B47A7"/>
    <w:rsid w:val="008B4B81"/>
    <w:rsid w:val="008B4C0D"/>
    <w:rsid w:val="008B4D81"/>
    <w:rsid w:val="008B5F22"/>
    <w:rsid w:val="008B5FAA"/>
    <w:rsid w:val="008B6133"/>
    <w:rsid w:val="008B67D8"/>
    <w:rsid w:val="008B6AF5"/>
    <w:rsid w:val="008B6F8F"/>
    <w:rsid w:val="008B6FAD"/>
    <w:rsid w:val="008B7C92"/>
    <w:rsid w:val="008B7DE5"/>
    <w:rsid w:val="008B7F7F"/>
    <w:rsid w:val="008C0013"/>
    <w:rsid w:val="008C00CC"/>
    <w:rsid w:val="008C1379"/>
    <w:rsid w:val="008C1442"/>
    <w:rsid w:val="008C1911"/>
    <w:rsid w:val="008C1A00"/>
    <w:rsid w:val="008C24C1"/>
    <w:rsid w:val="008C3157"/>
    <w:rsid w:val="008C3199"/>
    <w:rsid w:val="008C3827"/>
    <w:rsid w:val="008C4D6A"/>
    <w:rsid w:val="008C60B8"/>
    <w:rsid w:val="008D105A"/>
    <w:rsid w:val="008D1500"/>
    <w:rsid w:val="008D27F8"/>
    <w:rsid w:val="008D2A3E"/>
    <w:rsid w:val="008D3025"/>
    <w:rsid w:val="008D3CB2"/>
    <w:rsid w:val="008D3D0F"/>
    <w:rsid w:val="008D4652"/>
    <w:rsid w:val="008D477F"/>
    <w:rsid w:val="008D4BA8"/>
    <w:rsid w:val="008D608A"/>
    <w:rsid w:val="008D6D5A"/>
    <w:rsid w:val="008D6EF5"/>
    <w:rsid w:val="008D6F7C"/>
    <w:rsid w:val="008D736F"/>
    <w:rsid w:val="008E054C"/>
    <w:rsid w:val="008E0EA1"/>
    <w:rsid w:val="008E1023"/>
    <w:rsid w:val="008E137F"/>
    <w:rsid w:val="008E1D79"/>
    <w:rsid w:val="008E2280"/>
    <w:rsid w:val="008E27C8"/>
    <w:rsid w:val="008E29E7"/>
    <w:rsid w:val="008E2ADE"/>
    <w:rsid w:val="008E2CA4"/>
    <w:rsid w:val="008E2E86"/>
    <w:rsid w:val="008E36DE"/>
    <w:rsid w:val="008E3BD4"/>
    <w:rsid w:val="008E3E46"/>
    <w:rsid w:val="008E3EF5"/>
    <w:rsid w:val="008E40B2"/>
    <w:rsid w:val="008E4D27"/>
    <w:rsid w:val="008E500D"/>
    <w:rsid w:val="008E6223"/>
    <w:rsid w:val="008E69A2"/>
    <w:rsid w:val="008E6B6C"/>
    <w:rsid w:val="008E6DBA"/>
    <w:rsid w:val="008E7122"/>
    <w:rsid w:val="008F0324"/>
    <w:rsid w:val="008F06D1"/>
    <w:rsid w:val="008F097F"/>
    <w:rsid w:val="008F1244"/>
    <w:rsid w:val="008F127B"/>
    <w:rsid w:val="008F141F"/>
    <w:rsid w:val="008F1910"/>
    <w:rsid w:val="008F3568"/>
    <w:rsid w:val="008F37F3"/>
    <w:rsid w:val="008F3FEF"/>
    <w:rsid w:val="008F49F1"/>
    <w:rsid w:val="008F5041"/>
    <w:rsid w:val="008F578E"/>
    <w:rsid w:val="008F5CBF"/>
    <w:rsid w:val="008F62C8"/>
    <w:rsid w:val="008F6349"/>
    <w:rsid w:val="008F6460"/>
    <w:rsid w:val="008F6715"/>
    <w:rsid w:val="00900647"/>
    <w:rsid w:val="0090064D"/>
    <w:rsid w:val="00900B80"/>
    <w:rsid w:val="00901132"/>
    <w:rsid w:val="0090246A"/>
    <w:rsid w:val="00902E52"/>
    <w:rsid w:val="009030F6"/>
    <w:rsid w:val="0090366C"/>
    <w:rsid w:val="009037A3"/>
    <w:rsid w:val="00903B91"/>
    <w:rsid w:val="0090415D"/>
    <w:rsid w:val="009047BF"/>
    <w:rsid w:val="00904920"/>
    <w:rsid w:val="00904AEE"/>
    <w:rsid w:val="00904AF0"/>
    <w:rsid w:val="009052C8"/>
    <w:rsid w:val="00905F4D"/>
    <w:rsid w:val="0090622A"/>
    <w:rsid w:val="009065E0"/>
    <w:rsid w:val="00906768"/>
    <w:rsid w:val="0090677F"/>
    <w:rsid w:val="0090679B"/>
    <w:rsid w:val="00906DAF"/>
    <w:rsid w:val="0090786C"/>
    <w:rsid w:val="00907CDA"/>
    <w:rsid w:val="00910079"/>
    <w:rsid w:val="00910996"/>
    <w:rsid w:val="0091164E"/>
    <w:rsid w:val="00912130"/>
    <w:rsid w:val="00912C4E"/>
    <w:rsid w:val="00913133"/>
    <w:rsid w:val="00913A4B"/>
    <w:rsid w:val="00914FA0"/>
    <w:rsid w:val="00915050"/>
    <w:rsid w:val="009158AF"/>
    <w:rsid w:val="00915EAB"/>
    <w:rsid w:val="00916166"/>
    <w:rsid w:val="00916188"/>
    <w:rsid w:val="00916452"/>
    <w:rsid w:val="009172FA"/>
    <w:rsid w:val="009174C0"/>
    <w:rsid w:val="00917D37"/>
    <w:rsid w:val="00917D66"/>
    <w:rsid w:val="00917DFE"/>
    <w:rsid w:val="00920F87"/>
    <w:rsid w:val="009219EE"/>
    <w:rsid w:val="00921EB3"/>
    <w:rsid w:val="00921ED5"/>
    <w:rsid w:val="00922006"/>
    <w:rsid w:val="00922B26"/>
    <w:rsid w:val="00922B3D"/>
    <w:rsid w:val="009232A3"/>
    <w:rsid w:val="0092360E"/>
    <w:rsid w:val="00923746"/>
    <w:rsid w:val="009238C8"/>
    <w:rsid w:val="0092390A"/>
    <w:rsid w:val="00923EA3"/>
    <w:rsid w:val="00924CB6"/>
    <w:rsid w:val="0092502C"/>
    <w:rsid w:val="00925DF8"/>
    <w:rsid w:val="00925F16"/>
    <w:rsid w:val="00926310"/>
    <w:rsid w:val="00926C8E"/>
    <w:rsid w:val="009300AD"/>
    <w:rsid w:val="00930342"/>
    <w:rsid w:val="00930867"/>
    <w:rsid w:val="00930A57"/>
    <w:rsid w:val="00930F25"/>
    <w:rsid w:val="0093148F"/>
    <w:rsid w:val="009321D8"/>
    <w:rsid w:val="0093223F"/>
    <w:rsid w:val="0093238A"/>
    <w:rsid w:val="00932395"/>
    <w:rsid w:val="0093240C"/>
    <w:rsid w:val="009325A4"/>
    <w:rsid w:val="00932E84"/>
    <w:rsid w:val="00933354"/>
    <w:rsid w:val="00934013"/>
    <w:rsid w:val="00934088"/>
    <w:rsid w:val="009341F7"/>
    <w:rsid w:val="00934D02"/>
    <w:rsid w:val="00935A23"/>
    <w:rsid w:val="00935E07"/>
    <w:rsid w:val="00935E0C"/>
    <w:rsid w:val="0093679F"/>
    <w:rsid w:val="00937619"/>
    <w:rsid w:val="00937625"/>
    <w:rsid w:val="009408BC"/>
    <w:rsid w:val="00940FD8"/>
    <w:rsid w:val="009411D9"/>
    <w:rsid w:val="00941923"/>
    <w:rsid w:val="00942337"/>
    <w:rsid w:val="009424B5"/>
    <w:rsid w:val="00942752"/>
    <w:rsid w:val="00942EBF"/>
    <w:rsid w:val="00943A2C"/>
    <w:rsid w:val="009447F3"/>
    <w:rsid w:val="00944872"/>
    <w:rsid w:val="00944882"/>
    <w:rsid w:val="00945977"/>
    <w:rsid w:val="0094599B"/>
    <w:rsid w:val="009477EF"/>
    <w:rsid w:val="00947A41"/>
    <w:rsid w:val="00947C39"/>
    <w:rsid w:val="00947D5D"/>
    <w:rsid w:val="00950181"/>
    <w:rsid w:val="009505BB"/>
    <w:rsid w:val="00950AA2"/>
    <w:rsid w:val="00950F43"/>
    <w:rsid w:val="009516EA"/>
    <w:rsid w:val="00951A9F"/>
    <w:rsid w:val="00952DF6"/>
    <w:rsid w:val="00953270"/>
    <w:rsid w:val="0095341E"/>
    <w:rsid w:val="0095367E"/>
    <w:rsid w:val="0095449C"/>
    <w:rsid w:val="009547EC"/>
    <w:rsid w:val="00954FEE"/>
    <w:rsid w:val="00955377"/>
    <w:rsid w:val="00955E5F"/>
    <w:rsid w:val="00955E97"/>
    <w:rsid w:val="009561FE"/>
    <w:rsid w:val="00956333"/>
    <w:rsid w:val="009568FD"/>
    <w:rsid w:val="009569E4"/>
    <w:rsid w:val="009569FC"/>
    <w:rsid w:val="00960023"/>
    <w:rsid w:val="0096049B"/>
    <w:rsid w:val="00960536"/>
    <w:rsid w:val="00960809"/>
    <w:rsid w:val="009609B7"/>
    <w:rsid w:val="00960A97"/>
    <w:rsid w:val="00961274"/>
    <w:rsid w:val="009613EB"/>
    <w:rsid w:val="0096147F"/>
    <w:rsid w:val="0096204F"/>
    <w:rsid w:val="00962604"/>
    <w:rsid w:val="00962973"/>
    <w:rsid w:val="009633C5"/>
    <w:rsid w:val="0096373E"/>
    <w:rsid w:val="009637B6"/>
    <w:rsid w:val="00963BB5"/>
    <w:rsid w:val="00964103"/>
    <w:rsid w:val="009644F8"/>
    <w:rsid w:val="00964AE4"/>
    <w:rsid w:val="0096654A"/>
    <w:rsid w:val="00966E4D"/>
    <w:rsid w:val="009671EB"/>
    <w:rsid w:val="00967483"/>
    <w:rsid w:val="00967914"/>
    <w:rsid w:val="009703E9"/>
    <w:rsid w:val="00970861"/>
    <w:rsid w:val="00970A19"/>
    <w:rsid w:val="00970B83"/>
    <w:rsid w:val="00970DBC"/>
    <w:rsid w:val="00971625"/>
    <w:rsid w:val="00971C23"/>
    <w:rsid w:val="00971D15"/>
    <w:rsid w:val="0097206F"/>
    <w:rsid w:val="0097282F"/>
    <w:rsid w:val="00972A23"/>
    <w:rsid w:val="00972B6F"/>
    <w:rsid w:val="00973590"/>
    <w:rsid w:val="0097395C"/>
    <w:rsid w:val="00973A36"/>
    <w:rsid w:val="00973F6F"/>
    <w:rsid w:val="0097408A"/>
    <w:rsid w:val="0097443A"/>
    <w:rsid w:val="0097474B"/>
    <w:rsid w:val="00975172"/>
    <w:rsid w:val="00975285"/>
    <w:rsid w:val="0097537F"/>
    <w:rsid w:val="00975D4D"/>
    <w:rsid w:val="00976BCD"/>
    <w:rsid w:val="00977080"/>
    <w:rsid w:val="0097715D"/>
    <w:rsid w:val="0097741D"/>
    <w:rsid w:val="0097792B"/>
    <w:rsid w:val="00977EDE"/>
    <w:rsid w:val="00980EDF"/>
    <w:rsid w:val="00980EE3"/>
    <w:rsid w:val="00980FEB"/>
    <w:rsid w:val="0098130B"/>
    <w:rsid w:val="0098224E"/>
    <w:rsid w:val="00982D07"/>
    <w:rsid w:val="009830B3"/>
    <w:rsid w:val="00983A45"/>
    <w:rsid w:val="00983AAF"/>
    <w:rsid w:val="00983AF6"/>
    <w:rsid w:val="00983FDE"/>
    <w:rsid w:val="009845A4"/>
    <w:rsid w:val="00984FB6"/>
    <w:rsid w:val="00985AAB"/>
    <w:rsid w:val="00986037"/>
    <w:rsid w:val="00986259"/>
    <w:rsid w:val="009865A1"/>
    <w:rsid w:val="00986745"/>
    <w:rsid w:val="009867D1"/>
    <w:rsid w:val="009871AE"/>
    <w:rsid w:val="009877B2"/>
    <w:rsid w:val="00987C3A"/>
    <w:rsid w:val="00990249"/>
    <w:rsid w:val="00992213"/>
    <w:rsid w:val="00992C2A"/>
    <w:rsid w:val="00992E27"/>
    <w:rsid w:val="009931CB"/>
    <w:rsid w:val="00993425"/>
    <w:rsid w:val="009941EC"/>
    <w:rsid w:val="0099498F"/>
    <w:rsid w:val="00994ABE"/>
    <w:rsid w:val="00994BEA"/>
    <w:rsid w:val="00994F29"/>
    <w:rsid w:val="00994FE8"/>
    <w:rsid w:val="009953AC"/>
    <w:rsid w:val="009957A6"/>
    <w:rsid w:val="00995F0C"/>
    <w:rsid w:val="00996DFE"/>
    <w:rsid w:val="00997A92"/>
    <w:rsid w:val="00997D32"/>
    <w:rsid w:val="009A0483"/>
    <w:rsid w:val="009A07D4"/>
    <w:rsid w:val="009A0F1A"/>
    <w:rsid w:val="009A1011"/>
    <w:rsid w:val="009A112F"/>
    <w:rsid w:val="009A26C7"/>
    <w:rsid w:val="009A32B2"/>
    <w:rsid w:val="009A330C"/>
    <w:rsid w:val="009A34C6"/>
    <w:rsid w:val="009A3A24"/>
    <w:rsid w:val="009A4455"/>
    <w:rsid w:val="009A44CF"/>
    <w:rsid w:val="009A4759"/>
    <w:rsid w:val="009A4B57"/>
    <w:rsid w:val="009A4E0C"/>
    <w:rsid w:val="009A63E7"/>
    <w:rsid w:val="009A696E"/>
    <w:rsid w:val="009B30AF"/>
    <w:rsid w:val="009B4177"/>
    <w:rsid w:val="009B4E9B"/>
    <w:rsid w:val="009B53A2"/>
    <w:rsid w:val="009B5BA8"/>
    <w:rsid w:val="009B62FB"/>
    <w:rsid w:val="009B6579"/>
    <w:rsid w:val="009B6908"/>
    <w:rsid w:val="009B714A"/>
    <w:rsid w:val="009B7E34"/>
    <w:rsid w:val="009C00E4"/>
    <w:rsid w:val="009C08D1"/>
    <w:rsid w:val="009C0AD8"/>
    <w:rsid w:val="009C0C30"/>
    <w:rsid w:val="009C0F21"/>
    <w:rsid w:val="009C0FC9"/>
    <w:rsid w:val="009C113D"/>
    <w:rsid w:val="009C1438"/>
    <w:rsid w:val="009C149E"/>
    <w:rsid w:val="009C2210"/>
    <w:rsid w:val="009C28C1"/>
    <w:rsid w:val="009C2DA4"/>
    <w:rsid w:val="009C2DFF"/>
    <w:rsid w:val="009C389D"/>
    <w:rsid w:val="009C3DE4"/>
    <w:rsid w:val="009C4282"/>
    <w:rsid w:val="009C50E6"/>
    <w:rsid w:val="009C54DB"/>
    <w:rsid w:val="009C56B6"/>
    <w:rsid w:val="009C5B4C"/>
    <w:rsid w:val="009C6424"/>
    <w:rsid w:val="009C6D6D"/>
    <w:rsid w:val="009C6DAE"/>
    <w:rsid w:val="009C6F45"/>
    <w:rsid w:val="009C7EF6"/>
    <w:rsid w:val="009D02FA"/>
    <w:rsid w:val="009D038D"/>
    <w:rsid w:val="009D0D44"/>
    <w:rsid w:val="009D169E"/>
    <w:rsid w:val="009D1BBF"/>
    <w:rsid w:val="009D1F1B"/>
    <w:rsid w:val="009D1F5E"/>
    <w:rsid w:val="009D227E"/>
    <w:rsid w:val="009D361A"/>
    <w:rsid w:val="009D3CE1"/>
    <w:rsid w:val="009D3DF4"/>
    <w:rsid w:val="009D3F04"/>
    <w:rsid w:val="009D407B"/>
    <w:rsid w:val="009D4160"/>
    <w:rsid w:val="009D4392"/>
    <w:rsid w:val="009D45E9"/>
    <w:rsid w:val="009D4F6A"/>
    <w:rsid w:val="009D5810"/>
    <w:rsid w:val="009D5B7A"/>
    <w:rsid w:val="009D67CC"/>
    <w:rsid w:val="009D6C73"/>
    <w:rsid w:val="009D784E"/>
    <w:rsid w:val="009E0272"/>
    <w:rsid w:val="009E0499"/>
    <w:rsid w:val="009E0DC6"/>
    <w:rsid w:val="009E12CF"/>
    <w:rsid w:val="009E16B3"/>
    <w:rsid w:val="009E1C0F"/>
    <w:rsid w:val="009E22E9"/>
    <w:rsid w:val="009E2713"/>
    <w:rsid w:val="009E2DE0"/>
    <w:rsid w:val="009E2E52"/>
    <w:rsid w:val="009E3FCD"/>
    <w:rsid w:val="009E4216"/>
    <w:rsid w:val="009E4CCD"/>
    <w:rsid w:val="009E4CEB"/>
    <w:rsid w:val="009E4EB3"/>
    <w:rsid w:val="009E510F"/>
    <w:rsid w:val="009E5656"/>
    <w:rsid w:val="009E57B6"/>
    <w:rsid w:val="009E5A57"/>
    <w:rsid w:val="009E6721"/>
    <w:rsid w:val="009E67A8"/>
    <w:rsid w:val="009E6944"/>
    <w:rsid w:val="009E73AA"/>
    <w:rsid w:val="009E76E7"/>
    <w:rsid w:val="009E7C94"/>
    <w:rsid w:val="009E7F9B"/>
    <w:rsid w:val="009F0232"/>
    <w:rsid w:val="009F0748"/>
    <w:rsid w:val="009F0D22"/>
    <w:rsid w:val="009F1268"/>
    <w:rsid w:val="009F16A1"/>
    <w:rsid w:val="009F1B64"/>
    <w:rsid w:val="009F1E79"/>
    <w:rsid w:val="009F2530"/>
    <w:rsid w:val="009F27AE"/>
    <w:rsid w:val="009F2B87"/>
    <w:rsid w:val="009F305E"/>
    <w:rsid w:val="009F3762"/>
    <w:rsid w:val="009F3B2B"/>
    <w:rsid w:val="009F3EE2"/>
    <w:rsid w:val="009F3F4B"/>
    <w:rsid w:val="009F45AE"/>
    <w:rsid w:val="009F50F2"/>
    <w:rsid w:val="009F52D0"/>
    <w:rsid w:val="009F64B8"/>
    <w:rsid w:val="009F65F2"/>
    <w:rsid w:val="009F7078"/>
    <w:rsid w:val="00A00289"/>
    <w:rsid w:val="00A00C9E"/>
    <w:rsid w:val="00A016D5"/>
    <w:rsid w:val="00A0183B"/>
    <w:rsid w:val="00A0208F"/>
    <w:rsid w:val="00A02838"/>
    <w:rsid w:val="00A02A80"/>
    <w:rsid w:val="00A02CAA"/>
    <w:rsid w:val="00A03002"/>
    <w:rsid w:val="00A03231"/>
    <w:rsid w:val="00A03337"/>
    <w:rsid w:val="00A034CE"/>
    <w:rsid w:val="00A03653"/>
    <w:rsid w:val="00A038FD"/>
    <w:rsid w:val="00A03F94"/>
    <w:rsid w:val="00A0423F"/>
    <w:rsid w:val="00A04432"/>
    <w:rsid w:val="00A049BB"/>
    <w:rsid w:val="00A052A3"/>
    <w:rsid w:val="00A052D9"/>
    <w:rsid w:val="00A05B38"/>
    <w:rsid w:val="00A062D9"/>
    <w:rsid w:val="00A062DB"/>
    <w:rsid w:val="00A069B5"/>
    <w:rsid w:val="00A06B9F"/>
    <w:rsid w:val="00A06E46"/>
    <w:rsid w:val="00A06F95"/>
    <w:rsid w:val="00A079B4"/>
    <w:rsid w:val="00A07AEE"/>
    <w:rsid w:val="00A07D57"/>
    <w:rsid w:val="00A07DE1"/>
    <w:rsid w:val="00A10256"/>
    <w:rsid w:val="00A106DB"/>
    <w:rsid w:val="00A10759"/>
    <w:rsid w:val="00A107FC"/>
    <w:rsid w:val="00A11395"/>
    <w:rsid w:val="00A113BB"/>
    <w:rsid w:val="00A11E7D"/>
    <w:rsid w:val="00A11F0B"/>
    <w:rsid w:val="00A1271A"/>
    <w:rsid w:val="00A13077"/>
    <w:rsid w:val="00A137A4"/>
    <w:rsid w:val="00A14C51"/>
    <w:rsid w:val="00A15438"/>
    <w:rsid w:val="00A15925"/>
    <w:rsid w:val="00A15C6B"/>
    <w:rsid w:val="00A16013"/>
    <w:rsid w:val="00A1611D"/>
    <w:rsid w:val="00A16319"/>
    <w:rsid w:val="00A16AC9"/>
    <w:rsid w:val="00A17627"/>
    <w:rsid w:val="00A17743"/>
    <w:rsid w:val="00A21290"/>
    <w:rsid w:val="00A21314"/>
    <w:rsid w:val="00A2223A"/>
    <w:rsid w:val="00A2231B"/>
    <w:rsid w:val="00A224E3"/>
    <w:rsid w:val="00A2278A"/>
    <w:rsid w:val="00A22B29"/>
    <w:rsid w:val="00A2334D"/>
    <w:rsid w:val="00A2378B"/>
    <w:rsid w:val="00A24373"/>
    <w:rsid w:val="00A254EE"/>
    <w:rsid w:val="00A258AF"/>
    <w:rsid w:val="00A25E4B"/>
    <w:rsid w:val="00A260D4"/>
    <w:rsid w:val="00A26325"/>
    <w:rsid w:val="00A263EB"/>
    <w:rsid w:val="00A2653C"/>
    <w:rsid w:val="00A26B08"/>
    <w:rsid w:val="00A26E10"/>
    <w:rsid w:val="00A27126"/>
    <w:rsid w:val="00A27506"/>
    <w:rsid w:val="00A2751D"/>
    <w:rsid w:val="00A2786D"/>
    <w:rsid w:val="00A278C6"/>
    <w:rsid w:val="00A30574"/>
    <w:rsid w:val="00A30933"/>
    <w:rsid w:val="00A316F0"/>
    <w:rsid w:val="00A31D8D"/>
    <w:rsid w:val="00A327DB"/>
    <w:rsid w:val="00A32CFC"/>
    <w:rsid w:val="00A32FAB"/>
    <w:rsid w:val="00A33839"/>
    <w:rsid w:val="00A34218"/>
    <w:rsid w:val="00A342BD"/>
    <w:rsid w:val="00A34EA3"/>
    <w:rsid w:val="00A35273"/>
    <w:rsid w:val="00A356FB"/>
    <w:rsid w:val="00A36478"/>
    <w:rsid w:val="00A364A7"/>
    <w:rsid w:val="00A364B1"/>
    <w:rsid w:val="00A37BEE"/>
    <w:rsid w:val="00A37FFE"/>
    <w:rsid w:val="00A40381"/>
    <w:rsid w:val="00A4049F"/>
    <w:rsid w:val="00A404F6"/>
    <w:rsid w:val="00A40E00"/>
    <w:rsid w:val="00A41F8C"/>
    <w:rsid w:val="00A42036"/>
    <w:rsid w:val="00A42B4A"/>
    <w:rsid w:val="00A437F4"/>
    <w:rsid w:val="00A44194"/>
    <w:rsid w:val="00A45362"/>
    <w:rsid w:val="00A46024"/>
    <w:rsid w:val="00A46795"/>
    <w:rsid w:val="00A469CD"/>
    <w:rsid w:val="00A46E6A"/>
    <w:rsid w:val="00A476BE"/>
    <w:rsid w:val="00A47A16"/>
    <w:rsid w:val="00A47DCC"/>
    <w:rsid w:val="00A47E39"/>
    <w:rsid w:val="00A50165"/>
    <w:rsid w:val="00A5037B"/>
    <w:rsid w:val="00A50E14"/>
    <w:rsid w:val="00A51470"/>
    <w:rsid w:val="00A5195E"/>
    <w:rsid w:val="00A51CAE"/>
    <w:rsid w:val="00A520ED"/>
    <w:rsid w:val="00A52834"/>
    <w:rsid w:val="00A530DF"/>
    <w:rsid w:val="00A5347D"/>
    <w:rsid w:val="00A53A89"/>
    <w:rsid w:val="00A5427A"/>
    <w:rsid w:val="00A548A6"/>
    <w:rsid w:val="00A54ABA"/>
    <w:rsid w:val="00A55F40"/>
    <w:rsid w:val="00A561D1"/>
    <w:rsid w:val="00A603ED"/>
    <w:rsid w:val="00A60941"/>
    <w:rsid w:val="00A60ED7"/>
    <w:rsid w:val="00A61C00"/>
    <w:rsid w:val="00A623A4"/>
    <w:rsid w:val="00A62D59"/>
    <w:rsid w:val="00A62E30"/>
    <w:rsid w:val="00A62EB1"/>
    <w:rsid w:val="00A63BF4"/>
    <w:rsid w:val="00A64B56"/>
    <w:rsid w:val="00A64BBE"/>
    <w:rsid w:val="00A64BD9"/>
    <w:rsid w:val="00A64DCD"/>
    <w:rsid w:val="00A65680"/>
    <w:rsid w:val="00A65700"/>
    <w:rsid w:val="00A657FE"/>
    <w:rsid w:val="00A65885"/>
    <w:rsid w:val="00A65B80"/>
    <w:rsid w:val="00A66D22"/>
    <w:rsid w:val="00A66F93"/>
    <w:rsid w:val="00A674F4"/>
    <w:rsid w:val="00A702B2"/>
    <w:rsid w:val="00A7084D"/>
    <w:rsid w:val="00A70F32"/>
    <w:rsid w:val="00A71704"/>
    <w:rsid w:val="00A71922"/>
    <w:rsid w:val="00A71C83"/>
    <w:rsid w:val="00A72185"/>
    <w:rsid w:val="00A73076"/>
    <w:rsid w:val="00A73A3B"/>
    <w:rsid w:val="00A73B81"/>
    <w:rsid w:val="00A745B7"/>
    <w:rsid w:val="00A74661"/>
    <w:rsid w:val="00A746BF"/>
    <w:rsid w:val="00A76619"/>
    <w:rsid w:val="00A76D2C"/>
    <w:rsid w:val="00A77054"/>
    <w:rsid w:val="00A77455"/>
    <w:rsid w:val="00A7748A"/>
    <w:rsid w:val="00A809A7"/>
    <w:rsid w:val="00A80B74"/>
    <w:rsid w:val="00A80B89"/>
    <w:rsid w:val="00A80CD2"/>
    <w:rsid w:val="00A8120C"/>
    <w:rsid w:val="00A8179C"/>
    <w:rsid w:val="00A81D99"/>
    <w:rsid w:val="00A8224C"/>
    <w:rsid w:val="00A823CA"/>
    <w:rsid w:val="00A8247F"/>
    <w:rsid w:val="00A82665"/>
    <w:rsid w:val="00A82A49"/>
    <w:rsid w:val="00A82EC3"/>
    <w:rsid w:val="00A83F4C"/>
    <w:rsid w:val="00A848BC"/>
    <w:rsid w:val="00A85716"/>
    <w:rsid w:val="00A85D38"/>
    <w:rsid w:val="00A86060"/>
    <w:rsid w:val="00A8644B"/>
    <w:rsid w:val="00A86CA1"/>
    <w:rsid w:val="00A87180"/>
    <w:rsid w:val="00A874D7"/>
    <w:rsid w:val="00A87974"/>
    <w:rsid w:val="00A87D48"/>
    <w:rsid w:val="00A90055"/>
    <w:rsid w:val="00A901CF"/>
    <w:rsid w:val="00A913A5"/>
    <w:rsid w:val="00A91E1C"/>
    <w:rsid w:val="00A929EA"/>
    <w:rsid w:val="00A930C9"/>
    <w:rsid w:val="00A9318A"/>
    <w:rsid w:val="00A93429"/>
    <w:rsid w:val="00A93B17"/>
    <w:rsid w:val="00A93BD4"/>
    <w:rsid w:val="00A944BF"/>
    <w:rsid w:val="00A95083"/>
    <w:rsid w:val="00A951AE"/>
    <w:rsid w:val="00A95717"/>
    <w:rsid w:val="00A95839"/>
    <w:rsid w:val="00A96061"/>
    <w:rsid w:val="00A96225"/>
    <w:rsid w:val="00A963F9"/>
    <w:rsid w:val="00A96DEA"/>
    <w:rsid w:val="00A97237"/>
    <w:rsid w:val="00A973E6"/>
    <w:rsid w:val="00AA0035"/>
    <w:rsid w:val="00AA0201"/>
    <w:rsid w:val="00AA03C5"/>
    <w:rsid w:val="00AA17B4"/>
    <w:rsid w:val="00AA1A3D"/>
    <w:rsid w:val="00AA1AE6"/>
    <w:rsid w:val="00AA1FE7"/>
    <w:rsid w:val="00AA213B"/>
    <w:rsid w:val="00AA280E"/>
    <w:rsid w:val="00AA2F20"/>
    <w:rsid w:val="00AA2FC9"/>
    <w:rsid w:val="00AA34A8"/>
    <w:rsid w:val="00AA3C26"/>
    <w:rsid w:val="00AA3CEC"/>
    <w:rsid w:val="00AA3E84"/>
    <w:rsid w:val="00AA4136"/>
    <w:rsid w:val="00AA5163"/>
    <w:rsid w:val="00AA5AEC"/>
    <w:rsid w:val="00AA5BFF"/>
    <w:rsid w:val="00AA5C7A"/>
    <w:rsid w:val="00AA5F33"/>
    <w:rsid w:val="00AA6289"/>
    <w:rsid w:val="00AA63D4"/>
    <w:rsid w:val="00AA6C48"/>
    <w:rsid w:val="00AA6F2F"/>
    <w:rsid w:val="00AA78E6"/>
    <w:rsid w:val="00AA79D1"/>
    <w:rsid w:val="00AA7D97"/>
    <w:rsid w:val="00AB038C"/>
    <w:rsid w:val="00AB0506"/>
    <w:rsid w:val="00AB0762"/>
    <w:rsid w:val="00AB0BE3"/>
    <w:rsid w:val="00AB270B"/>
    <w:rsid w:val="00AB2F26"/>
    <w:rsid w:val="00AB326F"/>
    <w:rsid w:val="00AB458A"/>
    <w:rsid w:val="00AB4A2F"/>
    <w:rsid w:val="00AB5124"/>
    <w:rsid w:val="00AB5A59"/>
    <w:rsid w:val="00AB60A7"/>
    <w:rsid w:val="00AB7169"/>
    <w:rsid w:val="00AB7184"/>
    <w:rsid w:val="00AB7922"/>
    <w:rsid w:val="00AB7A7E"/>
    <w:rsid w:val="00AC04DB"/>
    <w:rsid w:val="00AC0F2B"/>
    <w:rsid w:val="00AC0FC7"/>
    <w:rsid w:val="00AC1123"/>
    <w:rsid w:val="00AC1577"/>
    <w:rsid w:val="00AC1970"/>
    <w:rsid w:val="00AC1B40"/>
    <w:rsid w:val="00AC3674"/>
    <w:rsid w:val="00AC5170"/>
    <w:rsid w:val="00AC51B9"/>
    <w:rsid w:val="00AC5765"/>
    <w:rsid w:val="00AC5CA5"/>
    <w:rsid w:val="00AC733C"/>
    <w:rsid w:val="00AD033A"/>
    <w:rsid w:val="00AD046F"/>
    <w:rsid w:val="00AD09A7"/>
    <w:rsid w:val="00AD0E2D"/>
    <w:rsid w:val="00AD1270"/>
    <w:rsid w:val="00AD1651"/>
    <w:rsid w:val="00AD165D"/>
    <w:rsid w:val="00AD21E1"/>
    <w:rsid w:val="00AD2784"/>
    <w:rsid w:val="00AD3460"/>
    <w:rsid w:val="00AD4325"/>
    <w:rsid w:val="00AD43A1"/>
    <w:rsid w:val="00AD479D"/>
    <w:rsid w:val="00AD525C"/>
    <w:rsid w:val="00AD5669"/>
    <w:rsid w:val="00AD5AC1"/>
    <w:rsid w:val="00AD5D94"/>
    <w:rsid w:val="00AD5E00"/>
    <w:rsid w:val="00AD5E1C"/>
    <w:rsid w:val="00AD6593"/>
    <w:rsid w:val="00AD6598"/>
    <w:rsid w:val="00AD7046"/>
    <w:rsid w:val="00AD7500"/>
    <w:rsid w:val="00AD7C51"/>
    <w:rsid w:val="00AD7FE1"/>
    <w:rsid w:val="00AE0253"/>
    <w:rsid w:val="00AE02F8"/>
    <w:rsid w:val="00AE02FA"/>
    <w:rsid w:val="00AE0565"/>
    <w:rsid w:val="00AE0A39"/>
    <w:rsid w:val="00AE1B51"/>
    <w:rsid w:val="00AE1F9E"/>
    <w:rsid w:val="00AE2AF4"/>
    <w:rsid w:val="00AE2F13"/>
    <w:rsid w:val="00AE369C"/>
    <w:rsid w:val="00AE4759"/>
    <w:rsid w:val="00AE47A6"/>
    <w:rsid w:val="00AE4B01"/>
    <w:rsid w:val="00AE5517"/>
    <w:rsid w:val="00AE5552"/>
    <w:rsid w:val="00AE60AB"/>
    <w:rsid w:val="00AE6682"/>
    <w:rsid w:val="00AE6C0E"/>
    <w:rsid w:val="00AF08C2"/>
    <w:rsid w:val="00AF0BCB"/>
    <w:rsid w:val="00AF12C0"/>
    <w:rsid w:val="00AF1C92"/>
    <w:rsid w:val="00AF1DE1"/>
    <w:rsid w:val="00AF1F53"/>
    <w:rsid w:val="00AF32AA"/>
    <w:rsid w:val="00AF39FC"/>
    <w:rsid w:val="00AF3E6B"/>
    <w:rsid w:val="00AF45EA"/>
    <w:rsid w:val="00AF6AE9"/>
    <w:rsid w:val="00AF6D92"/>
    <w:rsid w:val="00AF7396"/>
    <w:rsid w:val="00AF78EB"/>
    <w:rsid w:val="00B022BF"/>
    <w:rsid w:val="00B02F35"/>
    <w:rsid w:val="00B03CC0"/>
    <w:rsid w:val="00B04442"/>
    <w:rsid w:val="00B04BBB"/>
    <w:rsid w:val="00B05031"/>
    <w:rsid w:val="00B0610C"/>
    <w:rsid w:val="00B06F33"/>
    <w:rsid w:val="00B06F92"/>
    <w:rsid w:val="00B072E1"/>
    <w:rsid w:val="00B07328"/>
    <w:rsid w:val="00B0761F"/>
    <w:rsid w:val="00B07782"/>
    <w:rsid w:val="00B103FD"/>
    <w:rsid w:val="00B10BC3"/>
    <w:rsid w:val="00B11369"/>
    <w:rsid w:val="00B115FE"/>
    <w:rsid w:val="00B11B87"/>
    <w:rsid w:val="00B1207E"/>
    <w:rsid w:val="00B13446"/>
    <w:rsid w:val="00B13C64"/>
    <w:rsid w:val="00B147CC"/>
    <w:rsid w:val="00B14B6E"/>
    <w:rsid w:val="00B14EBF"/>
    <w:rsid w:val="00B1519E"/>
    <w:rsid w:val="00B15758"/>
    <w:rsid w:val="00B15A8D"/>
    <w:rsid w:val="00B15D1E"/>
    <w:rsid w:val="00B15D7E"/>
    <w:rsid w:val="00B1612A"/>
    <w:rsid w:val="00B166E9"/>
    <w:rsid w:val="00B169DA"/>
    <w:rsid w:val="00B16B7B"/>
    <w:rsid w:val="00B16CE4"/>
    <w:rsid w:val="00B171B3"/>
    <w:rsid w:val="00B17204"/>
    <w:rsid w:val="00B1741D"/>
    <w:rsid w:val="00B17BCA"/>
    <w:rsid w:val="00B17C6C"/>
    <w:rsid w:val="00B17CCE"/>
    <w:rsid w:val="00B17D6E"/>
    <w:rsid w:val="00B2036A"/>
    <w:rsid w:val="00B21CBD"/>
    <w:rsid w:val="00B21CF7"/>
    <w:rsid w:val="00B232E4"/>
    <w:rsid w:val="00B23942"/>
    <w:rsid w:val="00B24301"/>
    <w:rsid w:val="00B246B6"/>
    <w:rsid w:val="00B250B7"/>
    <w:rsid w:val="00B25203"/>
    <w:rsid w:val="00B25468"/>
    <w:rsid w:val="00B255F7"/>
    <w:rsid w:val="00B2593C"/>
    <w:rsid w:val="00B27618"/>
    <w:rsid w:val="00B2771A"/>
    <w:rsid w:val="00B305AB"/>
    <w:rsid w:val="00B318FD"/>
    <w:rsid w:val="00B31CBD"/>
    <w:rsid w:val="00B31D32"/>
    <w:rsid w:val="00B31D59"/>
    <w:rsid w:val="00B31D74"/>
    <w:rsid w:val="00B31FF8"/>
    <w:rsid w:val="00B32043"/>
    <w:rsid w:val="00B3241F"/>
    <w:rsid w:val="00B32891"/>
    <w:rsid w:val="00B342BA"/>
    <w:rsid w:val="00B34B8D"/>
    <w:rsid w:val="00B351DB"/>
    <w:rsid w:val="00B358BE"/>
    <w:rsid w:val="00B35B36"/>
    <w:rsid w:val="00B35FB5"/>
    <w:rsid w:val="00B371E0"/>
    <w:rsid w:val="00B377C9"/>
    <w:rsid w:val="00B40081"/>
    <w:rsid w:val="00B4055B"/>
    <w:rsid w:val="00B405FA"/>
    <w:rsid w:val="00B40643"/>
    <w:rsid w:val="00B40CEF"/>
    <w:rsid w:val="00B40DF2"/>
    <w:rsid w:val="00B4173B"/>
    <w:rsid w:val="00B42828"/>
    <w:rsid w:val="00B42DAA"/>
    <w:rsid w:val="00B43007"/>
    <w:rsid w:val="00B435F8"/>
    <w:rsid w:val="00B43F92"/>
    <w:rsid w:val="00B44F3A"/>
    <w:rsid w:val="00B44FD9"/>
    <w:rsid w:val="00B4501F"/>
    <w:rsid w:val="00B45D13"/>
    <w:rsid w:val="00B45D4C"/>
    <w:rsid w:val="00B463EE"/>
    <w:rsid w:val="00B46B3C"/>
    <w:rsid w:val="00B46C8B"/>
    <w:rsid w:val="00B46CD6"/>
    <w:rsid w:val="00B46D81"/>
    <w:rsid w:val="00B47471"/>
    <w:rsid w:val="00B47B52"/>
    <w:rsid w:val="00B501C4"/>
    <w:rsid w:val="00B504A7"/>
    <w:rsid w:val="00B50E1B"/>
    <w:rsid w:val="00B50F7A"/>
    <w:rsid w:val="00B51121"/>
    <w:rsid w:val="00B51F80"/>
    <w:rsid w:val="00B520A2"/>
    <w:rsid w:val="00B5226B"/>
    <w:rsid w:val="00B52333"/>
    <w:rsid w:val="00B524D1"/>
    <w:rsid w:val="00B5354D"/>
    <w:rsid w:val="00B537FD"/>
    <w:rsid w:val="00B53ABD"/>
    <w:rsid w:val="00B53D12"/>
    <w:rsid w:val="00B5418E"/>
    <w:rsid w:val="00B543FD"/>
    <w:rsid w:val="00B54CCE"/>
    <w:rsid w:val="00B54D03"/>
    <w:rsid w:val="00B556D9"/>
    <w:rsid w:val="00B55BAB"/>
    <w:rsid w:val="00B55F52"/>
    <w:rsid w:val="00B55FEF"/>
    <w:rsid w:val="00B5659F"/>
    <w:rsid w:val="00B56F99"/>
    <w:rsid w:val="00B57E5F"/>
    <w:rsid w:val="00B600E1"/>
    <w:rsid w:val="00B6043D"/>
    <w:rsid w:val="00B6093E"/>
    <w:rsid w:val="00B60F4A"/>
    <w:rsid w:val="00B60FA7"/>
    <w:rsid w:val="00B615E8"/>
    <w:rsid w:val="00B62309"/>
    <w:rsid w:val="00B6255C"/>
    <w:rsid w:val="00B62877"/>
    <w:rsid w:val="00B629E1"/>
    <w:rsid w:val="00B63E2C"/>
    <w:rsid w:val="00B646A2"/>
    <w:rsid w:val="00B64813"/>
    <w:rsid w:val="00B648C2"/>
    <w:rsid w:val="00B649A1"/>
    <w:rsid w:val="00B65018"/>
    <w:rsid w:val="00B650F5"/>
    <w:rsid w:val="00B6524A"/>
    <w:rsid w:val="00B653C3"/>
    <w:rsid w:val="00B6627A"/>
    <w:rsid w:val="00B66EA3"/>
    <w:rsid w:val="00B6745A"/>
    <w:rsid w:val="00B67F8C"/>
    <w:rsid w:val="00B7000F"/>
    <w:rsid w:val="00B7126F"/>
    <w:rsid w:val="00B7162A"/>
    <w:rsid w:val="00B7176B"/>
    <w:rsid w:val="00B718C2"/>
    <w:rsid w:val="00B727BE"/>
    <w:rsid w:val="00B73629"/>
    <w:rsid w:val="00B73DEA"/>
    <w:rsid w:val="00B746CA"/>
    <w:rsid w:val="00B74A98"/>
    <w:rsid w:val="00B752B4"/>
    <w:rsid w:val="00B75D4B"/>
    <w:rsid w:val="00B75D87"/>
    <w:rsid w:val="00B76220"/>
    <w:rsid w:val="00B76712"/>
    <w:rsid w:val="00B76919"/>
    <w:rsid w:val="00B76922"/>
    <w:rsid w:val="00B77A9B"/>
    <w:rsid w:val="00B77C61"/>
    <w:rsid w:val="00B80B74"/>
    <w:rsid w:val="00B8187A"/>
    <w:rsid w:val="00B81A1D"/>
    <w:rsid w:val="00B81D1F"/>
    <w:rsid w:val="00B823F5"/>
    <w:rsid w:val="00B82540"/>
    <w:rsid w:val="00B82544"/>
    <w:rsid w:val="00B8258A"/>
    <w:rsid w:val="00B82A38"/>
    <w:rsid w:val="00B82D1B"/>
    <w:rsid w:val="00B83018"/>
    <w:rsid w:val="00B83074"/>
    <w:rsid w:val="00B84003"/>
    <w:rsid w:val="00B8477D"/>
    <w:rsid w:val="00B84C5D"/>
    <w:rsid w:val="00B864C1"/>
    <w:rsid w:val="00B869E5"/>
    <w:rsid w:val="00B86A1D"/>
    <w:rsid w:val="00B87337"/>
    <w:rsid w:val="00B9005E"/>
    <w:rsid w:val="00B90738"/>
    <w:rsid w:val="00B9079F"/>
    <w:rsid w:val="00B9092D"/>
    <w:rsid w:val="00B912CE"/>
    <w:rsid w:val="00B9147A"/>
    <w:rsid w:val="00B91804"/>
    <w:rsid w:val="00B93012"/>
    <w:rsid w:val="00B93336"/>
    <w:rsid w:val="00B93364"/>
    <w:rsid w:val="00B93895"/>
    <w:rsid w:val="00B94159"/>
    <w:rsid w:val="00B944B7"/>
    <w:rsid w:val="00B94563"/>
    <w:rsid w:val="00B946A4"/>
    <w:rsid w:val="00B949D1"/>
    <w:rsid w:val="00B95104"/>
    <w:rsid w:val="00B9537A"/>
    <w:rsid w:val="00B9652D"/>
    <w:rsid w:val="00B969EC"/>
    <w:rsid w:val="00B97CE8"/>
    <w:rsid w:val="00BA0009"/>
    <w:rsid w:val="00BA058C"/>
    <w:rsid w:val="00BA089F"/>
    <w:rsid w:val="00BA0C9E"/>
    <w:rsid w:val="00BA17B3"/>
    <w:rsid w:val="00BA21C9"/>
    <w:rsid w:val="00BA3B42"/>
    <w:rsid w:val="00BA3FC2"/>
    <w:rsid w:val="00BA5274"/>
    <w:rsid w:val="00BA5EC7"/>
    <w:rsid w:val="00BA60CE"/>
    <w:rsid w:val="00BA6B25"/>
    <w:rsid w:val="00BA6F65"/>
    <w:rsid w:val="00BA71CE"/>
    <w:rsid w:val="00BB034C"/>
    <w:rsid w:val="00BB1110"/>
    <w:rsid w:val="00BB1913"/>
    <w:rsid w:val="00BB1F1D"/>
    <w:rsid w:val="00BB21BA"/>
    <w:rsid w:val="00BB2292"/>
    <w:rsid w:val="00BB2C6A"/>
    <w:rsid w:val="00BB3B39"/>
    <w:rsid w:val="00BB3CAA"/>
    <w:rsid w:val="00BB3D63"/>
    <w:rsid w:val="00BB4016"/>
    <w:rsid w:val="00BB472B"/>
    <w:rsid w:val="00BB511D"/>
    <w:rsid w:val="00BB5AB7"/>
    <w:rsid w:val="00BB627C"/>
    <w:rsid w:val="00BB6808"/>
    <w:rsid w:val="00BC0CC7"/>
    <w:rsid w:val="00BC1EAD"/>
    <w:rsid w:val="00BC2260"/>
    <w:rsid w:val="00BC2B72"/>
    <w:rsid w:val="00BC2E90"/>
    <w:rsid w:val="00BC39E6"/>
    <w:rsid w:val="00BC3EC2"/>
    <w:rsid w:val="00BC46B0"/>
    <w:rsid w:val="00BC5104"/>
    <w:rsid w:val="00BC5887"/>
    <w:rsid w:val="00BC5DFC"/>
    <w:rsid w:val="00BC609B"/>
    <w:rsid w:val="00BC6687"/>
    <w:rsid w:val="00BC6CA7"/>
    <w:rsid w:val="00BC75D8"/>
    <w:rsid w:val="00BC7C6A"/>
    <w:rsid w:val="00BD0775"/>
    <w:rsid w:val="00BD0942"/>
    <w:rsid w:val="00BD101B"/>
    <w:rsid w:val="00BD1B22"/>
    <w:rsid w:val="00BD2D70"/>
    <w:rsid w:val="00BD309A"/>
    <w:rsid w:val="00BD3839"/>
    <w:rsid w:val="00BD4444"/>
    <w:rsid w:val="00BD4AED"/>
    <w:rsid w:val="00BD4C73"/>
    <w:rsid w:val="00BD505B"/>
    <w:rsid w:val="00BD524D"/>
    <w:rsid w:val="00BD54E3"/>
    <w:rsid w:val="00BD54E9"/>
    <w:rsid w:val="00BD552F"/>
    <w:rsid w:val="00BD56B8"/>
    <w:rsid w:val="00BD580B"/>
    <w:rsid w:val="00BD58ED"/>
    <w:rsid w:val="00BD5D1D"/>
    <w:rsid w:val="00BD64B5"/>
    <w:rsid w:val="00BD6965"/>
    <w:rsid w:val="00BD6B30"/>
    <w:rsid w:val="00BD6CE9"/>
    <w:rsid w:val="00BD7223"/>
    <w:rsid w:val="00BD7BC9"/>
    <w:rsid w:val="00BD7E10"/>
    <w:rsid w:val="00BE0B35"/>
    <w:rsid w:val="00BE1393"/>
    <w:rsid w:val="00BE2809"/>
    <w:rsid w:val="00BE2868"/>
    <w:rsid w:val="00BE4263"/>
    <w:rsid w:val="00BE480F"/>
    <w:rsid w:val="00BE4AA7"/>
    <w:rsid w:val="00BE503E"/>
    <w:rsid w:val="00BE5B3D"/>
    <w:rsid w:val="00BE636F"/>
    <w:rsid w:val="00BE63DD"/>
    <w:rsid w:val="00BE6609"/>
    <w:rsid w:val="00BE677D"/>
    <w:rsid w:val="00BE67B8"/>
    <w:rsid w:val="00BE757F"/>
    <w:rsid w:val="00BE7929"/>
    <w:rsid w:val="00BE7F35"/>
    <w:rsid w:val="00BF1587"/>
    <w:rsid w:val="00BF1B12"/>
    <w:rsid w:val="00BF1C16"/>
    <w:rsid w:val="00BF22CD"/>
    <w:rsid w:val="00BF25D8"/>
    <w:rsid w:val="00BF2E9E"/>
    <w:rsid w:val="00BF3418"/>
    <w:rsid w:val="00BF4875"/>
    <w:rsid w:val="00BF4AAF"/>
    <w:rsid w:val="00BF4E1F"/>
    <w:rsid w:val="00BF5480"/>
    <w:rsid w:val="00BF59DC"/>
    <w:rsid w:val="00BF6786"/>
    <w:rsid w:val="00BF7874"/>
    <w:rsid w:val="00C0059C"/>
    <w:rsid w:val="00C006EC"/>
    <w:rsid w:val="00C008D0"/>
    <w:rsid w:val="00C00A0A"/>
    <w:rsid w:val="00C01178"/>
    <w:rsid w:val="00C01E58"/>
    <w:rsid w:val="00C01FAF"/>
    <w:rsid w:val="00C02F6F"/>
    <w:rsid w:val="00C0302A"/>
    <w:rsid w:val="00C032E4"/>
    <w:rsid w:val="00C03BE0"/>
    <w:rsid w:val="00C03F1D"/>
    <w:rsid w:val="00C04247"/>
    <w:rsid w:val="00C042AB"/>
    <w:rsid w:val="00C05E06"/>
    <w:rsid w:val="00C05E27"/>
    <w:rsid w:val="00C07505"/>
    <w:rsid w:val="00C07783"/>
    <w:rsid w:val="00C07C0D"/>
    <w:rsid w:val="00C07DBB"/>
    <w:rsid w:val="00C10B0E"/>
    <w:rsid w:val="00C10E20"/>
    <w:rsid w:val="00C115AA"/>
    <w:rsid w:val="00C117EE"/>
    <w:rsid w:val="00C11A94"/>
    <w:rsid w:val="00C129FD"/>
    <w:rsid w:val="00C13764"/>
    <w:rsid w:val="00C138ED"/>
    <w:rsid w:val="00C13976"/>
    <w:rsid w:val="00C13F0B"/>
    <w:rsid w:val="00C146C6"/>
    <w:rsid w:val="00C1544F"/>
    <w:rsid w:val="00C155BF"/>
    <w:rsid w:val="00C15DAE"/>
    <w:rsid w:val="00C15E0A"/>
    <w:rsid w:val="00C16481"/>
    <w:rsid w:val="00C16B40"/>
    <w:rsid w:val="00C20CBF"/>
    <w:rsid w:val="00C20EB9"/>
    <w:rsid w:val="00C219C4"/>
    <w:rsid w:val="00C222E7"/>
    <w:rsid w:val="00C225DF"/>
    <w:rsid w:val="00C22786"/>
    <w:rsid w:val="00C22C25"/>
    <w:rsid w:val="00C22CF9"/>
    <w:rsid w:val="00C22F7F"/>
    <w:rsid w:val="00C233A1"/>
    <w:rsid w:val="00C236A9"/>
    <w:rsid w:val="00C2386D"/>
    <w:rsid w:val="00C23A10"/>
    <w:rsid w:val="00C23AA7"/>
    <w:rsid w:val="00C23BD0"/>
    <w:rsid w:val="00C24107"/>
    <w:rsid w:val="00C241C0"/>
    <w:rsid w:val="00C24A86"/>
    <w:rsid w:val="00C24A99"/>
    <w:rsid w:val="00C25236"/>
    <w:rsid w:val="00C256EC"/>
    <w:rsid w:val="00C258A5"/>
    <w:rsid w:val="00C25A85"/>
    <w:rsid w:val="00C25C0C"/>
    <w:rsid w:val="00C26229"/>
    <w:rsid w:val="00C26579"/>
    <w:rsid w:val="00C268DE"/>
    <w:rsid w:val="00C276C8"/>
    <w:rsid w:val="00C27906"/>
    <w:rsid w:val="00C30311"/>
    <w:rsid w:val="00C30E75"/>
    <w:rsid w:val="00C31734"/>
    <w:rsid w:val="00C3205D"/>
    <w:rsid w:val="00C3308C"/>
    <w:rsid w:val="00C33281"/>
    <w:rsid w:val="00C3344D"/>
    <w:rsid w:val="00C33B13"/>
    <w:rsid w:val="00C33D2E"/>
    <w:rsid w:val="00C33DE0"/>
    <w:rsid w:val="00C33F52"/>
    <w:rsid w:val="00C342EA"/>
    <w:rsid w:val="00C34C4F"/>
    <w:rsid w:val="00C34CE1"/>
    <w:rsid w:val="00C34ED8"/>
    <w:rsid w:val="00C35309"/>
    <w:rsid w:val="00C356E9"/>
    <w:rsid w:val="00C3694B"/>
    <w:rsid w:val="00C36974"/>
    <w:rsid w:val="00C36CD1"/>
    <w:rsid w:val="00C36D54"/>
    <w:rsid w:val="00C37686"/>
    <w:rsid w:val="00C376B0"/>
    <w:rsid w:val="00C37893"/>
    <w:rsid w:val="00C379B5"/>
    <w:rsid w:val="00C4020F"/>
    <w:rsid w:val="00C40D60"/>
    <w:rsid w:val="00C40F24"/>
    <w:rsid w:val="00C410A0"/>
    <w:rsid w:val="00C4211E"/>
    <w:rsid w:val="00C4220D"/>
    <w:rsid w:val="00C42931"/>
    <w:rsid w:val="00C42C8C"/>
    <w:rsid w:val="00C434F5"/>
    <w:rsid w:val="00C43C53"/>
    <w:rsid w:val="00C44FB1"/>
    <w:rsid w:val="00C4519A"/>
    <w:rsid w:val="00C45BC6"/>
    <w:rsid w:val="00C46403"/>
    <w:rsid w:val="00C46837"/>
    <w:rsid w:val="00C474D9"/>
    <w:rsid w:val="00C47873"/>
    <w:rsid w:val="00C479FB"/>
    <w:rsid w:val="00C50C9E"/>
    <w:rsid w:val="00C5112E"/>
    <w:rsid w:val="00C51E81"/>
    <w:rsid w:val="00C52B1C"/>
    <w:rsid w:val="00C52EA1"/>
    <w:rsid w:val="00C5309A"/>
    <w:rsid w:val="00C53BF0"/>
    <w:rsid w:val="00C54423"/>
    <w:rsid w:val="00C5455E"/>
    <w:rsid w:val="00C547D2"/>
    <w:rsid w:val="00C54AA2"/>
    <w:rsid w:val="00C55BCA"/>
    <w:rsid w:val="00C56630"/>
    <w:rsid w:val="00C56AB4"/>
    <w:rsid w:val="00C57E57"/>
    <w:rsid w:val="00C606FC"/>
    <w:rsid w:val="00C60BC0"/>
    <w:rsid w:val="00C610F8"/>
    <w:rsid w:val="00C6150B"/>
    <w:rsid w:val="00C6167A"/>
    <w:rsid w:val="00C61A0F"/>
    <w:rsid w:val="00C62382"/>
    <w:rsid w:val="00C62F2B"/>
    <w:rsid w:val="00C64578"/>
    <w:rsid w:val="00C65980"/>
    <w:rsid w:val="00C65B1A"/>
    <w:rsid w:val="00C65DCE"/>
    <w:rsid w:val="00C65E3C"/>
    <w:rsid w:val="00C65FC9"/>
    <w:rsid w:val="00C66694"/>
    <w:rsid w:val="00C6766C"/>
    <w:rsid w:val="00C70C99"/>
    <w:rsid w:val="00C71580"/>
    <w:rsid w:val="00C71BE2"/>
    <w:rsid w:val="00C725C0"/>
    <w:rsid w:val="00C726E1"/>
    <w:rsid w:val="00C727B0"/>
    <w:rsid w:val="00C72A75"/>
    <w:rsid w:val="00C73F6E"/>
    <w:rsid w:val="00C74536"/>
    <w:rsid w:val="00C766DF"/>
    <w:rsid w:val="00C76DBB"/>
    <w:rsid w:val="00C771AF"/>
    <w:rsid w:val="00C77471"/>
    <w:rsid w:val="00C77769"/>
    <w:rsid w:val="00C777D6"/>
    <w:rsid w:val="00C77895"/>
    <w:rsid w:val="00C80847"/>
    <w:rsid w:val="00C81813"/>
    <w:rsid w:val="00C82470"/>
    <w:rsid w:val="00C826D2"/>
    <w:rsid w:val="00C829A7"/>
    <w:rsid w:val="00C83439"/>
    <w:rsid w:val="00C83510"/>
    <w:rsid w:val="00C83AA2"/>
    <w:rsid w:val="00C860DD"/>
    <w:rsid w:val="00C86179"/>
    <w:rsid w:val="00C863B7"/>
    <w:rsid w:val="00C86875"/>
    <w:rsid w:val="00C87CA7"/>
    <w:rsid w:val="00C905CB"/>
    <w:rsid w:val="00C91C0E"/>
    <w:rsid w:val="00C91E15"/>
    <w:rsid w:val="00C920FA"/>
    <w:rsid w:val="00C92BA9"/>
    <w:rsid w:val="00C92E3D"/>
    <w:rsid w:val="00C937EC"/>
    <w:rsid w:val="00C93A90"/>
    <w:rsid w:val="00C93E45"/>
    <w:rsid w:val="00C946AB"/>
    <w:rsid w:val="00C94E46"/>
    <w:rsid w:val="00C950B4"/>
    <w:rsid w:val="00C9564C"/>
    <w:rsid w:val="00C95834"/>
    <w:rsid w:val="00C96EC5"/>
    <w:rsid w:val="00C975A7"/>
    <w:rsid w:val="00C975F6"/>
    <w:rsid w:val="00C97E82"/>
    <w:rsid w:val="00CA0287"/>
    <w:rsid w:val="00CA0476"/>
    <w:rsid w:val="00CA0C32"/>
    <w:rsid w:val="00CA1276"/>
    <w:rsid w:val="00CA1292"/>
    <w:rsid w:val="00CA1816"/>
    <w:rsid w:val="00CA198B"/>
    <w:rsid w:val="00CA22B0"/>
    <w:rsid w:val="00CA23C1"/>
    <w:rsid w:val="00CA25F8"/>
    <w:rsid w:val="00CA2D47"/>
    <w:rsid w:val="00CA40CD"/>
    <w:rsid w:val="00CA4942"/>
    <w:rsid w:val="00CA5396"/>
    <w:rsid w:val="00CA55BF"/>
    <w:rsid w:val="00CA5A23"/>
    <w:rsid w:val="00CA67A3"/>
    <w:rsid w:val="00CA6ED5"/>
    <w:rsid w:val="00CA7461"/>
    <w:rsid w:val="00CA7849"/>
    <w:rsid w:val="00CB0177"/>
    <w:rsid w:val="00CB161F"/>
    <w:rsid w:val="00CB1783"/>
    <w:rsid w:val="00CB17DF"/>
    <w:rsid w:val="00CB18BE"/>
    <w:rsid w:val="00CB1C2A"/>
    <w:rsid w:val="00CB2332"/>
    <w:rsid w:val="00CB2433"/>
    <w:rsid w:val="00CB26EB"/>
    <w:rsid w:val="00CB27DB"/>
    <w:rsid w:val="00CB2A8F"/>
    <w:rsid w:val="00CB3979"/>
    <w:rsid w:val="00CB45E2"/>
    <w:rsid w:val="00CB4853"/>
    <w:rsid w:val="00CB4AC1"/>
    <w:rsid w:val="00CB4DD7"/>
    <w:rsid w:val="00CB4F30"/>
    <w:rsid w:val="00CB5F76"/>
    <w:rsid w:val="00CB67BF"/>
    <w:rsid w:val="00CB69E6"/>
    <w:rsid w:val="00CB7E36"/>
    <w:rsid w:val="00CC0A14"/>
    <w:rsid w:val="00CC0B91"/>
    <w:rsid w:val="00CC0F25"/>
    <w:rsid w:val="00CC1077"/>
    <w:rsid w:val="00CC17DD"/>
    <w:rsid w:val="00CC2251"/>
    <w:rsid w:val="00CC28E9"/>
    <w:rsid w:val="00CC2E80"/>
    <w:rsid w:val="00CC300F"/>
    <w:rsid w:val="00CC302D"/>
    <w:rsid w:val="00CC31B6"/>
    <w:rsid w:val="00CC3683"/>
    <w:rsid w:val="00CC3A0B"/>
    <w:rsid w:val="00CC416D"/>
    <w:rsid w:val="00CC4518"/>
    <w:rsid w:val="00CC49AD"/>
    <w:rsid w:val="00CC4C68"/>
    <w:rsid w:val="00CC5FA9"/>
    <w:rsid w:val="00CC6782"/>
    <w:rsid w:val="00CC67DD"/>
    <w:rsid w:val="00CC6B3E"/>
    <w:rsid w:val="00CC7044"/>
    <w:rsid w:val="00CC74AA"/>
    <w:rsid w:val="00CD024E"/>
    <w:rsid w:val="00CD0265"/>
    <w:rsid w:val="00CD088E"/>
    <w:rsid w:val="00CD20EB"/>
    <w:rsid w:val="00CD23BF"/>
    <w:rsid w:val="00CD2578"/>
    <w:rsid w:val="00CD26B4"/>
    <w:rsid w:val="00CD2E6F"/>
    <w:rsid w:val="00CD2F58"/>
    <w:rsid w:val="00CD33A6"/>
    <w:rsid w:val="00CD4423"/>
    <w:rsid w:val="00CD44F1"/>
    <w:rsid w:val="00CD4773"/>
    <w:rsid w:val="00CD491E"/>
    <w:rsid w:val="00CD52E5"/>
    <w:rsid w:val="00CD5950"/>
    <w:rsid w:val="00CD6197"/>
    <w:rsid w:val="00CD7153"/>
    <w:rsid w:val="00CD72E9"/>
    <w:rsid w:val="00CD7A6C"/>
    <w:rsid w:val="00CE06E2"/>
    <w:rsid w:val="00CE0AF4"/>
    <w:rsid w:val="00CE1446"/>
    <w:rsid w:val="00CE17B7"/>
    <w:rsid w:val="00CE1B6C"/>
    <w:rsid w:val="00CE28F9"/>
    <w:rsid w:val="00CE2B99"/>
    <w:rsid w:val="00CE2EBD"/>
    <w:rsid w:val="00CE35FF"/>
    <w:rsid w:val="00CE363F"/>
    <w:rsid w:val="00CE374D"/>
    <w:rsid w:val="00CE380E"/>
    <w:rsid w:val="00CE4353"/>
    <w:rsid w:val="00CE4C3F"/>
    <w:rsid w:val="00CE505C"/>
    <w:rsid w:val="00CE51B1"/>
    <w:rsid w:val="00CE5978"/>
    <w:rsid w:val="00CE5FD5"/>
    <w:rsid w:val="00CE62A6"/>
    <w:rsid w:val="00CE67AC"/>
    <w:rsid w:val="00CE6E97"/>
    <w:rsid w:val="00CE71A9"/>
    <w:rsid w:val="00CE7723"/>
    <w:rsid w:val="00CE792C"/>
    <w:rsid w:val="00CF0696"/>
    <w:rsid w:val="00CF0980"/>
    <w:rsid w:val="00CF169A"/>
    <w:rsid w:val="00CF2051"/>
    <w:rsid w:val="00CF2E00"/>
    <w:rsid w:val="00CF2EEE"/>
    <w:rsid w:val="00CF37B6"/>
    <w:rsid w:val="00CF380A"/>
    <w:rsid w:val="00CF3F7A"/>
    <w:rsid w:val="00CF4102"/>
    <w:rsid w:val="00CF4337"/>
    <w:rsid w:val="00CF449A"/>
    <w:rsid w:val="00CF4F20"/>
    <w:rsid w:val="00CF4FE7"/>
    <w:rsid w:val="00CF5D34"/>
    <w:rsid w:val="00CF627E"/>
    <w:rsid w:val="00CF754D"/>
    <w:rsid w:val="00CF7655"/>
    <w:rsid w:val="00CF78DD"/>
    <w:rsid w:val="00CF7943"/>
    <w:rsid w:val="00D016C0"/>
    <w:rsid w:val="00D017AC"/>
    <w:rsid w:val="00D019FB"/>
    <w:rsid w:val="00D02318"/>
    <w:rsid w:val="00D0237A"/>
    <w:rsid w:val="00D02407"/>
    <w:rsid w:val="00D02C96"/>
    <w:rsid w:val="00D0381A"/>
    <w:rsid w:val="00D04B4E"/>
    <w:rsid w:val="00D051DA"/>
    <w:rsid w:val="00D06383"/>
    <w:rsid w:val="00D06564"/>
    <w:rsid w:val="00D06F70"/>
    <w:rsid w:val="00D0726F"/>
    <w:rsid w:val="00D07611"/>
    <w:rsid w:val="00D07E1A"/>
    <w:rsid w:val="00D10422"/>
    <w:rsid w:val="00D10D0A"/>
    <w:rsid w:val="00D11449"/>
    <w:rsid w:val="00D1199F"/>
    <w:rsid w:val="00D12DAB"/>
    <w:rsid w:val="00D13175"/>
    <w:rsid w:val="00D13228"/>
    <w:rsid w:val="00D1357A"/>
    <w:rsid w:val="00D137C9"/>
    <w:rsid w:val="00D13CB0"/>
    <w:rsid w:val="00D13EFE"/>
    <w:rsid w:val="00D140C4"/>
    <w:rsid w:val="00D14423"/>
    <w:rsid w:val="00D14438"/>
    <w:rsid w:val="00D15158"/>
    <w:rsid w:val="00D15978"/>
    <w:rsid w:val="00D15BB9"/>
    <w:rsid w:val="00D16C4D"/>
    <w:rsid w:val="00D20CBA"/>
    <w:rsid w:val="00D20D24"/>
    <w:rsid w:val="00D20E61"/>
    <w:rsid w:val="00D213B6"/>
    <w:rsid w:val="00D21479"/>
    <w:rsid w:val="00D2150E"/>
    <w:rsid w:val="00D217FC"/>
    <w:rsid w:val="00D22397"/>
    <w:rsid w:val="00D224D8"/>
    <w:rsid w:val="00D22E3E"/>
    <w:rsid w:val="00D23610"/>
    <w:rsid w:val="00D240FA"/>
    <w:rsid w:val="00D251FE"/>
    <w:rsid w:val="00D25243"/>
    <w:rsid w:val="00D261AA"/>
    <w:rsid w:val="00D261D7"/>
    <w:rsid w:val="00D263C9"/>
    <w:rsid w:val="00D26AEB"/>
    <w:rsid w:val="00D27084"/>
    <w:rsid w:val="00D27AD7"/>
    <w:rsid w:val="00D27DC7"/>
    <w:rsid w:val="00D27E57"/>
    <w:rsid w:val="00D30558"/>
    <w:rsid w:val="00D307FB"/>
    <w:rsid w:val="00D31FA2"/>
    <w:rsid w:val="00D32675"/>
    <w:rsid w:val="00D32BEA"/>
    <w:rsid w:val="00D334F5"/>
    <w:rsid w:val="00D33706"/>
    <w:rsid w:val="00D33CF6"/>
    <w:rsid w:val="00D345C1"/>
    <w:rsid w:val="00D34AD0"/>
    <w:rsid w:val="00D34E8E"/>
    <w:rsid w:val="00D365DB"/>
    <w:rsid w:val="00D3679F"/>
    <w:rsid w:val="00D36D16"/>
    <w:rsid w:val="00D36F66"/>
    <w:rsid w:val="00D37569"/>
    <w:rsid w:val="00D3796A"/>
    <w:rsid w:val="00D37B0B"/>
    <w:rsid w:val="00D37D32"/>
    <w:rsid w:val="00D37D75"/>
    <w:rsid w:val="00D4034F"/>
    <w:rsid w:val="00D4055B"/>
    <w:rsid w:val="00D406F6"/>
    <w:rsid w:val="00D4098F"/>
    <w:rsid w:val="00D40AD2"/>
    <w:rsid w:val="00D40D56"/>
    <w:rsid w:val="00D40E72"/>
    <w:rsid w:val="00D4138A"/>
    <w:rsid w:val="00D41F82"/>
    <w:rsid w:val="00D42D6F"/>
    <w:rsid w:val="00D4307F"/>
    <w:rsid w:val="00D431B2"/>
    <w:rsid w:val="00D43247"/>
    <w:rsid w:val="00D43356"/>
    <w:rsid w:val="00D433F6"/>
    <w:rsid w:val="00D445BE"/>
    <w:rsid w:val="00D45E8B"/>
    <w:rsid w:val="00D464FF"/>
    <w:rsid w:val="00D468B1"/>
    <w:rsid w:val="00D46CBD"/>
    <w:rsid w:val="00D46F45"/>
    <w:rsid w:val="00D47077"/>
    <w:rsid w:val="00D470E8"/>
    <w:rsid w:val="00D4795D"/>
    <w:rsid w:val="00D479A0"/>
    <w:rsid w:val="00D47B77"/>
    <w:rsid w:val="00D47CFE"/>
    <w:rsid w:val="00D47D28"/>
    <w:rsid w:val="00D50334"/>
    <w:rsid w:val="00D50D46"/>
    <w:rsid w:val="00D50FC8"/>
    <w:rsid w:val="00D511B7"/>
    <w:rsid w:val="00D516E1"/>
    <w:rsid w:val="00D5199C"/>
    <w:rsid w:val="00D51AFA"/>
    <w:rsid w:val="00D52CB2"/>
    <w:rsid w:val="00D53130"/>
    <w:rsid w:val="00D53296"/>
    <w:rsid w:val="00D533F4"/>
    <w:rsid w:val="00D53494"/>
    <w:rsid w:val="00D53CB5"/>
    <w:rsid w:val="00D54600"/>
    <w:rsid w:val="00D55153"/>
    <w:rsid w:val="00D55B0C"/>
    <w:rsid w:val="00D56387"/>
    <w:rsid w:val="00D56C7A"/>
    <w:rsid w:val="00D57BA2"/>
    <w:rsid w:val="00D57D8F"/>
    <w:rsid w:val="00D6034A"/>
    <w:rsid w:val="00D60A4A"/>
    <w:rsid w:val="00D60C85"/>
    <w:rsid w:val="00D60E90"/>
    <w:rsid w:val="00D610B9"/>
    <w:rsid w:val="00D61ED4"/>
    <w:rsid w:val="00D62B05"/>
    <w:rsid w:val="00D62E07"/>
    <w:rsid w:val="00D62EC6"/>
    <w:rsid w:val="00D654E9"/>
    <w:rsid w:val="00D6570F"/>
    <w:rsid w:val="00D65D5F"/>
    <w:rsid w:val="00D666BA"/>
    <w:rsid w:val="00D67569"/>
    <w:rsid w:val="00D70889"/>
    <w:rsid w:val="00D7137F"/>
    <w:rsid w:val="00D71394"/>
    <w:rsid w:val="00D72D1A"/>
    <w:rsid w:val="00D73201"/>
    <w:rsid w:val="00D73A2E"/>
    <w:rsid w:val="00D74324"/>
    <w:rsid w:val="00D751A4"/>
    <w:rsid w:val="00D76DA1"/>
    <w:rsid w:val="00D76F7F"/>
    <w:rsid w:val="00D809FA"/>
    <w:rsid w:val="00D81112"/>
    <w:rsid w:val="00D81458"/>
    <w:rsid w:val="00D820C8"/>
    <w:rsid w:val="00D82551"/>
    <w:rsid w:val="00D82A72"/>
    <w:rsid w:val="00D82D75"/>
    <w:rsid w:val="00D837BD"/>
    <w:rsid w:val="00D83D87"/>
    <w:rsid w:val="00D8581A"/>
    <w:rsid w:val="00D85887"/>
    <w:rsid w:val="00D86161"/>
    <w:rsid w:val="00D86D72"/>
    <w:rsid w:val="00D86EF9"/>
    <w:rsid w:val="00D87085"/>
    <w:rsid w:val="00D87161"/>
    <w:rsid w:val="00D872CB"/>
    <w:rsid w:val="00D87DBF"/>
    <w:rsid w:val="00D87E29"/>
    <w:rsid w:val="00D87F26"/>
    <w:rsid w:val="00D90D61"/>
    <w:rsid w:val="00D90D67"/>
    <w:rsid w:val="00D91033"/>
    <w:rsid w:val="00D9110E"/>
    <w:rsid w:val="00D91872"/>
    <w:rsid w:val="00D91FA2"/>
    <w:rsid w:val="00D926AF"/>
    <w:rsid w:val="00D93525"/>
    <w:rsid w:val="00D9443D"/>
    <w:rsid w:val="00D94460"/>
    <w:rsid w:val="00D958AF"/>
    <w:rsid w:val="00D95BC2"/>
    <w:rsid w:val="00D95FEA"/>
    <w:rsid w:val="00D9604C"/>
    <w:rsid w:val="00D9668F"/>
    <w:rsid w:val="00D967DA"/>
    <w:rsid w:val="00D96A01"/>
    <w:rsid w:val="00D97083"/>
    <w:rsid w:val="00D974CC"/>
    <w:rsid w:val="00D97696"/>
    <w:rsid w:val="00D97B1A"/>
    <w:rsid w:val="00D97D4E"/>
    <w:rsid w:val="00DA03F1"/>
    <w:rsid w:val="00DA1A86"/>
    <w:rsid w:val="00DA1B03"/>
    <w:rsid w:val="00DA1CC6"/>
    <w:rsid w:val="00DA30BF"/>
    <w:rsid w:val="00DA3558"/>
    <w:rsid w:val="00DA3FB7"/>
    <w:rsid w:val="00DA4488"/>
    <w:rsid w:val="00DA4B48"/>
    <w:rsid w:val="00DA4F2E"/>
    <w:rsid w:val="00DA55B3"/>
    <w:rsid w:val="00DA5BA2"/>
    <w:rsid w:val="00DA5E78"/>
    <w:rsid w:val="00DA5FE7"/>
    <w:rsid w:val="00DA6169"/>
    <w:rsid w:val="00DA68CF"/>
    <w:rsid w:val="00DA6A16"/>
    <w:rsid w:val="00DA6CD9"/>
    <w:rsid w:val="00DA6D46"/>
    <w:rsid w:val="00DA7161"/>
    <w:rsid w:val="00DA781D"/>
    <w:rsid w:val="00DB002E"/>
    <w:rsid w:val="00DB0222"/>
    <w:rsid w:val="00DB02EF"/>
    <w:rsid w:val="00DB0752"/>
    <w:rsid w:val="00DB109D"/>
    <w:rsid w:val="00DB10DF"/>
    <w:rsid w:val="00DB12B1"/>
    <w:rsid w:val="00DB1A97"/>
    <w:rsid w:val="00DB1B5F"/>
    <w:rsid w:val="00DB1EED"/>
    <w:rsid w:val="00DB2088"/>
    <w:rsid w:val="00DB2473"/>
    <w:rsid w:val="00DB3B31"/>
    <w:rsid w:val="00DB4F08"/>
    <w:rsid w:val="00DB5000"/>
    <w:rsid w:val="00DB5B19"/>
    <w:rsid w:val="00DB7800"/>
    <w:rsid w:val="00DB7C95"/>
    <w:rsid w:val="00DB7FD2"/>
    <w:rsid w:val="00DC0CD8"/>
    <w:rsid w:val="00DC10D0"/>
    <w:rsid w:val="00DC17EA"/>
    <w:rsid w:val="00DC21A4"/>
    <w:rsid w:val="00DC2906"/>
    <w:rsid w:val="00DC30EE"/>
    <w:rsid w:val="00DC3548"/>
    <w:rsid w:val="00DC46AE"/>
    <w:rsid w:val="00DC47C3"/>
    <w:rsid w:val="00DC4999"/>
    <w:rsid w:val="00DC4ADA"/>
    <w:rsid w:val="00DC4FA2"/>
    <w:rsid w:val="00DC585B"/>
    <w:rsid w:val="00DC5BDB"/>
    <w:rsid w:val="00DC5E6F"/>
    <w:rsid w:val="00DC6A4D"/>
    <w:rsid w:val="00DC7060"/>
    <w:rsid w:val="00DC72A1"/>
    <w:rsid w:val="00DC73A8"/>
    <w:rsid w:val="00DC7B50"/>
    <w:rsid w:val="00DC7D8A"/>
    <w:rsid w:val="00DD02F9"/>
    <w:rsid w:val="00DD073C"/>
    <w:rsid w:val="00DD0AF6"/>
    <w:rsid w:val="00DD1B23"/>
    <w:rsid w:val="00DD1BE3"/>
    <w:rsid w:val="00DD1F20"/>
    <w:rsid w:val="00DD1F66"/>
    <w:rsid w:val="00DD248B"/>
    <w:rsid w:val="00DD24B6"/>
    <w:rsid w:val="00DD24F5"/>
    <w:rsid w:val="00DD2FB1"/>
    <w:rsid w:val="00DD31CD"/>
    <w:rsid w:val="00DD3208"/>
    <w:rsid w:val="00DD36F7"/>
    <w:rsid w:val="00DD38EA"/>
    <w:rsid w:val="00DD4F7F"/>
    <w:rsid w:val="00DD501A"/>
    <w:rsid w:val="00DD5E20"/>
    <w:rsid w:val="00DD5F54"/>
    <w:rsid w:val="00DD614B"/>
    <w:rsid w:val="00DD6856"/>
    <w:rsid w:val="00DD6F8B"/>
    <w:rsid w:val="00DD70D5"/>
    <w:rsid w:val="00DE040B"/>
    <w:rsid w:val="00DE14C5"/>
    <w:rsid w:val="00DE2A35"/>
    <w:rsid w:val="00DE2E5B"/>
    <w:rsid w:val="00DE343F"/>
    <w:rsid w:val="00DE41DB"/>
    <w:rsid w:val="00DE49DE"/>
    <w:rsid w:val="00DE50D6"/>
    <w:rsid w:val="00DE5384"/>
    <w:rsid w:val="00DE649B"/>
    <w:rsid w:val="00DE650B"/>
    <w:rsid w:val="00DE6C06"/>
    <w:rsid w:val="00DE7154"/>
    <w:rsid w:val="00DE75CA"/>
    <w:rsid w:val="00DE7798"/>
    <w:rsid w:val="00DE7806"/>
    <w:rsid w:val="00DF01A5"/>
    <w:rsid w:val="00DF0D63"/>
    <w:rsid w:val="00DF0E45"/>
    <w:rsid w:val="00DF0F74"/>
    <w:rsid w:val="00DF14AB"/>
    <w:rsid w:val="00DF211C"/>
    <w:rsid w:val="00DF2797"/>
    <w:rsid w:val="00DF28FE"/>
    <w:rsid w:val="00DF2DD4"/>
    <w:rsid w:val="00DF30AA"/>
    <w:rsid w:val="00DF3849"/>
    <w:rsid w:val="00DF44D4"/>
    <w:rsid w:val="00DF4591"/>
    <w:rsid w:val="00DF4E9A"/>
    <w:rsid w:val="00DF52FD"/>
    <w:rsid w:val="00DF5BCD"/>
    <w:rsid w:val="00DF6882"/>
    <w:rsid w:val="00DF6FA8"/>
    <w:rsid w:val="00DF74BA"/>
    <w:rsid w:val="00DF7E30"/>
    <w:rsid w:val="00E007B7"/>
    <w:rsid w:val="00E00DF7"/>
    <w:rsid w:val="00E01308"/>
    <w:rsid w:val="00E0281E"/>
    <w:rsid w:val="00E03733"/>
    <w:rsid w:val="00E04A32"/>
    <w:rsid w:val="00E04B5C"/>
    <w:rsid w:val="00E04DD0"/>
    <w:rsid w:val="00E04E8C"/>
    <w:rsid w:val="00E04EB8"/>
    <w:rsid w:val="00E05154"/>
    <w:rsid w:val="00E05188"/>
    <w:rsid w:val="00E05302"/>
    <w:rsid w:val="00E0541C"/>
    <w:rsid w:val="00E06D5A"/>
    <w:rsid w:val="00E07BC9"/>
    <w:rsid w:val="00E10090"/>
    <w:rsid w:val="00E115ED"/>
    <w:rsid w:val="00E11FD2"/>
    <w:rsid w:val="00E12944"/>
    <w:rsid w:val="00E12EA8"/>
    <w:rsid w:val="00E130E1"/>
    <w:rsid w:val="00E14939"/>
    <w:rsid w:val="00E14D02"/>
    <w:rsid w:val="00E14D5E"/>
    <w:rsid w:val="00E15136"/>
    <w:rsid w:val="00E155BA"/>
    <w:rsid w:val="00E15B9B"/>
    <w:rsid w:val="00E16209"/>
    <w:rsid w:val="00E16238"/>
    <w:rsid w:val="00E16BD8"/>
    <w:rsid w:val="00E1743D"/>
    <w:rsid w:val="00E17440"/>
    <w:rsid w:val="00E1787D"/>
    <w:rsid w:val="00E17939"/>
    <w:rsid w:val="00E17BF5"/>
    <w:rsid w:val="00E17DF2"/>
    <w:rsid w:val="00E22293"/>
    <w:rsid w:val="00E2274A"/>
    <w:rsid w:val="00E22EDC"/>
    <w:rsid w:val="00E2345D"/>
    <w:rsid w:val="00E23A78"/>
    <w:rsid w:val="00E23EF3"/>
    <w:rsid w:val="00E242BE"/>
    <w:rsid w:val="00E25491"/>
    <w:rsid w:val="00E259FC"/>
    <w:rsid w:val="00E2684B"/>
    <w:rsid w:val="00E26C27"/>
    <w:rsid w:val="00E27005"/>
    <w:rsid w:val="00E270BE"/>
    <w:rsid w:val="00E27715"/>
    <w:rsid w:val="00E31834"/>
    <w:rsid w:val="00E31A70"/>
    <w:rsid w:val="00E31F1D"/>
    <w:rsid w:val="00E3224D"/>
    <w:rsid w:val="00E323DE"/>
    <w:rsid w:val="00E32F47"/>
    <w:rsid w:val="00E33B51"/>
    <w:rsid w:val="00E33C79"/>
    <w:rsid w:val="00E33DA4"/>
    <w:rsid w:val="00E33DE4"/>
    <w:rsid w:val="00E33EFB"/>
    <w:rsid w:val="00E34221"/>
    <w:rsid w:val="00E3597A"/>
    <w:rsid w:val="00E36B4D"/>
    <w:rsid w:val="00E372D8"/>
    <w:rsid w:val="00E37E7F"/>
    <w:rsid w:val="00E406CA"/>
    <w:rsid w:val="00E407AD"/>
    <w:rsid w:val="00E418DB"/>
    <w:rsid w:val="00E4231C"/>
    <w:rsid w:val="00E427AB"/>
    <w:rsid w:val="00E428FA"/>
    <w:rsid w:val="00E4292F"/>
    <w:rsid w:val="00E4294C"/>
    <w:rsid w:val="00E42DD4"/>
    <w:rsid w:val="00E431DA"/>
    <w:rsid w:val="00E43B45"/>
    <w:rsid w:val="00E449EF"/>
    <w:rsid w:val="00E44AF3"/>
    <w:rsid w:val="00E451D7"/>
    <w:rsid w:val="00E45BE8"/>
    <w:rsid w:val="00E46BA9"/>
    <w:rsid w:val="00E500B2"/>
    <w:rsid w:val="00E502D7"/>
    <w:rsid w:val="00E50532"/>
    <w:rsid w:val="00E51430"/>
    <w:rsid w:val="00E51596"/>
    <w:rsid w:val="00E51C3A"/>
    <w:rsid w:val="00E51E43"/>
    <w:rsid w:val="00E51E9F"/>
    <w:rsid w:val="00E52983"/>
    <w:rsid w:val="00E529E9"/>
    <w:rsid w:val="00E52D95"/>
    <w:rsid w:val="00E539C0"/>
    <w:rsid w:val="00E53AAC"/>
    <w:rsid w:val="00E5425E"/>
    <w:rsid w:val="00E5479D"/>
    <w:rsid w:val="00E54A8A"/>
    <w:rsid w:val="00E551CE"/>
    <w:rsid w:val="00E55497"/>
    <w:rsid w:val="00E55725"/>
    <w:rsid w:val="00E55C57"/>
    <w:rsid w:val="00E5613F"/>
    <w:rsid w:val="00E56261"/>
    <w:rsid w:val="00E56AFF"/>
    <w:rsid w:val="00E57284"/>
    <w:rsid w:val="00E57B62"/>
    <w:rsid w:val="00E6011C"/>
    <w:rsid w:val="00E60265"/>
    <w:rsid w:val="00E6044D"/>
    <w:rsid w:val="00E604AF"/>
    <w:rsid w:val="00E607CF"/>
    <w:rsid w:val="00E60A8D"/>
    <w:rsid w:val="00E60E4C"/>
    <w:rsid w:val="00E622A5"/>
    <w:rsid w:val="00E62DBE"/>
    <w:rsid w:val="00E62DEE"/>
    <w:rsid w:val="00E631D5"/>
    <w:rsid w:val="00E63225"/>
    <w:rsid w:val="00E63245"/>
    <w:rsid w:val="00E63333"/>
    <w:rsid w:val="00E63C4C"/>
    <w:rsid w:val="00E64636"/>
    <w:rsid w:val="00E6518C"/>
    <w:rsid w:val="00E65A33"/>
    <w:rsid w:val="00E65F06"/>
    <w:rsid w:val="00E665B0"/>
    <w:rsid w:val="00E66AC2"/>
    <w:rsid w:val="00E6704F"/>
    <w:rsid w:val="00E674C2"/>
    <w:rsid w:val="00E67654"/>
    <w:rsid w:val="00E67D0A"/>
    <w:rsid w:val="00E67D89"/>
    <w:rsid w:val="00E716C6"/>
    <w:rsid w:val="00E71755"/>
    <w:rsid w:val="00E71B71"/>
    <w:rsid w:val="00E720F3"/>
    <w:rsid w:val="00E72BCD"/>
    <w:rsid w:val="00E7375F"/>
    <w:rsid w:val="00E7437D"/>
    <w:rsid w:val="00E74E75"/>
    <w:rsid w:val="00E757D4"/>
    <w:rsid w:val="00E75CEF"/>
    <w:rsid w:val="00E75E2F"/>
    <w:rsid w:val="00E76533"/>
    <w:rsid w:val="00E767EE"/>
    <w:rsid w:val="00E76855"/>
    <w:rsid w:val="00E76A27"/>
    <w:rsid w:val="00E774FD"/>
    <w:rsid w:val="00E77773"/>
    <w:rsid w:val="00E77F22"/>
    <w:rsid w:val="00E8005B"/>
    <w:rsid w:val="00E80269"/>
    <w:rsid w:val="00E8085A"/>
    <w:rsid w:val="00E81260"/>
    <w:rsid w:val="00E81261"/>
    <w:rsid w:val="00E813E6"/>
    <w:rsid w:val="00E81F48"/>
    <w:rsid w:val="00E828AD"/>
    <w:rsid w:val="00E829CE"/>
    <w:rsid w:val="00E83E23"/>
    <w:rsid w:val="00E8401E"/>
    <w:rsid w:val="00E8422F"/>
    <w:rsid w:val="00E84A76"/>
    <w:rsid w:val="00E85041"/>
    <w:rsid w:val="00E85821"/>
    <w:rsid w:val="00E858AB"/>
    <w:rsid w:val="00E85D91"/>
    <w:rsid w:val="00E85EF0"/>
    <w:rsid w:val="00E86BE1"/>
    <w:rsid w:val="00E87651"/>
    <w:rsid w:val="00E87B3D"/>
    <w:rsid w:val="00E90083"/>
    <w:rsid w:val="00E906F1"/>
    <w:rsid w:val="00E90D41"/>
    <w:rsid w:val="00E90E13"/>
    <w:rsid w:val="00E90FDD"/>
    <w:rsid w:val="00E91400"/>
    <w:rsid w:val="00E9186E"/>
    <w:rsid w:val="00E91D99"/>
    <w:rsid w:val="00E91EBB"/>
    <w:rsid w:val="00E92127"/>
    <w:rsid w:val="00E92721"/>
    <w:rsid w:val="00E92C24"/>
    <w:rsid w:val="00E9354C"/>
    <w:rsid w:val="00E9367F"/>
    <w:rsid w:val="00E94157"/>
    <w:rsid w:val="00E94229"/>
    <w:rsid w:val="00E947C6"/>
    <w:rsid w:val="00E9537D"/>
    <w:rsid w:val="00E96D7F"/>
    <w:rsid w:val="00E9743D"/>
    <w:rsid w:val="00E97559"/>
    <w:rsid w:val="00E97C36"/>
    <w:rsid w:val="00E97EB3"/>
    <w:rsid w:val="00EA03A8"/>
    <w:rsid w:val="00EA0DFE"/>
    <w:rsid w:val="00EA1C2C"/>
    <w:rsid w:val="00EA23FD"/>
    <w:rsid w:val="00EA2408"/>
    <w:rsid w:val="00EA28C6"/>
    <w:rsid w:val="00EA2AE7"/>
    <w:rsid w:val="00EA2B7E"/>
    <w:rsid w:val="00EA2E1F"/>
    <w:rsid w:val="00EA3A6A"/>
    <w:rsid w:val="00EA3B0B"/>
    <w:rsid w:val="00EA4050"/>
    <w:rsid w:val="00EA47BC"/>
    <w:rsid w:val="00EA5C60"/>
    <w:rsid w:val="00EA5E71"/>
    <w:rsid w:val="00EA5F03"/>
    <w:rsid w:val="00EA6565"/>
    <w:rsid w:val="00EA6862"/>
    <w:rsid w:val="00EA6910"/>
    <w:rsid w:val="00EA72A7"/>
    <w:rsid w:val="00EA73F5"/>
    <w:rsid w:val="00EA7736"/>
    <w:rsid w:val="00EA7A65"/>
    <w:rsid w:val="00EB0245"/>
    <w:rsid w:val="00EB03EF"/>
    <w:rsid w:val="00EB0B29"/>
    <w:rsid w:val="00EB0BE5"/>
    <w:rsid w:val="00EB0D2B"/>
    <w:rsid w:val="00EB1136"/>
    <w:rsid w:val="00EB15D2"/>
    <w:rsid w:val="00EB1B9A"/>
    <w:rsid w:val="00EB212D"/>
    <w:rsid w:val="00EB281A"/>
    <w:rsid w:val="00EB2CD0"/>
    <w:rsid w:val="00EB3AA3"/>
    <w:rsid w:val="00EB3AB7"/>
    <w:rsid w:val="00EB3B0B"/>
    <w:rsid w:val="00EB3F18"/>
    <w:rsid w:val="00EB4054"/>
    <w:rsid w:val="00EB43CC"/>
    <w:rsid w:val="00EB471A"/>
    <w:rsid w:val="00EB47E9"/>
    <w:rsid w:val="00EB5009"/>
    <w:rsid w:val="00EB50C2"/>
    <w:rsid w:val="00EB552C"/>
    <w:rsid w:val="00EB5A76"/>
    <w:rsid w:val="00EB5F9D"/>
    <w:rsid w:val="00EB66B1"/>
    <w:rsid w:val="00EB67B0"/>
    <w:rsid w:val="00EB6CF9"/>
    <w:rsid w:val="00EB718C"/>
    <w:rsid w:val="00EB7613"/>
    <w:rsid w:val="00EC0353"/>
    <w:rsid w:val="00EC056A"/>
    <w:rsid w:val="00EC09FD"/>
    <w:rsid w:val="00EC0CE1"/>
    <w:rsid w:val="00EC13F8"/>
    <w:rsid w:val="00EC19EC"/>
    <w:rsid w:val="00EC1E52"/>
    <w:rsid w:val="00EC2B19"/>
    <w:rsid w:val="00EC2D0B"/>
    <w:rsid w:val="00EC2E02"/>
    <w:rsid w:val="00EC2FAC"/>
    <w:rsid w:val="00EC3077"/>
    <w:rsid w:val="00EC3387"/>
    <w:rsid w:val="00EC4393"/>
    <w:rsid w:val="00EC46FA"/>
    <w:rsid w:val="00EC4C15"/>
    <w:rsid w:val="00EC5605"/>
    <w:rsid w:val="00EC5817"/>
    <w:rsid w:val="00EC5952"/>
    <w:rsid w:val="00EC5BFB"/>
    <w:rsid w:val="00EC5C11"/>
    <w:rsid w:val="00EC5E28"/>
    <w:rsid w:val="00EC5EC0"/>
    <w:rsid w:val="00EC6491"/>
    <w:rsid w:val="00EC6706"/>
    <w:rsid w:val="00EC686D"/>
    <w:rsid w:val="00EC6922"/>
    <w:rsid w:val="00EC784A"/>
    <w:rsid w:val="00ED08B4"/>
    <w:rsid w:val="00ED18FD"/>
    <w:rsid w:val="00ED1FC8"/>
    <w:rsid w:val="00ED2D71"/>
    <w:rsid w:val="00ED3062"/>
    <w:rsid w:val="00ED34DB"/>
    <w:rsid w:val="00ED3723"/>
    <w:rsid w:val="00ED39E5"/>
    <w:rsid w:val="00ED3A6C"/>
    <w:rsid w:val="00ED402C"/>
    <w:rsid w:val="00ED4180"/>
    <w:rsid w:val="00ED4280"/>
    <w:rsid w:val="00ED5E8A"/>
    <w:rsid w:val="00ED6BAC"/>
    <w:rsid w:val="00ED6CDD"/>
    <w:rsid w:val="00ED6E9F"/>
    <w:rsid w:val="00ED7093"/>
    <w:rsid w:val="00ED79A3"/>
    <w:rsid w:val="00ED7E27"/>
    <w:rsid w:val="00EE015B"/>
    <w:rsid w:val="00EE0474"/>
    <w:rsid w:val="00EE0B27"/>
    <w:rsid w:val="00EE10D2"/>
    <w:rsid w:val="00EE140D"/>
    <w:rsid w:val="00EE1995"/>
    <w:rsid w:val="00EE343E"/>
    <w:rsid w:val="00EE3614"/>
    <w:rsid w:val="00EE4133"/>
    <w:rsid w:val="00EE47E7"/>
    <w:rsid w:val="00EE4B26"/>
    <w:rsid w:val="00EE4C1F"/>
    <w:rsid w:val="00EE4E1F"/>
    <w:rsid w:val="00EE4FE1"/>
    <w:rsid w:val="00EE5605"/>
    <w:rsid w:val="00EE5B1C"/>
    <w:rsid w:val="00EE6310"/>
    <w:rsid w:val="00EE69A9"/>
    <w:rsid w:val="00EE7362"/>
    <w:rsid w:val="00EE7D9E"/>
    <w:rsid w:val="00EF0479"/>
    <w:rsid w:val="00EF0EBF"/>
    <w:rsid w:val="00EF115D"/>
    <w:rsid w:val="00EF1618"/>
    <w:rsid w:val="00EF1662"/>
    <w:rsid w:val="00EF187B"/>
    <w:rsid w:val="00EF30FA"/>
    <w:rsid w:val="00EF3990"/>
    <w:rsid w:val="00EF3A33"/>
    <w:rsid w:val="00EF484F"/>
    <w:rsid w:val="00EF4DE6"/>
    <w:rsid w:val="00EF4E93"/>
    <w:rsid w:val="00EF4FBE"/>
    <w:rsid w:val="00EF4FE9"/>
    <w:rsid w:val="00EF55B7"/>
    <w:rsid w:val="00EF649A"/>
    <w:rsid w:val="00EF6C75"/>
    <w:rsid w:val="00F00134"/>
    <w:rsid w:val="00F005CB"/>
    <w:rsid w:val="00F00652"/>
    <w:rsid w:val="00F01214"/>
    <w:rsid w:val="00F0147C"/>
    <w:rsid w:val="00F01915"/>
    <w:rsid w:val="00F01C36"/>
    <w:rsid w:val="00F01D85"/>
    <w:rsid w:val="00F01F00"/>
    <w:rsid w:val="00F02298"/>
    <w:rsid w:val="00F02AB2"/>
    <w:rsid w:val="00F02AF0"/>
    <w:rsid w:val="00F0417D"/>
    <w:rsid w:val="00F051C7"/>
    <w:rsid w:val="00F0537A"/>
    <w:rsid w:val="00F05614"/>
    <w:rsid w:val="00F05977"/>
    <w:rsid w:val="00F05F82"/>
    <w:rsid w:val="00F062A7"/>
    <w:rsid w:val="00F06963"/>
    <w:rsid w:val="00F070BD"/>
    <w:rsid w:val="00F074A4"/>
    <w:rsid w:val="00F07758"/>
    <w:rsid w:val="00F078AC"/>
    <w:rsid w:val="00F12B81"/>
    <w:rsid w:val="00F12B90"/>
    <w:rsid w:val="00F12CB2"/>
    <w:rsid w:val="00F12DEB"/>
    <w:rsid w:val="00F12F21"/>
    <w:rsid w:val="00F1305A"/>
    <w:rsid w:val="00F13176"/>
    <w:rsid w:val="00F133B1"/>
    <w:rsid w:val="00F134AF"/>
    <w:rsid w:val="00F144B1"/>
    <w:rsid w:val="00F1571C"/>
    <w:rsid w:val="00F164BB"/>
    <w:rsid w:val="00F166D2"/>
    <w:rsid w:val="00F171EE"/>
    <w:rsid w:val="00F17400"/>
    <w:rsid w:val="00F17530"/>
    <w:rsid w:val="00F17CE4"/>
    <w:rsid w:val="00F20B83"/>
    <w:rsid w:val="00F2109C"/>
    <w:rsid w:val="00F21319"/>
    <w:rsid w:val="00F216AB"/>
    <w:rsid w:val="00F21D7F"/>
    <w:rsid w:val="00F21FD7"/>
    <w:rsid w:val="00F225B6"/>
    <w:rsid w:val="00F22905"/>
    <w:rsid w:val="00F232A6"/>
    <w:rsid w:val="00F23597"/>
    <w:rsid w:val="00F237C3"/>
    <w:rsid w:val="00F2401D"/>
    <w:rsid w:val="00F24177"/>
    <w:rsid w:val="00F244FA"/>
    <w:rsid w:val="00F24527"/>
    <w:rsid w:val="00F248A6"/>
    <w:rsid w:val="00F25E4B"/>
    <w:rsid w:val="00F2644D"/>
    <w:rsid w:val="00F26A45"/>
    <w:rsid w:val="00F26DAE"/>
    <w:rsid w:val="00F27904"/>
    <w:rsid w:val="00F30CFE"/>
    <w:rsid w:val="00F313A7"/>
    <w:rsid w:val="00F31A4A"/>
    <w:rsid w:val="00F3357D"/>
    <w:rsid w:val="00F33A38"/>
    <w:rsid w:val="00F33C6F"/>
    <w:rsid w:val="00F343EF"/>
    <w:rsid w:val="00F346CE"/>
    <w:rsid w:val="00F34F17"/>
    <w:rsid w:val="00F35AEE"/>
    <w:rsid w:val="00F35CE6"/>
    <w:rsid w:val="00F36461"/>
    <w:rsid w:val="00F36766"/>
    <w:rsid w:val="00F36978"/>
    <w:rsid w:val="00F36D57"/>
    <w:rsid w:val="00F372BE"/>
    <w:rsid w:val="00F372CD"/>
    <w:rsid w:val="00F376E5"/>
    <w:rsid w:val="00F37A7F"/>
    <w:rsid w:val="00F37E3C"/>
    <w:rsid w:val="00F4079B"/>
    <w:rsid w:val="00F41580"/>
    <w:rsid w:val="00F41707"/>
    <w:rsid w:val="00F41A2D"/>
    <w:rsid w:val="00F4202B"/>
    <w:rsid w:val="00F43E6B"/>
    <w:rsid w:val="00F440C6"/>
    <w:rsid w:val="00F44384"/>
    <w:rsid w:val="00F445B6"/>
    <w:rsid w:val="00F449FB"/>
    <w:rsid w:val="00F456CB"/>
    <w:rsid w:val="00F46DC1"/>
    <w:rsid w:val="00F470EE"/>
    <w:rsid w:val="00F473D4"/>
    <w:rsid w:val="00F474C3"/>
    <w:rsid w:val="00F475BE"/>
    <w:rsid w:val="00F47652"/>
    <w:rsid w:val="00F47C98"/>
    <w:rsid w:val="00F509F4"/>
    <w:rsid w:val="00F50CD9"/>
    <w:rsid w:val="00F514F2"/>
    <w:rsid w:val="00F521EA"/>
    <w:rsid w:val="00F52364"/>
    <w:rsid w:val="00F5245F"/>
    <w:rsid w:val="00F52663"/>
    <w:rsid w:val="00F52848"/>
    <w:rsid w:val="00F534B8"/>
    <w:rsid w:val="00F5374D"/>
    <w:rsid w:val="00F538B1"/>
    <w:rsid w:val="00F538F1"/>
    <w:rsid w:val="00F53F3E"/>
    <w:rsid w:val="00F540ED"/>
    <w:rsid w:val="00F54298"/>
    <w:rsid w:val="00F54D42"/>
    <w:rsid w:val="00F5573A"/>
    <w:rsid w:val="00F55A16"/>
    <w:rsid w:val="00F55A63"/>
    <w:rsid w:val="00F55FA7"/>
    <w:rsid w:val="00F56772"/>
    <w:rsid w:val="00F56838"/>
    <w:rsid w:val="00F56AF0"/>
    <w:rsid w:val="00F56D4E"/>
    <w:rsid w:val="00F57A38"/>
    <w:rsid w:val="00F60000"/>
    <w:rsid w:val="00F60666"/>
    <w:rsid w:val="00F606CF"/>
    <w:rsid w:val="00F60EC6"/>
    <w:rsid w:val="00F611D8"/>
    <w:rsid w:val="00F61325"/>
    <w:rsid w:val="00F6189F"/>
    <w:rsid w:val="00F61C0E"/>
    <w:rsid w:val="00F61CDE"/>
    <w:rsid w:val="00F621DA"/>
    <w:rsid w:val="00F62210"/>
    <w:rsid w:val="00F62919"/>
    <w:rsid w:val="00F62D84"/>
    <w:rsid w:val="00F633FB"/>
    <w:rsid w:val="00F636D8"/>
    <w:rsid w:val="00F64C06"/>
    <w:rsid w:val="00F66187"/>
    <w:rsid w:val="00F66709"/>
    <w:rsid w:val="00F66768"/>
    <w:rsid w:val="00F67701"/>
    <w:rsid w:val="00F677A1"/>
    <w:rsid w:val="00F67BF9"/>
    <w:rsid w:val="00F70123"/>
    <w:rsid w:val="00F704AB"/>
    <w:rsid w:val="00F70E29"/>
    <w:rsid w:val="00F70E9E"/>
    <w:rsid w:val="00F70F0E"/>
    <w:rsid w:val="00F71B23"/>
    <w:rsid w:val="00F724B7"/>
    <w:rsid w:val="00F727FF"/>
    <w:rsid w:val="00F7347D"/>
    <w:rsid w:val="00F73B1B"/>
    <w:rsid w:val="00F744F4"/>
    <w:rsid w:val="00F74ED0"/>
    <w:rsid w:val="00F75501"/>
    <w:rsid w:val="00F75A56"/>
    <w:rsid w:val="00F75D6A"/>
    <w:rsid w:val="00F766A7"/>
    <w:rsid w:val="00F76DEB"/>
    <w:rsid w:val="00F7775F"/>
    <w:rsid w:val="00F77D06"/>
    <w:rsid w:val="00F80AF5"/>
    <w:rsid w:val="00F80FF1"/>
    <w:rsid w:val="00F816D7"/>
    <w:rsid w:val="00F8242C"/>
    <w:rsid w:val="00F82DF3"/>
    <w:rsid w:val="00F82EDE"/>
    <w:rsid w:val="00F8302F"/>
    <w:rsid w:val="00F83577"/>
    <w:rsid w:val="00F83B55"/>
    <w:rsid w:val="00F8487C"/>
    <w:rsid w:val="00F85020"/>
    <w:rsid w:val="00F85B5C"/>
    <w:rsid w:val="00F862AA"/>
    <w:rsid w:val="00F86A57"/>
    <w:rsid w:val="00F9167A"/>
    <w:rsid w:val="00F9244F"/>
    <w:rsid w:val="00F931A2"/>
    <w:rsid w:val="00F93495"/>
    <w:rsid w:val="00F93759"/>
    <w:rsid w:val="00F939B9"/>
    <w:rsid w:val="00F939ED"/>
    <w:rsid w:val="00F94C76"/>
    <w:rsid w:val="00F95534"/>
    <w:rsid w:val="00F9597A"/>
    <w:rsid w:val="00F96485"/>
    <w:rsid w:val="00F96DBC"/>
    <w:rsid w:val="00F9703F"/>
    <w:rsid w:val="00F9757F"/>
    <w:rsid w:val="00F979A4"/>
    <w:rsid w:val="00FA060A"/>
    <w:rsid w:val="00FA176E"/>
    <w:rsid w:val="00FA17A1"/>
    <w:rsid w:val="00FA1ACB"/>
    <w:rsid w:val="00FA205F"/>
    <w:rsid w:val="00FA28A1"/>
    <w:rsid w:val="00FA3CAE"/>
    <w:rsid w:val="00FA3F1D"/>
    <w:rsid w:val="00FA4550"/>
    <w:rsid w:val="00FA4AD3"/>
    <w:rsid w:val="00FA4C76"/>
    <w:rsid w:val="00FA503D"/>
    <w:rsid w:val="00FA51B4"/>
    <w:rsid w:val="00FA6205"/>
    <w:rsid w:val="00FA6326"/>
    <w:rsid w:val="00FA6648"/>
    <w:rsid w:val="00FA7770"/>
    <w:rsid w:val="00FB0953"/>
    <w:rsid w:val="00FB0DA8"/>
    <w:rsid w:val="00FB113A"/>
    <w:rsid w:val="00FB207E"/>
    <w:rsid w:val="00FB2226"/>
    <w:rsid w:val="00FB25BA"/>
    <w:rsid w:val="00FB28DD"/>
    <w:rsid w:val="00FB33AA"/>
    <w:rsid w:val="00FB33FE"/>
    <w:rsid w:val="00FB4326"/>
    <w:rsid w:val="00FB4724"/>
    <w:rsid w:val="00FB50BC"/>
    <w:rsid w:val="00FB5BAD"/>
    <w:rsid w:val="00FB606E"/>
    <w:rsid w:val="00FB72E0"/>
    <w:rsid w:val="00FC0DF1"/>
    <w:rsid w:val="00FC1780"/>
    <w:rsid w:val="00FC1810"/>
    <w:rsid w:val="00FC1D36"/>
    <w:rsid w:val="00FC2052"/>
    <w:rsid w:val="00FC244B"/>
    <w:rsid w:val="00FC2881"/>
    <w:rsid w:val="00FC2958"/>
    <w:rsid w:val="00FC2BD5"/>
    <w:rsid w:val="00FC3614"/>
    <w:rsid w:val="00FC3F16"/>
    <w:rsid w:val="00FC493E"/>
    <w:rsid w:val="00FC494C"/>
    <w:rsid w:val="00FC4BE4"/>
    <w:rsid w:val="00FC5875"/>
    <w:rsid w:val="00FC6565"/>
    <w:rsid w:val="00FC6942"/>
    <w:rsid w:val="00FC718E"/>
    <w:rsid w:val="00FC7CDD"/>
    <w:rsid w:val="00FC7D89"/>
    <w:rsid w:val="00FD0275"/>
    <w:rsid w:val="00FD078A"/>
    <w:rsid w:val="00FD0855"/>
    <w:rsid w:val="00FD16FE"/>
    <w:rsid w:val="00FD19A7"/>
    <w:rsid w:val="00FD1A2F"/>
    <w:rsid w:val="00FD1A79"/>
    <w:rsid w:val="00FD1A87"/>
    <w:rsid w:val="00FD1D0A"/>
    <w:rsid w:val="00FD26F8"/>
    <w:rsid w:val="00FD2860"/>
    <w:rsid w:val="00FD2E77"/>
    <w:rsid w:val="00FD30A4"/>
    <w:rsid w:val="00FD4401"/>
    <w:rsid w:val="00FD475F"/>
    <w:rsid w:val="00FD531D"/>
    <w:rsid w:val="00FD58D5"/>
    <w:rsid w:val="00FD5B08"/>
    <w:rsid w:val="00FD5BF3"/>
    <w:rsid w:val="00FD6073"/>
    <w:rsid w:val="00FD71CA"/>
    <w:rsid w:val="00FD739E"/>
    <w:rsid w:val="00FD75CD"/>
    <w:rsid w:val="00FE0078"/>
    <w:rsid w:val="00FE00B2"/>
    <w:rsid w:val="00FE0BCB"/>
    <w:rsid w:val="00FE1311"/>
    <w:rsid w:val="00FE1530"/>
    <w:rsid w:val="00FE1942"/>
    <w:rsid w:val="00FE1D17"/>
    <w:rsid w:val="00FE2488"/>
    <w:rsid w:val="00FE2639"/>
    <w:rsid w:val="00FE2AA4"/>
    <w:rsid w:val="00FE2AA5"/>
    <w:rsid w:val="00FE5371"/>
    <w:rsid w:val="00FE5A49"/>
    <w:rsid w:val="00FE6583"/>
    <w:rsid w:val="00FE6693"/>
    <w:rsid w:val="00FE66CB"/>
    <w:rsid w:val="00FF0924"/>
    <w:rsid w:val="00FF0B2A"/>
    <w:rsid w:val="00FF0C52"/>
    <w:rsid w:val="00FF1554"/>
    <w:rsid w:val="00FF162C"/>
    <w:rsid w:val="00FF19AA"/>
    <w:rsid w:val="00FF1B7C"/>
    <w:rsid w:val="00FF1E6A"/>
    <w:rsid w:val="00FF2611"/>
    <w:rsid w:val="00FF2D66"/>
    <w:rsid w:val="00FF2E6E"/>
    <w:rsid w:val="00FF37AE"/>
    <w:rsid w:val="00FF5BE0"/>
    <w:rsid w:val="00FF5D38"/>
    <w:rsid w:val="00FF618E"/>
    <w:rsid w:val="00FF6202"/>
    <w:rsid w:val="00FF6462"/>
    <w:rsid w:val="00FF6649"/>
    <w:rsid w:val="00FF75B6"/>
    <w:rsid w:val="00FF77F0"/>
    <w:rsid w:val="00FF7B0C"/>
    <w:rsid w:val="01037767"/>
    <w:rsid w:val="010B5DFE"/>
    <w:rsid w:val="01121A3B"/>
    <w:rsid w:val="012E3DA7"/>
    <w:rsid w:val="01457908"/>
    <w:rsid w:val="0147276F"/>
    <w:rsid w:val="01555557"/>
    <w:rsid w:val="015941EB"/>
    <w:rsid w:val="015D6BAC"/>
    <w:rsid w:val="015E0835"/>
    <w:rsid w:val="015F2BC9"/>
    <w:rsid w:val="01610122"/>
    <w:rsid w:val="01611F53"/>
    <w:rsid w:val="016568CD"/>
    <w:rsid w:val="017B7322"/>
    <w:rsid w:val="018362EB"/>
    <w:rsid w:val="01907A55"/>
    <w:rsid w:val="019825EC"/>
    <w:rsid w:val="019C0D87"/>
    <w:rsid w:val="01A03554"/>
    <w:rsid w:val="01A3073B"/>
    <w:rsid w:val="01A61B7B"/>
    <w:rsid w:val="01AB223D"/>
    <w:rsid w:val="01B127DA"/>
    <w:rsid w:val="01CC5F5E"/>
    <w:rsid w:val="01CD70E4"/>
    <w:rsid w:val="01D06248"/>
    <w:rsid w:val="01D12314"/>
    <w:rsid w:val="01F565AF"/>
    <w:rsid w:val="01FD42EF"/>
    <w:rsid w:val="02024EA0"/>
    <w:rsid w:val="02041684"/>
    <w:rsid w:val="020909F5"/>
    <w:rsid w:val="020C2612"/>
    <w:rsid w:val="021F1EBB"/>
    <w:rsid w:val="023B210A"/>
    <w:rsid w:val="023B6BC5"/>
    <w:rsid w:val="02586CD5"/>
    <w:rsid w:val="025A6F12"/>
    <w:rsid w:val="025F2991"/>
    <w:rsid w:val="0261789F"/>
    <w:rsid w:val="026C4DEC"/>
    <w:rsid w:val="02806579"/>
    <w:rsid w:val="02A27092"/>
    <w:rsid w:val="02CA5DBD"/>
    <w:rsid w:val="02CC321D"/>
    <w:rsid w:val="02CD68A0"/>
    <w:rsid w:val="02D212D8"/>
    <w:rsid w:val="02D27B3A"/>
    <w:rsid w:val="02D3276B"/>
    <w:rsid w:val="02D3350D"/>
    <w:rsid w:val="030342BE"/>
    <w:rsid w:val="03157416"/>
    <w:rsid w:val="031B3FF8"/>
    <w:rsid w:val="031C0410"/>
    <w:rsid w:val="03220367"/>
    <w:rsid w:val="032B3FEE"/>
    <w:rsid w:val="033771DC"/>
    <w:rsid w:val="03393105"/>
    <w:rsid w:val="033F77AA"/>
    <w:rsid w:val="033F7AFD"/>
    <w:rsid w:val="03427B4E"/>
    <w:rsid w:val="035600C2"/>
    <w:rsid w:val="03690580"/>
    <w:rsid w:val="03944DC7"/>
    <w:rsid w:val="039506F6"/>
    <w:rsid w:val="039612D4"/>
    <w:rsid w:val="03A61B23"/>
    <w:rsid w:val="03B44E16"/>
    <w:rsid w:val="03B95416"/>
    <w:rsid w:val="03BC7892"/>
    <w:rsid w:val="03BD25D6"/>
    <w:rsid w:val="03BE1472"/>
    <w:rsid w:val="03D97997"/>
    <w:rsid w:val="03EF1A15"/>
    <w:rsid w:val="03EF5CFB"/>
    <w:rsid w:val="03F92894"/>
    <w:rsid w:val="03FC0C80"/>
    <w:rsid w:val="03FC4C25"/>
    <w:rsid w:val="0407357C"/>
    <w:rsid w:val="0434330E"/>
    <w:rsid w:val="0434489F"/>
    <w:rsid w:val="043C0108"/>
    <w:rsid w:val="043C20FA"/>
    <w:rsid w:val="043F1F14"/>
    <w:rsid w:val="044672EE"/>
    <w:rsid w:val="0447227E"/>
    <w:rsid w:val="0451306F"/>
    <w:rsid w:val="045207E1"/>
    <w:rsid w:val="0452324F"/>
    <w:rsid w:val="045556EE"/>
    <w:rsid w:val="045F3A39"/>
    <w:rsid w:val="0462063F"/>
    <w:rsid w:val="04701040"/>
    <w:rsid w:val="04877000"/>
    <w:rsid w:val="0488180A"/>
    <w:rsid w:val="04884AC0"/>
    <w:rsid w:val="048B6A71"/>
    <w:rsid w:val="048D4554"/>
    <w:rsid w:val="04944A6A"/>
    <w:rsid w:val="04975458"/>
    <w:rsid w:val="049E4BED"/>
    <w:rsid w:val="049F25B9"/>
    <w:rsid w:val="04A517B1"/>
    <w:rsid w:val="04AD710A"/>
    <w:rsid w:val="04B8274F"/>
    <w:rsid w:val="04C21553"/>
    <w:rsid w:val="04C82215"/>
    <w:rsid w:val="04D704A5"/>
    <w:rsid w:val="04E01F38"/>
    <w:rsid w:val="04E169D3"/>
    <w:rsid w:val="04E85DDD"/>
    <w:rsid w:val="04EB5887"/>
    <w:rsid w:val="04EF7F4A"/>
    <w:rsid w:val="04F454F1"/>
    <w:rsid w:val="05006D7B"/>
    <w:rsid w:val="0506170D"/>
    <w:rsid w:val="050A4CE4"/>
    <w:rsid w:val="05147E85"/>
    <w:rsid w:val="051A2002"/>
    <w:rsid w:val="05281683"/>
    <w:rsid w:val="05404C1F"/>
    <w:rsid w:val="05500503"/>
    <w:rsid w:val="05663791"/>
    <w:rsid w:val="056905C6"/>
    <w:rsid w:val="056C0C7C"/>
    <w:rsid w:val="056F2418"/>
    <w:rsid w:val="05714984"/>
    <w:rsid w:val="057A5EF7"/>
    <w:rsid w:val="05856AD5"/>
    <w:rsid w:val="058A1AE1"/>
    <w:rsid w:val="059071C9"/>
    <w:rsid w:val="059E5338"/>
    <w:rsid w:val="05C00040"/>
    <w:rsid w:val="05C00DA5"/>
    <w:rsid w:val="05D62085"/>
    <w:rsid w:val="05DD06BF"/>
    <w:rsid w:val="05E14A95"/>
    <w:rsid w:val="05EF595D"/>
    <w:rsid w:val="05F803CD"/>
    <w:rsid w:val="05FE37D9"/>
    <w:rsid w:val="06350C16"/>
    <w:rsid w:val="064660D0"/>
    <w:rsid w:val="064F56ED"/>
    <w:rsid w:val="06550BB2"/>
    <w:rsid w:val="065C244F"/>
    <w:rsid w:val="066A72FC"/>
    <w:rsid w:val="066C6CEA"/>
    <w:rsid w:val="066E3B00"/>
    <w:rsid w:val="0676188F"/>
    <w:rsid w:val="068777A5"/>
    <w:rsid w:val="069952A4"/>
    <w:rsid w:val="06A52547"/>
    <w:rsid w:val="06AF4BEE"/>
    <w:rsid w:val="06B331CE"/>
    <w:rsid w:val="06B92D8C"/>
    <w:rsid w:val="06BD06CE"/>
    <w:rsid w:val="06BD229F"/>
    <w:rsid w:val="06D576B7"/>
    <w:rsid w:val="06EE2960"/>
    <w:rsid w:val="06EF1885"/>
    <w:rsid w:val="071B0D3B"/>
    <w:rsid w:val="071C2603"/>
    <w:rsid w:val="071C6FC5"/>
    <w:rsid w:val="07290464"/>
    <w:rsid w:val="072916E2"/>
    <w:rsid w:val="075F1D3A"/>
    <w:rsid w:val="077C7A64"/>
    <w:rsid w:val="077E533E"/>
    <w:rsid w:val="07853B29"/>
    <w:rsid w:val="0797489E"/>
    <w:rsid w:val="079B24FB"/>
    <w:rsid w:val="079E7C3D"/>
    <w:rsid w:val="079F7ABD"/>
    <w:rsid w:val="07A52ACF"/>
    <w:rsid w:val="07B26326"/>
    <w:rsid w:val="07B46CDA"/>
    <w:rsid w:val="07B509CE"/>
    <w:rsid w:val="07B651B2"/>
    <w:rsid w:val="07C82F2A"/>
    <w:rsid w:val="07D0607E"/>
    <w:rsid w:val="07D63493"/>
    <w:rsid w:val="07DD0491"/>
    <w:rsid w:val="07E10D19"/>
    <w:rsid w:val="07E51AAD"/>
    <w:rsid w:val="07F17CC7"/>
    <w:rsid w:val="07F81B08"/>
    <w:rsid w:val="07FF1A71"/>
    <w:rsid w:val="0802711A"/>
    <w:rsid w:val="08150E35"/>
    <w:rsid w:val="08243C87"/>
    <w:rsid w:val="08276B5D"/>
    <w:rsid w:val="08391BAF"/>
    <w:rsid w:val="08585E9A"/>
    <w:rsid w:val="086C67B1"/>
    <w:rsid w:val="0873509B"/>
    <w:rsid w:val="08756168"/>
    <w:rsid w:val="088366D5"/>
    <w:rsid w:val="088626E4"/>
    <w:rsid w:val="0892678F"/>
    <w:rsid w:val="089A6E2A"/>
    <w:rsid w:val="08AB6853"/>
    <w:rsid w:val="08BF012F"/>
    <w:rsid w:val="08D95ADD"/>
    <w:rsid w:val="08DF5620"/>
    <w:rsid w:val="08E004C3"/>
    <w:rsid w:val="08E64921"/>
    <w:rsid w:val="08EF4E64"/>
    <w:rsid w:val="090129D5"/>
    <w:rsid w:val="09231F4C"/>
    <w:rsid w:val="09324455"/>
    <w:rsid w:val="09367B0A"/>
    <w:rsid w:val="093700E7"/>
    <w:rsid w:val="09394EF4"/>
    <w:rsid w:val="094620D8"/>
    <w:rsid w:val="094D6FD5"/>
    <w:rsid w:val="09607EB9"/>
    <w:rsid w:val="0975488B"/>
    <w:rsid w:val="097E6E31"/>
    <w:rsid w:val="0983540E"/>
    <w:rsid w:val="0986119A"/>
    <w:rsid w:val="09AE292C"/>
    <w:rsid w:val="09B278E2"/>
    <w:rsid w:val="09CE5380"/>
    <w:rsid w:val="09DB4A17"/>
    <w:rsid w:val="09EB2C7F"/>
    <w:rsid w:val="09F76085"/>
    <w:rsid w:val="0A016B22"/>
    <w:rsid w:val="0A053745"/>
    <w:rsid w:val="0A097B15"/>
    <w:rsid w:val="0A187F18"/>
    <w:rsid w:val="0A261F09"/>
    <w:rsid w:val="0A2C17A5"/>
    <w:rsid w:val="0A385254"/>
    <w:rsid w:val="0A462A7C"/>
    <w:rsid w:val="0A5E2522"/>
    <w:rsid w:val="0A6F05CA"/>
    <w:rsid w:val="0A876394"/>
    <w:rsid w:val="0A8A698E"/>
    <w:rsid w:val="0A8B7390"/>
    <w:rsid w:val="0A933566"/>
    <w:rsid w:val="0AA24248"/>
    <w:rsid w:val="0AAA48E8"/>
    <w:rsid w:val="0AD91FC9"/>
    <w:rsid w:val="0ADB075F"/>
    <w:rsid w:val="0AE222D4"/>
    <w:rsid w:val="0AF353AB"/>
    <w:rsid w:val="0B0E73C8"/>
    <w:rsid w:val="0B3E31ED"/>
    <w:rsid w:val="0B424235"/>
    <w:rsid w:val="0B4D4AF4"/>
    <w:rsid w:val="0B4F5AAF"/>
    <w:rsid w:val="0B5104C9"/>
    <w:rsid w:val="0B5C1771"/>
    <w:rsid w:val="0B5C6F5F"/>
    <w:rsid w:val="0B695BD3"/>
    <w:rsid w:val="0B6F5CD3"/>
    <w:rsid w:val="0B880938"/>
    <w:rsid w:val="0B8A00AE"/>
    <w:rsid w:val="0B8E1D10"/>
    <w:rsid w:val="0B981367"/>
    <w:rsid w:val="0B981885"/>
    <w:rsid w:val="0B9C6927"/>
    <w:rsid w:val="0BA94255"/>
    <w:rsid w:val="0BAA618B"/>
    <w:rsid w:val="0BB55669"/>
    <w:rsid w:val="0BBB44B0"/>
    <w:rsid w:val="0BD51A4F"/>
    <w:rsid w:val="0BDC1732"/>
    <w:rsid w:val="0BE054A7"/>
    <w:rsid w:val="0BF04736"/>
    <w:rsid w:val="0BF16E09"/>
    <w:rsid w:val="0BF91214"/>
    <w:rsid w:val="0BFB0479"/>
    <w:rsid w:val="0C02432C"/>
    <w:rsid w:val="0C1465FD"/>
    <w:rsid w:val="0C180307"/>
    <w:rsid w:val="0C1F4542"/>
    <w:rsid w:val="0C220839"/>
    <w:rsid w:val="0C2564DE"/>
    <w:rsid w:val="0C2D4BF7"/>
    <w:rsid w:val="0C2D7F94"/>
    <w:rsid w:val="0C37175E"/>
    <w:rsid w:val="0C3D7D65"/>
    <w:rsid w:val="0C5C350D"/>
    <w:rsid w:val="0C620CFB"/>
    <w:rsid w:val="0C72397E"/>
    <w:rsid w:val="0C775497"/>
    <w:rsid w:val="0C8A6C76"/>
    <w:rsid w:val="0C8B2D53"/>
    <w:rsid w:val="0C8D60D2"/>
    <w:rsid w:val="0C907E0B"/>
    <w:rsid w:val="0C95536B"/>
    <w:rsid w:val="0C9A4E3A"/>
    <w:rsid w:val="0C9B0F02"/>
    <w:rsid w:val="0CA627B7"/>
    <w:rsid w:val="0CA94B6C"/>
    <w:rsid w:val="0CB24DEA"/>
    <w:rsid w:val="0CC10939"/>
    <w:rsid w:val="0CC735CB"/>
    <w:rsid w:val="0CC92211"/>
    <w:rsid w:val="0CD52DC1"/>
    <w:rsid w:val="0CDB33AB"/>
    <w:rsid w:val="0CE340E1"/>
    <w:rsid w:val="0CEB0FAE"/>
    <w:rsid w:val="0D12135B"/>
    <w:rsid w:val="0D1326BA"/>
    <w:rsid w:val="0D1772F4"/>
    <w:rsid w:val="0D211F08"/>
    <w:rsid w:val="0D2B4D22"/>
    <w:rsid w:val="0D3440CE"/>
    <w:rsid w:val="0D470B14"/>
    <w:rsid w:val="0D5D12BA"/>
    <w:rsid w:val="0D652514"/>
    <w:rsid w:val="0D744AB8"/>
    <w:rsid w:val="0D883E1B"/>
    <w:rsid w:val="0DA351E8"/>
    <w:rsid w:val="0DB42B36"/>
    <w:rsid w:val="0DEE215C"/>
    <w:rsid w:val="0DF17BB3"/>
    <w:rsid w:val="0E073E15"/>
    <w:rsid w:val="0E116B3B"/>
    <w:rsid w:val="0E1C25F8"/>
    <w:rsid w:val="0E1F36F5"/>
    <w:rsid w:val="0E2C3DC4"/>
    <w:rsid w:val="0E3348F0"/>
    <w:rsid w:val="0E49061A"/>
    <w:rsid w:val="0E4B01DA"/>
    <w:rsid w:val="0E4E5E22"/>
    <w:rsid w:val="0E5065FE"/>
    <w:rsid w:val="0E527771"/>
    <w:rsid w:val="0E5756DE"/>
    <w:rsid w:val="0E667896"/>
    <w:rsid w:val="0E697251"/>
    <w:rsid w:val="0E760A01"/>
    <w:rsid w:val="0E7A15D0"/>
    <w:rsid w:val="0E8928D9"/>
    <w:rsid w:val="0E9A06DB"/>
    <w:rsid w:val="0E9B7D48"/>
    <w:rsid w:val="0EB220B4"/>
    <w:rsid w:val="0EB647D5"/>
    <w:rsid w:val="0ED35F14"/>
    <w:rsid w:val="0EDE23CA"/>
    <w:rsid w:val="0EEF1A3E"/>
    <w:rsid w:val="0EEF7DB9"/>
    <w:rsid w:val="0F0545AE"/>
    <w:rsid w:val="0F0F431C"/>
    <w:rsid w:val="0F17354D"/>
    <w:rsid w:val="0F2672BB"/>
    <w:rsid w:val="0F2D1010"/>
    <w:rsid w:val="0F3A43F7"/>
    <w:rsid w:val="0F3C6C40"/>
    <w:rsid w:val="0F3E4809"/>
    <w:rsid w:val="0F473A14"/>
    <w:rsid w:val="0F4B64AC"/>
    <w:rsid w:val="0F54351E"/>
    <w:rsid w:val="0F5A05C7"/>
    <w:rsid w:val="0F645140"/>
    <w:rsid w:val="0F6C5371"/>
    <w:rsid w:val="0F706CF2"/>
    <w:rsid w:val="0F790C4B"/>
    <w:rsid w:val="0F7C59D4"/>
    <w:rsid w:val="0F801D2C"/>
    <w:rsid w:val="0F873C06"/>
    <w:rsid w:val="0F8C1996"/>
    <w:rsid w:val="0F941DDC"/>
    <w:rsid w:val="0F98145F"/>
    <w:rsid w:val="0FA73596"/>
    <w:rsid w:val="0FAB1309"/>
    <w:rsid w:val="0FB41BCB"/>
    <w:rsid w:val="0FBB0EF3"/>
    <w:rsid w:val="0FBC139E"/>
    <w:rsid w:val="0FD31486"/>
    <w:rsid w:val="0FE61E3D"/>
    <w:rsid w:val="0FEF6A66"/>
    <w:rsid w:val="0FFC1742"/>
    <w:rsid w:val="0FFE2130"/>
    <w:rsid w:val="102A39F0"/>
    <w:rsid w:val="103449ED"/>
    <w:rsid w:val="10367DFD"/>
    <w:rsid w:val="103C2486"/>
    <w:rsid w:val="104C7B89"/>
    <w:rsid w:val="106D155F"/>
    <w:rsid w:val="10775B6E"/>
    <w:rsid w:val="107F35A6"/>
    <w:rsid w:val="108E5678"/>
    <w:rsid w:val="10B55501"/>
    <w:rsid w:val="10B97633"/>
    <w:rsid w:val="10BA762B"/>
    <w:rsid w:val="10BF1F0B"/>
    <w:rsid w:val="10C0777A"/>
    <w:rsid w:val="10C36704"/>
    <w:rsid w:val="10C80E1B"/>
    <w:rsid w:val="10C92E76"/>
    <w:rsid w:val="10CF22C6"/>
    <w:rsid w:val="10DA4084"/>
    <w:rsid w:val="10DF7C4B"/>
    <w:rsid w:val="10F662F8"/>
    <w:rsid w:val="10F674A5"/>
    <w:rsid w:val="111134DD"/>
    <w:rsid w:val="112108ED"/>
    <w:rsid w:val="11234289"/>
    <w:rsid w:val="113151B7"/>
    <w:rsid w:val="11394FC4"/>
    <w:rsid w:val="113969C6"/>
    <w:rsid w:val="11472E91"/>
    <w:rsid w:val="114E32FC"/>
    <w:rsid w:val="11532397"/>
    <w:rsid w:val="11647E94"/>
    <w:rsid w:val="116B5C81"/>
    <w:rsid w:val="11772E7B"/>
    <w:rsid w:val="117D68B3"/>
    <w:rsid w:val="118908CC"/>
    <w:rsid w:val="118A451F"/>
    <w:rsid w:val="118F194B"/>
    <w:rsid w:val="119039FF"/>
    <w:rsid w:val="119C7113"/>
    <w:rsid w:val="11AC7268"/>
    <w:rsid w:val="11AE2E68"/>
    <w:rsid w:val="11B148DB"/>
    <w:rsid w:val="11B84D73"/>
    <w:rsid w:val="11BA18B5"/>
    <w:rsid w:val="11DF7443"/>
    <w:rsid w:val="11E56DF3"/>
    <w:rsid w:val="11E66BE4"/>
    <w:rsid w:val="11EB795B"/>
    <w:rsid w:val="11F35801"/>
    <w:rsid w:val="11F97327"/>
    <w:rsid w:val="11FC5678"/>
    <w:rsid w:val="121508E7"/>
    <w:rsid w:val="12396910"/>
    <w:rsid w:val="12396A15"/>
    <w:rsid w:val="12422B59"/>
    <w:rsid w:val="124F770E"/>
    <w:rsid w:val="125455B6"/>
    <w:rsid w:val="12652E2F"/>
    <w:rsid w:val="12774495"/>
    <w:rsid w:val="12B72298"/>
    <w:rsid w:val="12B92B80"/>
    <w:rsid w:val="12C434C0"/>
    <w:rsid w:val="12DA262E"/>
    <w:rsid w:val="12E4182F"/>
    <w:rsid w:val="12EA49F9"/>
    <w:rsid w:val="12F808F3"/>
    <w:rsid w:val="12FE5880"/>
    <w:rsid w:val="133236CD"/>
    <w:rsid w:val="133B6A25"/>
    <w:rsid w:val="1342014B"/>
    <w:rsid w:val="134A0A16"/>
    <w:rsid w:val="135A7AEB"/>
    <w:rsid w:val="135E0C2E"/>
    <w:rsid w:val="135F3508"/>
    <w:rsid w:val="136070E5"/>
    <w:rsid w:val="138133C6"/>
    <w:rsid w:val="138C13B1"/>
    <w:rsid w:val="13994D5D"/>
    <w:rsid w:val="139E6C49"/>
    <w:rsid w:val="13B34C36"/>
    <w:rsid w:val="13CA7CC7"/>
    <w:rsid w:val="13CF0B97"/>
    <w:rsid w:val="13F60B9E"/>
    <w:rsid w:val="13F839D7"/>
    <w:rsid w:val="13FA1A5D"/>
    <w:rsid w:val="13FC512B"/>
    <w:rsid w:val="14003282"/>
    <w:rsid w:val="140943F6"/>
    <w:rsid w:val="1429755F"/>
    <w:rsid w:val="14435F96"/>
    <w:rsid w:val="14501FA4"/>
    <w:rsid w:val="14513B72"/>
    <w:rsid w:val="146A7D9B"/>
    <w:rsid w:val="14731E5F"/>
    <w:rsid w:val="147D1D63"/>
    <w:rsid w:val="147F0970"/>
    <w:rsid w:val="1484494A"/>
    <w:rsid w:val="14887F77"/>
    <w:rsid w:val="148B30F7"/>
    <w:rsid w:val="148D1503"/>
    <w:rsid w:val="148D37AA"/>
    <w:rsid w:val="14962D01"/>
    <w:rsid w:val="14A7513C"/>
    <w:rsid w:val="14C11485"/>
    <w:rsid w:val="14E028EA"/>
    <w:rsid w:val="14E33FBF"/>
    <w:rsid w:val="15074784"/>
    <w:rsid w:val="1513199B"/>
    <w:rsid w:val="151E23E8"/>
    <w:rsid w:val="152139F9"/>
    <w:rsid w:val="15472243"/>
    <w:rsid w:val="15557DE4"/>
    <w:rsid w:val="1565422D"/>
    <w:rsid w:val="156A3166"/>
    <w:rsid w:val="157D192A"/>
    <w:rsid w:val="15870523"/>
    <w:rsid w:val="159E5049"/>
    <w:rsid w:val="15AC0A22"/>
    <w:rsid w:val="15AF7257"/>
    <w:rsid w:val="15D62521"/>
    <w:rsid w:val="15DA080F"/>
    <w:rsid w:val="15E06DB6"/>
    <w:rsid w:val="15E21718"/>
    <w:rsid w:val="15E75D82"/>
    <w:rsid w:val="16012162"/>
    <w:rsid w:val="1603392A"/>
    <w:rsid w:val="1605186D"/>
    <w:rsid w:val="16090816"/>
    <w:rsid w:val="161C49D4"/>
    <w:rsid w:val="161D0E57"/>
    <w:rsid w:val="161E1BC6"/>
    <w:rsid w:val="162E7C07"/>
    <w:rsid w:val="16311B18"/>
    <w:rsid w:val="16323620"/>
    <w:rsid w:val="16387FD6"/>
    <w:rsid w:val="16474F8E"/>
    <w:rsid w:val="164A1D9F"/>
    <w:rsid w:val="165335C0"/>
    <w:rsid w:val="1658646E"/>
    <w:rsid w:val="165A5414"/>
    <w:rsid w:val="16692743"/>
    <w:rsid w:val="166A3BE5"/>
    <w:rsid w:val="16895CFA"/>
    <w:rsid w:val="168D57EA"/>
    <w:rsid w:val="1690466C"/>
    <w:rsid w:val="169A69F5"/>
    <w:rsid w:val="169C2629"/>
    <w:rsid w:val="169D7266"/>
    <w:rsid w:val="16A160FA"/>
    <w:rsid w:val="16A427CF"/>
    <w:rsid w:val="16BB1883"/>
    <w:rsid w:val="16C319BF"/>
    <w:rsid w:val="16C513D3"/>
    <w:rsid w:val="16C64858"/>
    <w:rsid w:val="16D13612"/>
    <w:rsid w:val="16D915D3"/>
    <w:rsid w:val="16E017E8"/>
    <w:rsid w:val="16E903D0"/>
    <w:rsid w:val="16F5513D"/>
    <w:rsid w:val="17381B99"/>
    <w:rsid w:val="174621FF"/>
    <w:rsid w:val="174725DF"/>
    <w:rsid w:val="175F2179"/>
    <w:rsid w:val="17680005"/>
    <w:rsid w:val="17722790"/>
    <w:rsid w:val="17762D24"/>
    <w:rsid w:val="177F1E52"/>
    <w:rsid w:val="1784290A"/>
    <w:rsid w:val="17866A41"/>
    <w:rsid w:val="17CA6C70"/>
    <w:rsid w:val="17D55482"/>
    <w:rsid w:val="17D86F39"/>
    <w:rsid w:val="17F65882"/>
    <w:rsid w:val="17FC7499"/>
    <w:rsid w:val="181101FF"/>
    <w:rsid w:val="18137996"/>
    <w:rsid w:val="18193B31"/>
    <w:rsid w:val="18290AAD"/>
    <w:rsid w:val="183E1ADB"/>
    <w:rsid w:val="1843148F"/>
    <w:rsid w:val="18484256"/>
    <w:rsid w:val="185741D4"/>
    <w:rsid w:val="18672B7C"/>
    <w:rsid w:val="18707E15"/>
    <w:rsid w:val="188643B8"/>
    <w:rsid w:val="188B2D6D"/>
    <w:rsid w:val="188F3C2E"/>
    <w:rsid w:val="18914013"/>
    <w:rsid w:val="18A33803"/>
    <w:rsid w:val="18AA1733"/>
    <w:rsid w:val="18C94A94"/>
    <w:rsid w:val="18D13129"/>
    <w:rsid w:val="18D8162B"/>
    <w:rsid w:val="18E4316D"/>
    <w:rsid w:val="18E746E8"/>
    <w:rsid w:val="18EE1F18"/>
    <w:rsid w:val="18F6792A"/>
    <w:rsid w:val="18FE5C8D"/>
    <w:rsid w:val="19064FCB"/>
    <w:rsid w:val="19167A45"/>
    <w:rsid w:val="19185547"/>
    <w:rsid w:val="193077D1"/>
    <w:rsid w:val="1936516B"/>
    <w:rsid w:val="19375678"/>
    <w:rsid w:val="19392019"/>
    <w:rsid w:val="194C1F56"/>
    <w:rsid w:val="194F5817"/>
    <w:rsid w:val="19546DE4"/>
    <w:rsid w:val="195D0620"/>
    <w:rsid w:val="195F114E"/>
    <w:rsid w:val="196824B5"/>
    <w:rsid w:val="196C0C16"/>
    <w:rsid w:val="196F4417"/>
    <w:rsid w:val="197026AE"/>
    <w:rsid w:val="1973764E"/>
    <w:rsid w:val="19744227"/>
    <w:rsid w:val="19774F60"/>
    <w:rsid w:val="198B4F01"/>
    <w:rsid w:val="198C766F"/>
    <w:rsid w:val="198D0147"/>
    <w:rsid w:val="19AC3396"/>
    <w:rsid w:val="19B62DA2"/>
    <w:rsid w:val="19BA26F0"/>
    <w:rsid w:val="19C10E2A"/>
    <w:rsid w:val="19C92F06"/>
    <w:rsid w:val="19E140B3"/>
    <w:rsid w:val="19E27BFB"/>
    <w:rsid w:val="19ED659F"/>
    <w:rsid w:val="19EF40C6"/>
    <w:rsid w:val="19F7757A"/>
    <w:rsid w:val="1A007276"/>
    <w:rsid w:val="1A17021F"/>
    <w:rsid w:val="1A1726E0"/>
    <w:rsid w:val="1A1F7543"/>
    <w:rsid w:val="1A210CDC"/>
    <w:rsid w:val="1A376341"/>
    <w:rsid w:val="1A4014F0"/>
    <w:rsid w:val="1A5534F5"/>
    <w:rsid w:val="1A5712FD"/>
    <w:rsid w:val="1A581A4E"/>
    <w:rsid w:val="1A5959E3"/>
    <w:rsid w:val="1A597989"/>
    <w:rsid w:val="1A711ED2"/>
    <w:rsid w:val="1A71207C"/>
    <w:rsid w:val="1A7D0DA6"/>
    <w:rsid w:val="1AA05880"/>
    <w:rsid w:val="1AD4162A"/>
    <w:rsid w:val="1AFC1190"/>
    <w:rsid w:val="1B0510F1"/>
    <w:rsid w:val="1B0644E6"/>
    <w:rsid w:val="1B1335AE"/>
    <w:rsid w:val="1B2D1349"/>
    <w:rsid w:val="1B2F1017"/>
    <w:rsid w:val="1B5E59A7"/>
    <w:rsid w:val="1B652F97"/>
    <w:rsid w:val="1B72386C"/>
    <w:rsid w:val="1B7E0BB8"/>
    <w:rsid w:val="1B8545F0"/>
    <w:rsid w:val="1B9149E2"/>
    <w:rsid w:val="1B99078D"/>
    <w:rsid w:val="1BAC0824"/>
    <w:rsid w:val="1BB65948"/>
    <w:rsid w:val="1BB87F9B"/>
    <w:rsid w:val="1BB9409A"/>
    <w:rsid w:val="1BC752FA"/>
    <w:rsid w:val="1BCB05A7"/>
    <w:rsid w:val="1BDA39E6"/>
    <w:rsid w:val="1BE22984"/>
    <w:rsid w:val="1BE539D2"/>
    <w:rsid w:val="1BE53E44"/>
    <w:rsid w:val="1BEF65FF"/>
    <w:rsid w:val="1BF86B72"/>
    <w:rsid w:val="1C006382"/>
    <w:rsid w:val="1C1036BB"/>
    <w:rsid w:val="1C103880"/>
    <w:rsid w:val="1C1C4F1A"/>
    <w:rsid w:val="1C2A2048"/>
    <w:rsid w:val="1C2E7544"/>
    <w:rsid w:val="1C2F491A"/>
    <w:rsid w:val="1C462D86"/>
    <w:rsid w:val="1C4F3051"/>
    <w:rsid w:val="1C5076C5"/>
    <w:rsid w:val="1C553CD8"/>
    <w:rsid w:val="1C780873"/>
    <w:rsid w:val="1C7C31B7"/>
    <w:rsid w:val="1C846981"/>
    <w:rsid w:val="1C960319"/>
    <w:rsid w:val="1C9B1C69"/>
    <w:rsid w:val="1CB22E40"/>
    <w:rsid w:val="1CBD3FBA"/>
    <w:rsid w:val="1CBF45C8"/>
    <w:rsid w:val="1CCA206E"/>
    <w:rsid w:val="1CCE3D5B"/>
    <w:rsid w:val="1CCF317C"/>
    <w:rsid w:val="1CD01614"/>
    <w:rsid w:val="1CDB0CDC"/>
    <w:rsid w:val="1CF02081"/>
    <w:rsid w:val="1CF223DC"/>
    <w:rsid w:val="1CFD17BE"/>
    <w:rsid w:val="1CFD4D4B"/>
    <w:rsid w:val="1D0B31FB"/>
    <w:rsid w:val="1D0B3DEB"/>
    <w:rsid w:val="1D1D751F"/>
    <w:rsid w:val="1D1E6250"/>
    <w:rsid w:val="1D284372"/>
    <w:rsid w:val="1D2F3092"/>
    <w:rsid w:val="1D373BB2"/>
    <w:rsid w:val="1D38707E"/>
    <w:rsid w:val="1D4750A4"/>
    <w:rsid w:val="1D4C50E7"/>
    <w:rsid w:val="1D5460C4"/>
    <w:rsid w:val="1D6A0633"/>
    <w:rsid w:val="1D7148B5"/>
    <w:rsid w:val="1D9D1099"/>
    <w:rsid w:val="1DA80455"/>
    <w:rsid w:val="1DBC67DD"/>
    <w:rsid w:val="1DBD319E"/>
    <w:rsid w:val="1DC13FCB"/>
    <w:rsid w:val="1DC51D0D"/>
    <w:rsid w:val="1DCD7725"/>
    <w:rsid w:val="1DCE749D"/>
    <w:rsid w:val="1DD66FB0"/>
    <w:rsid w:val="1DE657E0"/>
    <w:rsid w:val="1DFE3F85"/>
    <w:rsid w:val="1E075E82"/>
    <w:rsid w:val="1E206E4E"/>
    <w:rsid w:val="1E2320A1"/>
    <w:rsid w:val="1E236A34"/>
    <w:rsid w:val="1E292F94"/>
    <w:rsid w:val="1E371DB2"/>
    <w:rsid w:val="1E4B75FF"/>
    <w:rsid w:val="1E5834BE"/>
    <w:rsid w:val="1E591A59"/>
    <w:rsid w:val="1E5E6EE1"/>
    <w:rsid w:val="1E700AAC"/>
    <w:rsid w:val="1E7255DB"/>
    <w:rsid w:val="1E8C6387"/>
    <w:rsid w:val="1EA01C75"/>
    <w:rsid w:val="1EA25BAA"/>
    <w:rsid w:val="1EA37B56"/>
    <w:rsid w:val="1EA72CFA"/>
    <w:rsid w:val="1EA82513"/>
    <w:rsid w:val="1EAE249B"/>
    <w:rsid w:val="1EC37970"/>
    <w:rsid w:val="1ED55F80"/>
    <w:rsid w:val="1EDC7F5E"/>
    <w:rsid w:val="1EDD01B6"/>
    <w:rsid w:val="1EE3736F"/>
    <w:rsid w:val="1EEB1387"/>
    <w:rsid w:val="1EF02DBA"/>
    <w:rsid w:val="1EF1171F"/>
    <w:rsid w:val="1F053515"/>
    <w:rsid w:val="1F0B4CBD"/>
    <w:rsid w:val="1F0C1361"/>
    <w:rsid w:val="1F183083"/>
    <w:rsid w:val="1F2F1202"/>
    <w:rsid w:val="1F560242"/>
    <w:rsid w:val="1F5A5F92"/>
    <w:rsid w:val="1F774E07"/>
    <w:rsid w:val="1F7A7887"/>
    <w:rsid w:val="1F7B0185"/>
    <w:rsid w:val="1F841218"/>
    <w:rsid w:val="1F8C2DA5"/>
    <w:rsid w:val="1F9B302D"/>
    <w:rsid w:val="1FC1749E"/>
    <w:rsid w:val="1FC21D84"/>
    <w:rsid w:val="1FC429AC"/>
    <w:rsid w:val="1FDF7539"/>
    <w:rsid w:val="1FF00B97"/>
    <w:rsid w:val="2000078A"/>
    <w:rsid w:val="20121912"/>
    <w:rsid w:val="20340448"/>
    <w:rsid w:val="20345AE3"/>
    <w:rsid w:val="20381B49"/>
    <w:rsid w:val="205D0771"/>
    <w:rsid w:val="205F064C"/>
    <w:rsid w:val="20743577"/>
    <w:rsid w:val="207B2B57"/>
    <w:rsid w:val="20823EE5"/>
    <w:rsid w:val="208677AD"/>
    <w:rsid w:val="208A0F4A"/>
    <w:rsid w:val="20951127"/>
    <w:rsid w:val="209E1271"/>
    <w:rsid w:val="209F588A"/>
    <w:rsid w:val="20A977A1"/>
    <w:rsid w:val="20AC2D10"/>
    <w:rsid w:val="20AC4A64"/>
    <w:rsid w:val="20B05AB9"/>
    <w:rsid w:val="20C92CE4"/>
    <w:rsid w:val="20CE2199"/>
    <w:rsid w:val="20D01EB7"/>
    <w:rsid w:val="20D02EA3"/>
    <w:rsid w:val="20D22ECB"/>
    <w:rsid w:val="20F22122"/>
    <w:rsid w:val="20F557A1"/>
    <w:rsid w:val="20FE424D"/>
    <w:rsid w:val="210303E4"/>
    <w:rsid w:val="21240098"/>
    <w:rsid w:val="21244F9D"/>
    <w:rsid w:val="213749DC"/>
    <w:rsid w:val="21416D41"/>
    <w:rsid w:val="2142426F"/>
    <w:rsid w:val="21431371"/>
    <w:rsid w:val="214A2426"/>
    <w:rsid w:val="214C33EF"/>
    <w:rsid w:val="21546160"/>
    <w:rsid w:val="215525E8"/>
    <w:rsid w:val="2156204B"/>
    <w:rsid w:val="215C4E9A"/>
    <w:rsid w:val="216457A9"/>
    <w:rsid w:val="217C1192"/>
    <w:rsid w:val="219537A4"/>
    <w:rsid w:val="21962AAA"/>
    <w:rsid w:val="219A6D4B"/>
    <w:rsid w:val="21AB495F"/>
    <w:rsid w:val="21C43C75"/>
    <w:rsid w:val="21C81DCC"/>
    <w:rsid w:val="21C97EEF"/>
    <w:rsid w:val="21E07116"/>
    <w:rsid w:val="21ED35E0"/>
    <w:rsid w:val="221A354A"/>
    <w:rsid w:val="221C3EC6"/>
    <w:rsid w:val="221D1672"/>
    <w:rsid w:val="2224062C"/>
    <w:rsid w:val="224920B4"/>
    <w:rsid w:val="224F015E"/>
    <w:rsid w:val="22571BA5"/>
    <w:rsid w:val="22573150"/>
    <w:rsid w:val="22617D92"/>
    <w:rsid w:val="22804455"/>
    <w:rsid w:val="228A7943"/>
    <w:rsid w:val="228D5ABB"/>
    <w:rsid w:val="22944E93"/>
    <w:rsid w:val="229B6703"/>
    <w:rsid w:val="229D6A37"/>
    <w:rsid w:val="22A939AB"/>
    <w:rsid w:val="22B962A9"/>
    <w:rsid w:val="22DF5A44"/>
    <w:rsid w:val="230B73C5"/>
    <w:rsid w:val="231565F6"/>
    <w:rsid w:val="23407CCF"/>
    <w:rsid w:val="23443B5F"/>
    <w:rsid w:val="234E7A9A"/>
    <w:rsid w:val="23592C41"/>
    <w:rsid w:val="236773C3"/>
    <w:rsid w:val="236E0751"/>
    <w:rsid w:val="2375458A"/>
    <w:rsid w:val="2378337E"/>
    <w:rsid w:val="239D405B"/>
    <w:rsid w:val="239D5ED0"/>
    <w:rsid w:val="23B3034A"/>
    <w:rsid w:val="23B32618"/>
    <w:rsid w:val="23B64E06"/>
    <w:rsid w:val="23D40C4E"/>
    <w:rsid w:val="23D87661"/>
    <w:rsid w:val="23F25E4D"/>
    <w:rsid w:val="240011DA"/>
    <w:rsid w:val="24004AB2"/>
    <w:rsid w:val="240626FC"/>
    <w:rsid w:val="24085CFA"/>
    <w:rsid w:val="240943E8"/>
    <w:rsid w:val="240E302D"/>
    <w:rsid w:val="242A1D2C"/>
    <w:rsid w:val="245C2990"/>
    <w:rsid w:val="24625EFC"/>
    <w:rsid w:val="246A53BC"/>
    <w:rsid w:val="246F1D58"/>
    <w:rsid w:val="247F7103"/>
    <w:rsid w:val="249A5382"/>
    <w:rsid w:val="24AB6A8D"/>
    <w:rsid w:val="24BB6E43"/>
    <w:rsid w:val="24CA1218"/>
    <w:rsid w:val="24CB66FB"/>
    <w:rsid w:val="24D069BE"/>
    <w:rsid w:val="25027E6E"/>
    <w:rsid w:val="250B573A"/>
    <w:rsid w:val="2512232E"/>
    <w:rsid w:val="252B2250"/>
    <w:rsid w:val="25310FEB"/>
    <w:rsid w:val="253121B6"/>
    <w:rsid w:val="25556B4E"/>
    <w:rsid w:val="255B6AB3"/>
    <w:rsid w:val="255C4BD2"/>
    <w:rsid w:val="256245E1"/>
    <w:rsid w:val="257D4278"/>
    <w:rsid w:val="25947C91"/>
    <w:rsid w:val="259B0FC8"/>
    <w:rsid w:val="25A4389E"/>
    <w:rsid w:val="25AB180A"/>
    <w:rsid w:val="25B81297"/>
    <w:rsid w:val="25C26294"/>
    <w:rsid w:val="25DE0ABB"/>
    <w:rsid w:val="25EA227D"/>
    <w:rsid w:val="25EE2F6B"/>
    <w:rsid w:val="25EE5AEF"/>
    <w:rsid w:val="25F03B65"/>
    <w:rsid w:val="25F95A76"/>
    <w:rsid w:val="26071BF6"/>
    <w:rsid w:val="260C7B9A"/>
    <w:rsid w:val="2615143E"/>
    <w:rsid w:val="262B6A8F"/>
    <w:rsid w:val="262F4A23"/>
    <w:rsid w:val="263A387F"/>
    <w:rsid w:val="265D1D80"/>
    <w:rsid w:val="2663431E"/>
    <w:rsid w:val="2674607E"/>
    <w:rsid w:val="2675613B"/>
    <w:rsid w:val="26767765"/>
    <w:rsid w:val="267C068B"/>
    <w:rsid w:val="268362C1"/>
    <w:rsid w:val="26A66673"/>
    <w:rsid w:val="26BD66A2"/>
    <w:rsid w:val="26C03072"/>
    <w:rsid w:val="26D14496"/>
    <w:rsid w:val="26D3299D"/>
    <w:rsid w:val="26DD6079"/>
    <w:rsid w:val="26E72745"/>
    <w:rsid w:val="26EA4A00"/>
    <w:rsid w:val="26EB5D00"/>
    <w:rsid w:val="26F939DD"/>
    <w:rsid w:val="270105C5"/>
    <w:rsid w:val="27342D76"/>
    <w:rsid w:val="27351CB2"/>
    <w:rsid w:val="274C190F"/>
    <w:rsid w:val="27516892"/>
    <w:rsid w:val="27561AA7"/>
    <w:rsid w:val="27571BFA"/>
    <w:rsid w:val="27583E1A"/>
    <w:rsid w:val="275F4269"/>
    <w:rsid w:val="27893644"/>
    <w:rsid w:val="2793478A"/>
    <w:rsid w:val="2796423F"/>
    <w:rsid w:val="27A235A3"/>
    <w:rsid w:val="27A573C1"/>
    <w:rsid w:val="27AC73AE"/>
    <w:rsid w:val="27B119B4"/>
    <w:rsid w:val="27BE5369"/>
    <w:rsid w:val="27BF04E9"/>
    <w:rsid w:val="27C13545"/>
    <w:rsid w:val="27CF2074"/>
    <w:rsid w:val="27D55855"/>
    <w:rsid w:val="27DF6C4E"/>
    <w:rsid w:val="27EC7E96"/>
    <w:rsid w:val="27F516EA"/>
    <w:rsid w:val="27F70F16"/>
    <w:rsid w:val="28232C8D"/>
    <w:rsid w:val="28254BAA"/>
    <w:rsid w:val="28267B00"/>
    <w:rsid w:val="283E2902"/>
    <w:rsid w:val="285664CE"/>
    <w:rsid w:val="28583914"/>
    <w:rsid w:val="2859377E"/>
    <w:rsid w:val="285A5748"/>
    <w:rsid w:val="285B36CF"/>
    <w:rsid w:val="286616EB"/>
    <w:rsid w:val="286A598B"/>
    <w:rsid w:val="286B06DC"/>
    <w:rsid w:val="286D1437"/>
    <w:rsid w:val="28795561"/>
    <w:rsid w:val="288167BA"/>
    <w:rsid w:val="288818EE"/>
    <w:rsid w:val="288D39AB"/>
    <w:rsid w:val="2899A4CA"/>
    <w:rsid w:val="28A17421"/>
    <w:rsid w:val="28A83F9A"/>
    <w:rsid w:val="28B22E8E"/>
    <w:rsid w:val="28C130D1"/>
    <w:rsid w:val="28C40F66"/>
    <w:rsid w:val="28D15A0A"/>
    <w:rsid w:val="28D70B46"/>
    <w:rsid w:val="28E371D6"/>
    <w:rsid w:val="28E514B5"/>
    <w:rsid w:val="28EE67DC"/>
    <w:rsid w:val="28F53AF3"/>
    <w:rsid w:val="28F8498E"/>
    <w:rsid w:val="28F95255"/>
    <w:rsid w:val="290225D3"/>
    <w:rsid w:val="2904200E"/>
    <w:rsid w:val="29077494"/>
    <w:rsid w:val="29251E56"/>
    <w:rsid w:val="292E69B5"/>
    <w:rsid w:val="293561BF"/>
    <w:rsid w:val="29390A1F"/>
    <w:rsid w:val="293D7A97"/>
    <w:rsid w:val="294303EE"/>
    <w:rsid w:val="29435A91"/>
    <w:rsid w:val="29487EC4"/>
    <w:rsid w:val="295108F9"/>
    <w:rsid w:val="29526E23"/>
    <w:rsid w:val="29574C3C"/>
    <w:rsid w:val="29646E76"/>
    <w:rsid w:val="29687D5A"/>
    <w:rsid w:val="296D5007"/>
    <w:rsid w:val="29826D04"/>
    <w:rsid w:val="298C7522"/>
    <w:rsid w:val="298F15DF"/>
    <w:rsid w:val="29C22246"/>
    <w:rsid w:val="29CB6B8E"/>
    <w:rsid w:val="29EC2C27"/>
    <w:rsid w:val="29F41A85"/>
    <w:rsid w:val="29F973AE"/>
    <w:rsid w:val="2A0D7A79"/>
    <w:rsid w:val="2A0E4EF5"/>
    <w:rsid w:val="2A230902"/>
    <w:rsid w:val="2A500BB0"/>
    <w:rsid w:val="2A612324"/>
    <w:rsid w:val="2A7A3E7F"/>
    <w:rsid w:val="2A841049"/>
    <w:rsid w:val="2A87448F"/>
    <w:rsid w:val="2A9E55B4"/>
    <w:rsid w:val="2AA03146"/>
    <w:rsid w:val="2AA723FA"/>
    <w:rsid w:val="2AA9206F"/>
    <w:rsid w:val="2AAB6F8C"/>
    <w:rsid w:val="2AAC4934"/>
    <w:rsid w:val="2AB351AD"/>
    <w:rsid w:val="2ABB2A2D"/>
    <w:rsid w:val="2AC450FA"/>
    <w:rsid w:val="2ACE4B67"/>
    <w:rsid w:val="2AD633B7"/>
    <w:rsid w:val="2AEC425A"/>
    <w:rsid w:val="2B055E43"/>
    <w:rsid w:val="2B3129C7"/>
    <w:rsid w:val="2B3E30FF"/>
    <w:rsid w:val="2B3E4F87"/>
    <w:rsid w:val="2B403A25"/>
    <w:rsid w:val="2B414A8B"/>
    <w:rsid w:val="2B414ADB"/>
    <w:rsid w:val="2B491899"/>
    <w:rsid w:val="2B5706F9"/>
    <w:rsid w:val="2B670B65"/>
    <w:rsid w:val="2B68109E"/>
    <w:rsid w:val="2B6D51F0"/>
    <w:rsid w:val="2B855F21"/>
    <w:rsid w:val="2B97183A"/>
    <w:rsid w:val="2BAB3053"/>
    <w:rsid w:val="2BBE65D9"/>
    <w:rsid w:val="2BD15D21"/>
    <w:rsid w:val="2BD50067"/>
    <w:rsid w:val="2BD63337"/>
    <w:rsid w:val="2BE55033"/>
    <w:rsid w:val="2BF043F9"/>
    <w:rsid w:val="2BF2576A"/>
    <w:rsid w:val="2BFB2D9E"/>
    <w:rsid w:val="2C0A417D"/>
    <w:rsid w:val="2C0B4465"/>
    <w:rsid w:val="2C1B755F"/>
    <w:rsid w:val="2C231077"/>
    <w:rsid w:val="2C2E0A7D"/>
    <w:rsid w:val="2C330EDB"/>
    <w:rsid w:val="2C3A1B18"/>
    <w:rsid w:val="2C574478"/>
    <w:rsid w:val="2C5C119F"/>
    <w:rsid w:val="2C5F157F"/>
    <w:rsid w:val="2C651983"/>
    <w:rsid w:val="2C66214F"/>
    <w:rsid w:val="2C7C7A3B"/>
    <w:rsid w:val="2C8330C3"/>
    <w:rsid w:val="2C8903AA"/>
    <w:rsid w:val="2C8C5944"/>
    <w:rsid w:val="2C8D7546"/>
    <w:rsid w:val="2C9C61E9"/>
    <w:rsid w:val="2CA31736"/>
    <w:rsid w:val="2CB750DB"/>
    <w:rsid w:val="2CBD363E"/>
    <w:rsid w:val="2CC24314"/>
    <w:rsid w:val="2CC31AA1"/>
    <w:rsid w:val="2CCA7E8A"/>
    <w:rsid w:val="2CCE59C2"/>
    <w:rsid w:val="2CD11CE3"/>
    <w:rsid w:val="2CF73D3E"/>
    <w:rsid w:val="2D052228"/>
    <w:rsid w:val="2D26387C"/>
    <w:rsid w:val="2D2638BF"/>
    <w:rsid w:val="2D264FE2"/>
    <w:rsid w:val="2D266A1B"/>
    <w:rsid w:val="2D2C63EA"/>
    <w:rsid w:val="2D2E53F9"/>
    <w:rsid w:val="2D580189"/>
    <w:rsid w:val="2D661B27"/>
    <w:rsid w:val="2D704DDE"/>
    <w:rsid w:val="2D843A07"/>
    <w:rsid w:val="2D8E5D85"/>
    <w:rsid w:val="2D9B4CAF"/>
    <w:rsid w:val="2D9E0A23"/>
    <w:rsid w:val="2DB45B6D"/>
    <w:rsid w:val="2DBD619E"/>
    <w:rsid w:val="2DBF6224"/>
    <w:rsid w:val="2DC70C24"/>
    <w:rsid w:val="2DCB3B49"/>
    <w:rsid w:val="2DCC67A0"/>
    <w:rsid w:val="2DCE7077"/>
    <w:rsid w:val="2DD02A6D"/>
    <w:rsid w:val="2DDA3990"/>
    <w:rsid w:val="2DDF7346"/>
    <w:rsid w:val="2DF66EF4"/>
    <w:rsid w:val="2DFA2E0B"/>
    <w:rsid w:val="2DFC41AD"/>
    <w:rsid w:val="2E180085"/>
    <w:rsid w:val="2E25717B"/>
    <w:rsid w:val="2E3713DB"/>
    <w:rsid w:val="2E3F3416"/>
    <w:rsid w:val="2E4171C4"/>
    <w:rsid w:val="2E4511F3"/>
    <w:rsid w:val="2E525C15"/>
    <w:rsid w:val="2E767899"/>
    <w:rsid w:val="2E78452B"/>
    <w:rsid w:val="2E9E2CED"/>
    <w:rsid w:val="2EAC037F"/>
    <w:rsid w:val="2EAF3A22"/>
    <w:rsid w:val="2EBC5D7C"/>
    <w:rsid w:val="2EBE6558"/>
    <w:rsid w:val="2EC03D09"/>
    <w:rsid w:val="2EC35DF5"/>
    <w:rsid w:val="2EC50B0C"/>
    <w:rsid w:val="2ECC0AC3"/>
    <w:rsid w:val="2EDA313F"/>
    <w:rsid w:val="2EDA4F22"/>
    <w:rsid w:val="2EE46E94"/>
    <w:rsid w:val="2EF25DF1"/>
    <w:rsid w:val="2EF8508B"/>
    <w:rsid w:val="2EFE6E2D"/>
    <w:rsid w:val="2F103E04"/>
    <w:rsid w:val="2F1155C8"/>
    <w:rsid w:val="2F1C13BF"/>
    <w:rsid w:val="2F2D62E8"/>
    <w:rsid w:val="2F4702A4"/>
    <w:rsid w:val="2F5073FF"/>
    <w:rsid w:val="2F535D43"/>
    <w:rsid w:val="2F6A1782"/>
    <w:rsid w:val="2F741918"/>
    <w:rsid w:val="2F870719"/>
    <w:rsid w:val="2F875A04"/>
    <w:rsid w:val="2F8A10C6"/>
    <w:rsid w:val="2F9F555F"/>
    <w:rsid w:val="2FA26C38"/>
    <w:rsid w:val="2FA411C4"/>
    <w:rsid w:val="2FB11482"/>
    <w:rsid w:val="2FB378CE"/>
    <w:rsid w:val="2FCE2CA3"/>
    <w:rsid w:val="2FD11E32"/>
    <w:rsid w:val="2FDB75C4"/>
    <w:rsid w:val="2FE94E0F"/>
    <w:rsid w:val="30062D56"/>
    <w:rsid w:val="300F0BC6"/>
    <w:rsid w:val="302A3CFD"/>
    <w:rsid w:val="302C542E"/>
    <w:rsid w:val="30370BDD"/>
    <w:rsid w:val="303F5EC2"/>
    <w:rsid w:val="30405223"/>
    <w:rsid w:val="304549CB"/>
    <w:rsid w:val="3046174E"/>
    <w:rsid w:val="30605AFF"/>
    <w:rsid w:val="3060766D"/>
    <w:rsid w:val="306E4143"/>
    <w:rsid w:val="30823C5E"/>
    <w:rsid w:val="30916B3D"/>
    <w:rsid w:val="30A023CD"/>
    <w:rsid w:val="30A43B3C"/>
    <w:rsid w:val="30B023A9"/>
    <w:rsid w:val="30C916BD"/>
    <w:rsid w:val="30D4575F"/>
    <w:rsid w:val="31142A42"/>
    <w:rsid w:val="31171594"/>
    <w:rsid w:val="31271309"/>
    <w:rsid w:val="312879CF"/>
    <w:rsid w:val="312B7651"/>
    <w:rsid w:val="312E5233"/>
    <w:rsid w:val="31390163"/>
    <w:rsid w:val="313930CC"/>
    <w:rsid w:val="313A4199"/>
    <w:rsid w:val="317038E6"/>
    <w:rsid w:val="31761E03"/>
    <w:rsid w:val="317C3D05"/>
    <w:rsid w:val="3180527D"/>
    <w:rsid w:val="31905D79"/>
    <w:rsid w:val="319D0FFC"/>
    <w:rsid w:val="31A733A7"/>
    <w:rsid w:val="31AB2B70"/>
    <w:rsid w:val="31BE1AEF"/>
    <w:rsid w:val="31CA024B"/>
    <w:rsid w:val="31CD7626"/>
    <w:rsid w:val="31D04385"/>
    <w:rsid w:val="31ED40DA"/>
    <w:rsid w:val="31FB7BDC"/>
    <w:rsid w:val="320321A9"/>
    <w:rsid w:val="32222A49"/>
    <w:rsid w:val="322B0D75"/>
    <w:rsid w:val="322D57A6"/>
    <w:rsid w:val="322E75B6"/>
    <w:rsid w:val="323C4484"/>
    <w:rsid w:val="323E5820"/>
    <w:rsid w:val="3246664A"/>
    <w:rsid w:val="324E6261"/>
    <w:rsid w:val="32532BFB"/>
    <w:rsid w:val="32543208"/>
    <w:rsid w:val="32582E60"/>
    <w:rsid w:val="32623251"/>
    <w:rsid w:val="326F3A05"/>
    <w:rsid w:val="32770E1D"/>
    <w:rsid w:val="327C6702"/>
    <w:rsid w:val="32802295"/>
    <w:rsid w:val="328754F4"/>
    <w:rsid w:val="32970E77"/>
    <w:rsid w:val="329802B9"/>
    <w:rsid w:val="329E2C41"/>
    <w:rsid w:val="32A963D1"/>
    <w:rsid w:val="32AB3732"/>
    <w:rsid w:val="32B933B5"/>
    <w:rsid w:val="32BB4322"/>
    <w:rsid w:val="32CC0B3A"/>
    <w:rsid w:val="32E60304"/>
    <w:rsid w:val="32E9446A"/>
    <w:rsid w:val="32ED6D0D"/>
    <w:rsid w:val="32EE21EF"/>
    <w:rsid w:val="32FB6F3A"/>
    <w:rsid w:val="32FE403C"/>
    <w:rsid w:val="3301516C"/>
    <w:rsid w:val="330847A6"/>
    <w:rsid w:val="330E3473"/>
    <w:rsid w:val="331D6515"/>
    <w:rsid w:val="332445D4"/>
    <w:rsid w:val="33374A05"/>
    <w:rsid w:val="333F7A14"/>
    <w:rsid w:val="33420DD0"/>
    <w:rsid w:val="33527478"/>
    <w:rsid w:val="336D3CCC"/>
    <w:rsid w:val="337B723F"/>
    <w:rsid w:val="338D4C76"/>
    <w:rsid w:val="33AC25F0"/>
    <w:rsid w:val="33CB37C6"/>
    <w:rsid w:val="33D01002"/>
    <w:rsid w:val="33D840F1"/>
    <w:rsid w:val="33DE1462"/>
    <w:rsid w:val="33E11AF8"/>
    <w:rsid w:val="33F018FF"/>
    <w:rsid w:val="33F144DC"/>
    <w:rsid w:val="340D641C"/>
    <w:rsid w:val="341474EF"/>
    <w:rsid w:val="341D2DE6"/>
    <w:rsid w:val="341D45AF"/>
    <w:rsid w:val="3428494C"/>
    <w:rsid w:val="343435C9"/>
    <w:rsid w:val="344A39D0"/>
    <w:rsid w:val="344A75CC"/>
    <w:rsid w:val="345707EA"/>
    <w:rsid w:val="345E036E"/>
    <w:rsid w:val="346317C9"/>
    <w:rsid w:val="34656B85"/>
    <w:rsid w:val="3470037B"/>
    <w:rsid w:val="348619E3"/>
    <w:rsid w:val="34A25937"/>
    <w:rsid w:val="34C54FA6"/>
    <w:rsid w:val="34CC4281"/>
    <w:rsid w:val="34CD416D"/>
    <w:rsid w:val="34D40752"/>
    <w:rsid w:val="34DD4868"/>
    <w:rsid w:val="34FB21A1"/>
    <w:rsid w:val="350031D3"/>
    <w:rsid w:val="35172D6D"/>
    <w:rsid w:val="351B1ECF"/>
    <w:rsid w:val="352801D7"/>
    <w:rsid w:val="352E1B9C"/>
    <w:rsid w:val="354268E3"/>
    <w:rsid w:val="354C1621"/>
    <w:rsid w:val="354D3607"/>
    <w:rsid w:val="35513745"/>
    <w:rsid w:val="35521CDA"/>
    <w:rsid w:val="35797275"/>
    <w:rsid w:val="35900175"/>
    <w:rsid w:val="359C56FD"/>
    <w:rsid w:val="35AD5FDE"/>
    <w:rsid w:val="35AF3C99"/>
    <w:rsid w:val="35B244CD"/>
    <w:rsid w:val="35B30245"/>
    <w:rsid w:val="35BD4675"/>
    <w:rsid w:val="35BF0570"/>
    <w:rsid w:val="35D24B6F"/>
    <w:rsid w:val="35D31D82"/>
    <w:rsid w:val="35F3196D"/>
    <w:rsid w:val="35F66D7E"/>
    <w:rsid w:val="36010FB1"/>
    <w:rsid w:val="36071834"/>
    <w:rsid w:val="3615268B"/>
    <w:rsid w:val="362C71B5"/>
    <w:rsid w:val="363E5073"/>
    <w:rsid w:val="366531FD"/>
    <w:rsid w:val="366559E4"/>
    <w:rsid w:val="36674365"/>
    <w:rsid w:val="36807AC2"/>
    <w:rsid w:val="36862126"/>
    <w:rsid w:val="36862B8B"/>
    <w:rsid w:val="368F2A60"/>
    <w:rsid w:val="36965FCE"/>
    <w:rsid w:val="36AC2B28"/>
    <w:rsid w:val="36AF4EB1"/>
    <w:rsid w:val="36B145FE"/>
    <w:rsid w:val="36BD3E66"/>
    <w:rsid w:val="36C459FB"/>
    <w:rsid w:val="36CE073F"/>
    <w:rsid w:val="36D51124"/>
    <w:rsid w:val="36E87115"/>
    <w:rsid w:val="36F5182E"/>
    <w:rsid w:val="370160A4"/>
    <w:rsid w:val="37195C0B"/>
    <w:rsid w:val="374240D8"/>
    <w:rsid w:val="37511E8F"/>
    <w:rsid w:val="375178F7"/>
    <w:rsid w:val="375422E1"/>
    <w:rsid w:val="375A785C"/>
    <w:rsid w:val="375B33C6"/>
    <w:rsid w:val="37681A16"/>
    <w:rsid w:val="377D4E3C"/>
    <w:rsid w:val="37837F08"/>
    <w:rsid w:val="37856B99"/>
    <w:rsid w:val="37870664"/>
    <w:rsid w:val="37956DFA"/>
    <w:rsid w:val="3797437B"/>
    <w:rsid w:val="379B5B54"/>
    <w:rsid w:val="379F4F25"/>
    <w:rsid w:val="37B02C8E"/>
    <w:rsid w:val="37BD5263"/>
    <w:rsid w:val="37BDBCE1"/>
    <w:rsid w:val="37BE5BCC"/>
    <w:rsid w:val="37BF2ED1"/>
    <w:rsid w:val="37DC25AF"/>
    <w:rsid w:val="37DD2E3D"/>
    <w:rsid w:val="37E42D93"/>
    <w:rsid w:val="37E82C91"/>
    <w:rsid w:val="37F92688"/>
    <w:rsid w:val="381E7E41"/>
    <w:rsid w:val="382611A3"/>
    <w:rsid w:val="38273C4A"/>
    <w:rsid w:val="3838318A"/>
    <w:rsid w:val="384E540B"/>
    <w:rsid w:val="3855218C"/>
    <w:rsid w:val="385666B5"/>
    <w:rsid w:val="38571C47"/>
    <w:rsid w:val="38877CA4"/>
    <w:rsid w:val="389468ED"/>
    <w:rsid w:val="38993C8D"/>
    <w:rsid w:val="38B55CBD"/>
    <w:rsid w:val="38C24929"/>
    <w:rsid w:val="38C74D5D"/>
    <w:rsid w:val="38CA08B7"/>
    <w:rsid w:val="38DC2EF1"/>
    <w:rsid w:val="38E130E7"/>
    <w:rsid w:val="38F848ED"/>
    <w:rsid w:val="39003169"/>
    <w:rsid w:val="390239BE"/>
    <w:rsid w:val="39046C4D"/>
    <w:rsid w:val="390E11E4"/>
    <w:rsid w:val="393954F1"/>
    <w:rsid w:val="393E58F7"/>
    <w:rsid w:val="394E1922"/>
    <w:rsid w:val="39522A4F"/>
    <w:rsid w:val="395B4E39"/>
    <w:rsid w:val="395F1F56"/>
    <w:rsid w:val="397A49D1"/>
    <w:rsid w:val="397F1A05"/>
    <w:rsid w:val="398114C3"/>
    <w:rsid w:val="398A3F16"/>
    <w:rsid w:val="398A4385"/>
    <w:rsid w:val="398D62E7"/>
    <w:rsid w:val="39900FC9"/>
    <w:rsid w:val="399D5C12"/>
    <w:rsid w:val="399F3CA4"/>
    <w:rsid w:val="39A3590E"/>
    <w:rsid w:val="39AF31ED"/>
    <w:rsid w:val="39BE3241"/>
    <w:rsid w:val="39BE4608"/>
    <w:rsid w:val="39C26CA9"/>
    <w:rsid w:val="39F134B3"/>
    <w:rsid w:val="3A041E9E"/>
    <w:rsid w:val="3A047516"/>
    <w:rsid w:val="3A051129"/>
    <w:rsid w:val="3A0B3F2D"/>
    <w:rsid w:val="3A1F6829"/>
    <w:rsid w:val="3A26548A"/>
    <w:rsid w:val="3A287497"/>
    <w:rsid w:val="3A296D28"/>
    <w:rsid w:val="3A384A7C"/>
    <w:rsid w:val="3A3A6426"/>
    <w:rsid w:val="3A471399"/>
    <w:rsid w:val="3A485400"/>
    <w:rsid w:val="3A4B6C9E"/>
    <w:rsid w:val="3A6B7AC9"/>
    <w:rsid w:val="3A6C4ACA"/>
    <w:rsid w:val="3A6C5593"/>
    <w:rsid w:val="3A6C6A34"/>
    <w:rsid w:val="3A6F47C2"/>
    <w:rsid w:val="3A726421"/>
    <w:rsid w:val="3A895611"/>
    <w:rsid w:val="3A8F302F"/>
    <w:rsid w:val="3AA264A5"/>
    <w:rsid w:val="3AD43398"/>
    <w:rsid w:val="3ADC026A"/>
    <w:rsid w:val="3AE14933"/>
    <w:rsid w:val="3B062751"/>
    <w:rsid w:val="3B0D47DE"/>
    <w:rsid w:val="3B14556E"/>
    <w:rsid w:val="3B186A8E"/>
    <w:rsid w:val="3B253993"/>
    <w:rsid w:val="3B28000C"/>
    <w:rsid w:val="3B5249B8"/>
    <w:rsid w:val="3B5C71EE"/>
    <w:rsid w:val="3B64395D"/>
    <w:rsid w:val="3B7874EE"/>
    <w:rsid w:val="3BAD6EF5"/>
    <w:rsid w:val="3BC14FB6"/>
    <w:rsid w:val="3BD34E26"/>
    <w:rsid w:val="3BD42C9A"/>
    <w:rsid w:val="3BD5712E"/>
    <w:rsid w:val="3BD853D7"/>
    <w:rsid w:val="3BDD601C"/>
    <w:rsid w:val="3BEF68BF"/>
    <w:rsid w:val="3BF55AB2"/>
    <w:rsid w:val="3BFA01D4"/>
    <w:rsid w:val="3C0A7798"/>
    <w:rsid w:val="3C0C3F58"/>
    <w:rsid w:val="3C20177D"/>
    <w:rsid w:val="3C30439E"/>
    <w:rsid w:val="3C31796A"/>
    <w:rsid w:val="3C3F2599"/>
    <w:rsid w:val="3C553845"/>
    <w:rsid w:val="3C587E92"/>
    <w:rsid w:val="3C6C2271"/>
    <w:rsid w:val="3C747B2E"/>
    <w:rsid w:val="3C926B1E"/>
    <w:rsid w:val="3CA31CBF"/>
    <w:rsid w:val="3CA50E5E"/>
    <w:rsid w:val="3CBD40AC"/>
    <w:rsid w:val="3CBF0D95"/>
    <w:rsid w:val="3CBF53C0"/>
    <w:rsid w:val="3CC36B35"/>
    <w:rsid w:val="3CE84D04"/>
    <w:rsid w:val="3CF74DDB"/>
    <w:rsid w:val="3D093F1F"/>
    <w:rsid w:val="3D0C6484"/>
    <w:rsid w:val="3D2008B6"/>
    <w:rsid w:val="3D2D072D"/>
    <w:rsid w:val="3D38472D"/>
    <w:rsid w:val="3D4445A5"/>
    <w:rsid w:val="3D463A9A"/>
    <w:rsid w:val="3D5135A3"/>
    <w:rsid w:val="3D60664C"/>
    <w:rsid w:val="3DA407DA"/>
    <w:rsid w:val="3DCA0ECE"/>
    <w:rsid w:val="3DCC6120"/>
    <w:rsid w:val="3DD700F5"/>
    <w:rsid w:val="3DDA529F"/>
    <w:rsid w:val="3DDC7181"/>
    <w:rsid w:val="3DEE62BF"/>
    <w:rsid w:val="3DFB5797"/>
    <w:rsid w:val="3E123215"/>
    <w:rsid w:val="3E146DC6"/>
    <w:rsid w:val="3E147D6A"/>
    <w:rsid w:val="3E2A0839"/>
    <w:rsid w:val="3E412892"/>
    <w:rsid w:val="3E432AAE"/>
    <w:rsid w:val="3E565B39"/>
    <w:rsid w:val="3E5B4912"/>
    <w:rsid w:val="3E6B102B"/>
    <w:rsid w:val="3E6F7351"/>
    <w:rsid w:val="3E70175E"/>
    <w:rsid w:val="3E73608E"/>
    <w:rsid w:val="3E74386C"/>
    <w:rsid w:val="3E872BA6"/>
    <w:rsid w:val="3EA01CAF"/>
    <w:rsid w:val="3EA868C2"/>
    <w:rsid w:val="3EBF1103"/>
    <w:rsid w:val="3EDC1B47"/>
    <w:rsid w:val="3EEC0950"/>
    <w:rsid w:val="3EED62EC"/>
    <w:rsid w:val="3EFA69B7"/>
    <w:rsid w:val="3EFB138B"/>
    <w:rsid w:val="3EFF5646"/>
    <w:rsid w:val="3EFF6564"/>
    <w:rsid w:val="3F0F30F4"/>
    <w:rsid w:val="3F0F4A6B"/>
    <w:rsid w:val="3F132EDE"/>
    <w:rsid w:val="3F1C34BB"/>
    <w:rsid w:val="3F262A14"/>
    <w:rsid w:val="3F2A357E"/>
    <w:rsid w:val="3F3917B9"/>
    <w:rsid w:val="3F3B0DB0"/>
    <w:rsid w:val="3F3E1957"/>
    <w:rsid w:val="3F446F74"/>
    <w:rsid w:val="3F660D80"/>
    <w:rsid w:val="3F730DBF"/>
    <w:rsid w:val="3F7647BE"/>
    <w:rsid w:val="3F765972"/>
    <w:rsid w:val="3F7D5653"/>
    <w:rsid w:val="3F7FD2E1"/>
    <w:rsid w:val="3F887C54"/>
    <w:rsid w:val="3FB85499"/>
    <w:rsid w:val="3FBB501D"/>
    <w:rsid w:val="3FBC62ED"/>
    <w:rsid w:val="3FC1012F"/>
    <w:rsid w:val="3FD40E2F"/>
    <w:rsid w:val="400F50C7"/>
    <w:rsid w:val="40165819"/>
    <w:rsid w:val="40182F4B"/>
    <w:rsid w:val="40194644"/>
    <w:rsid w:val="402874E5"/>
    <w:rsid w:val="403368E6"/>
    <w:rsid w:val="40404565"/>
    <w:rsid w:val="40406474"/>
    <w:rsid w:val="40430B3B"/>
    <w:rsid w:val="404E1296"/>
    <w:rsid w:val="4056247D"/>
    <w:rsid w:val="405745EF"/>
    <w:rsid w:val="4058616F"/>
    <w:rsid w:val="405A7C3B"/>
    <w:rsid w:val="406C13E9"/>
    <w:rsid w:val="40773485"/>
    <w:rsid w:val="407A208B"/>
    <w:rsid w:val="408152AE"/>
    <w:rsid w:val="408B6047"/>
    <w:rsid w:val="40901E8C"/>
    <w:rsid w:val="409B4B92"/>
    <w:rsid w:val="409C08A5"/>
    <w:rsid w:val="409C64A6"/>
    <w:rsid w:val="409D4190"/>
    <w:rsid w:val="40A1586A"/>
    <w:rsid w:val="40AE3AB9"/>
    <w:rsid w:val="40AE482F"/>
    <w:rsid w:val="40B00A00"/>
    <w:rsid w:val="40C201B4"/>
    <w:rsid w:val="40C80836"/>
    <w:rsid w:val="40D11392"/>
    <w:rsid w:val="40D81185"/>
    <w:rsid w:val="40D81790"/>
    <w:rsid w:val="40E436BC"/>
    <w:rsid w:val="410451A7"/>
    <w:rsid w:val="410F42BC"/>
    <w:rsid w:val="412B7F18"/>
    <w:rsid w:val="414122F0"/>
    <w:rsid w:val="414157F3"/>
    <w:rsid w:val="41551F82"/>
    <w:rsid w:val="41555F3F"/>
    <w:rsid w:val="4156184A"/>
    <w:rsid w:val="4160525C"/>
    <w:rsid w:val="41735578"/>
    <w:rsid w:val="41764F49"/>
    <w:rsid w:val="418D7E57"/>
    <w:rsid w:val="41AC56F4"/>
    <w:rsid w:val="41AF1F3C"/>
    <w:rsid w:val="41B4616B"/>
    <w:rsid w:val="41C304DF"/>
    <w:rsid w:val="41C87E4F"/>
    <w:rsid w:val="41CE77BD"/>
    <w:rsid w:val="41CF6C2B"/>
    <w:rsid w:val="41CF7FC1"/>
    <w:rsid w:val="41DC09B4"/>
    <w:rsid w:val="41EF2605"/>
    <w:rsid w:val="41F25DF7"/>
    <w:rsid w:val="41F560D9"/>
    <w:rsid w:val="42044568"/>
    <w:rsid w:val="42057EE3"/>
    <w:rsid w:val="420A7CC6"/>
    <w:rsid w:val="42154762"/>
    <w:rsid w:val="42175FB4"/>
    <w:rsid w:val="42441D7B"/>
    <w:rsid w:val="424B2350"/>
    <w:rsid w:val="42541790"/>
    <w:rsid w:val="426D50E1"/>
    <w:rsid w:val="42870F07"/>
    <w:rsid w:val="429064A2"/>
    <w:rsid w:val="429F20A7"/>
    <w:rsid w:val="429F7893"/>
    <w:rsid w:val="42A258CA"/>
    <w:rsid w:val="42B13CAF"/>
    <w:rsid w:val="42B84ABA"/>
    <w:rsid w:val="42C1615C"/>
    <w:rsid w:val="42C43F3A"/>
    <w:rsid w:val="42C837D2"/>
    <w:rsid w:val="431E7646"/>
    <w:rsid w:val="43331167"/>
    <w:rsid w:val="43376BDC"/>
    <w:rsid w:val="43380329"/>
    <w:rsid w:val="433A5FD6"/>
    <w:rsid w:val="433B3283"/>
    <w:rsid w:val="43470D71"/>
    <w:rsid w:val="434927BA"/>
    <w:rsid w:val="437F0F91"/>
    <w:rsid w:val="43A46436"/>
    <w:rsid w:val="43BA59BD"/>
    <w:rsid w:val="43C63B0B"/>
    <w:rsid w:val="43DF729C"/>
    <w:rsid w:val="43EA39CC"/>
    <w:rsid w:val="44031929"/>
    <w:rsid w:val="44124CF1"/>
    <w:rsid w:val="44386DC7"/>
    <w:rsid w:val="444B0AB7"/>
    <w:rsid w:val="44546674"/>
    <w:rsid w:val="44676118"/>
    <w:rsid w:val="446A779D"/>
    <w:rsid w:val="446B06FF"/>
    <w:rsid w:val="44843DC2"/>
    <w:rsid w:val="448D5A66"/>
    <w:rsid w:val="44953938"/>
    <w:rsid w:val="44A410C8"/>
    <w:rsid w:val="44A616A1"/>
    <w:rsid w:val="44AA25B1"/>
    <w:rsid w:val="44B35568"/>
    <w:rsid w:val="44BE4BE2"/>
    <w:rsid w:val="44CA5540"/>
    <w:rsid w:val="44CE6E4A"/>
    <w:rsid w:val="44E26451"/>
    <w:rsid w:val="44E61C88"/>
    <w:rsid w:val="44F81AEE"/>
    <w:rsid w:val="44FA76E5"/>
    <w:rsid w:val="450A088A"/>
    <w:rsid w:val="451323E3"/>
    <w:rsid w:val="45356B84"/>
    <w:rsid w:val="454B5917"/>
    <w:rsid w:val="454D7D6F"/>
    <w:rsid w:val="455603DA"/>
    <w:rsid w:val="4562080B"/>
    <w:rsid w:val="457A48DC"/>
    <w:rsid w:val="457E2CE0"/>
    <w:rsid w:val="457F0578"/>
    <w:rsid w:val="45911C42"/>
    <w:rsid w:val="45966550"/>
    <w:rsid w:val="45A44293"/>
    <w:rsid w:val="45A71A97"/>
    <w:rsid w:val="45B11820"/>
    <w:rsid w:val="45B17333"/>
    <w:rsid w:val="45B40A62"/>
    <w:rsid w:val="45B66687"/>
    <w:rsid w:val="45BC5BBE"/>
    <w:rsid w:val="45DF7A91"/>
    <w:rsid w:val="45ED221F"/>
    <w:rsid w:val="45F17051"/>
    <w:rsid w:val="45F662B5"/>
    <w:rsid w:val="46072173"/>
    <w:rsid w:val="46112EC5"/>
    <w:rsid w:val="463A1088"/>
    <w:rsid w:val="463F4E04"/>
    <w:rsid w:val="46443B98"/>
    <w:rsid w:val="4653372D"/>
    <w:rsid w:val="465E0296"/>
    <w:rsid w:val="4660794F"/>
    <w:rsid w:val="46757F48"/>
    <w:rsid w:val="467F21AA"/>
    <w:rsid w:val="46832EC4"/>
    <w:rsid w:val="46874AF7"/>
    <w:rsid w:val="469D7C7D"/>
    <w:rsid w:val="46A2546A"/>
    <w:rsid w:val="46A626BE"/>
    <w:rsid w:val="46C358F2"/>
    <w:rsid w:val="46E84189"/>
    <w:rsid w:val="46FB1A26"/>
    <w:rsid w:val="46FB4F0D"/>
    <w:rsid w:val="47013FF5"/>
    <w:rsid w:val="470352B6"/>
    <w:rsid w:val="47174AD8"/>
    <w:rsid w:val="47194124"/>
    <w:rsid w:val="473F5D2E"/>
    <w:rsid w:val="47437DF0"/>
    <w:rsid w:val="474B1D32"/>
    <w:rsid w:val="475C24EB"/>
    <w:rsid w:val="47623D37"/>
    <w:rsid w:val="476A4880"/>
    <w:rsid w:val="476D355D"/>
    <w:rsid w:val="477B3F6E"/>
    <w:rsid w:val="477B5067"/>
    <w:rsid w:val="477F1359"/>
    <w:rsid w:val="47857C94"/>
    <w:rsid w:val="479C778F"/>
    <w:rsid w:val="479F5922"/>
    <w:rsid w:val="47A74F93"/>
    <w:rsid w:val="47B55DC2"/>
    <w:rsid w:val="47B95AE3"/>
    <w:rsid w:val="47C54635"/>
    <w:rsid w:val="47DB3B83"/>
    <w:rsid w:val="48084775"/>
    <w:rsid w:val="480D4044"/>
    <w:rsid w:val="48284AC3"/>
    <w:rsid w:val="48305B8F"/>
    <w:rsid w:val="48317C01"/>
    <w:rsid w:val="483956BD"/>
    <w:rsid w:val="484B4AC6"/>
    <w:rsid w:val="486D6CE9"/>
    <w:rsid w:val="48833616"/>
    <w:rsid w:val="488439A9"/>
    <w:rsid w:val="48924524"/>
    <w:rsid w:val="489F6228"/>
    <w:rsid w:val="48A42282"/>
    <w:rsid w:val="48F63FC2"/>
    <w:rsid w:val="49142B20"/>
    <w:rsid w:val="49261002"/>
    <w:rsid w:val="493251EE"/>
    <w:rsid w:val="49423962"/>
    <w:rsid w:val="494E1CBC"/>
    <w:rsid w:val="495A6FB4"/>
    <w:rsid w:val="495E4BAF"/>
    <w:rsid w:val="497C3DFC"/>
    <w:rsid w:val="497F7B76"/>
    <w:rsid w:val="498D1081"/>
    <w:rsid w:val="49A017E2"/>
    <w:rsid w:val="49A5127B"/>
    <w:rsid w:val="49A93BB4"/>
    <w:rsid w:val="49B434C4"/>
    <w:rsid w:val="49BB6429"/>
    <w:rsid w:val="49CA5E32"/>
    <w:rsid w:val="49F52A74"/>
    <w:rsid w:val="49FE0A9E"/>
    <w:rsid w:val="4A0A1718"/>
    <w:rsid w:val="4A0B5B9B"/>
    <w:rsid w:val="4A0B5CB6"/>
    <w:rsid w:val="4A0F2B90"/>
    <w:rsid w:val="4A175819"/>
    <w:rsid w:val="4A186210"/>
    <w:rsid w:val="4A3622A4"/>
    <w:rsid w:val="4A4200BE"/>
    <w:rsid w:val="4A595408"/>
    <w:rsid w:val="4A5D78CD"/>
    <w:rsid w:val="4A6B71F5"/>
    <w:rsid w:val="4A6D53AC"/>
    <w:rsid w:val="4A7B678A"/>
    <w:rsid w:val="4A953BED"/>
    <w:rsid w:val="4AC4127E"/>
    <w:rsid w:val="4AC665FA"/>
    <w:rsid w:val="4AD109E2"/>
    <w:rsid w:val="4AD52A4C"/>
    <w:rsid w:val="4AD85F80"/>
    <w:rsid w:val="4B176DB6"/>
    <w:rsid w:val="4B1873D3"/>
    <w:rsid w:val="4B2103FF"/>
    <w:rsid w:val="4B252B10"/>
    <w:rsid w:val="4B2736D7"/>
    <w:rsid w:val="4B301BE5"/>
    <w:rsid w:val="4B352B76"/>
    <w:rsid w:val="4B39251C"/>
    <w:rsid w:val="4B414168"/>
    <w:rsid w:val="4B460986"/>
    <w:rsid w:val="4B5B306C"/>
    <w:rsid w:val="4B663938"/>
    <w:rsid w:val="4B7342A7"/>
    <w:rsid w:val="4B8364F9"/>
    <w:rsid w:val="4B844D22"/>
    <w:rsid w:val="4BA426B2"/>
    <w:rsid w:val="4BAA3E90"/>
    <w:rsid w:val="4BBC47D7"/>
    <w:rsid w:val="4BBD5BA9"/>
    <w:rsid w:val="4BC92119"/>
    <w:rsid w:val="4BCD7E5B"/>
    <w:rsid w:val="4BDB1843"/>
    <w:rsid w:val="4BE76E9B"/>
    <w:rsid w:val="4BE853BB"/>
    <w:rsid w:val="4C0324E8"/>
    <w:rsid w:val="4C0A5BDC"/>
    <w:rsid w:val="4C1B0BC7"/>
    <w:rsid w:val="4C2A0855"/>
    <w:rsid w:val="4C4F778C"/>
    <w:rsid w:val="4C526A67"/>
    <w:rsid w:val="4C553263"/>
    <w:rsid w:val="4C5D11DF"/>
    <w:rsid w:val="4C62441C"/>
    <w:rsid w:val="4C632BA1"/>
    <w:rsid w:val="4C690F0E"/>
    <w:rsid w:val="4C6E50DF"/>
    <w:rsid w:val="4C6F2693"/>
    <w:rsid w:val="4C881FE0"/>
    <w:rsid w:val="4C89610A"/>
    <w:rsid w:val="4C924C68"/>
    <w:rsid w:val="4C947B7A"/>
    <w:rsid w:val="4CA706AC"/>
    <w:rsid w:val="4CAB1E29"/>
    <w:rsid w:val="4CCB73B3"/>
    <w:rsid w:val="4CD10495"/>
    <w:rsid w:val="4CDC1C99"/>
    <w:rsid w:val="4CDF5F6F"/>
    <w:rsid w:val="4CE94293"/>
    <w:rsid w:val="4CEA61AE"/>
    <w:rsid w:val="4D0E1AFF"/>
    <w:rsid w:val="4D2360A9"/>
    <w:rsid w:val="4D241CFD"/>
    <w:rsid w:val="4D257701"/>
    <w:rsid w:val="4D2662D4"/>
    <w:rsid w:val="4D2E492A"/>
    <w:rsid w:val="4D3A5285"/>
    <w:rsid w:val="4D3B7679"/>
    <w:rsid w:val="4D4C6CD2"/>
    <w:rsid w:val="4D4D1254"/>
    <w:rsid w:val="4D4E514B"/>
    <w:rsid w:val="4D62033D"/>
    <w:rsid w:val="4D646943"/>
    <w:rsid w:val="4D69341E"/>
    <w:rsid w:val="4D6D36A4"/>
    <w:rsid w:val="4D6F132D"/>
    <w:rsid w:val="4D76AE4D"/>
    <w:rsid w:val="4D775994"/>
    <w:rsid w:val="4D7E786E"/>
    <w:rsid w:val="4D8E5785"/>
    <w:rsid w:val="4D920DA6"/>
    <w:rsid w:val="4D9C5154"/>
    <w:rsid w:val="4DA22C22"/>
    <w:rsid w:val="4DAD1CF2"/>
    <w:rsid w:val="4DD77BB3"/>
    <w:rsid w:val="4DE00987"/>
    <w:rsid w:val="4DE17531"/>
    <w:rsid w:val="4DFE254E"/>
    <w:rsid w:val="4E0263E8"/>
    <w:rsid w:val="4E03137F"/>
    <w:rsid w:val="4E092CA1"/>
    <w:rsid w:val="4E102763"/>
    <w:rsid w:val="4E12250E"/>
    <w:rsid w:val="4E2234FC"/>
    <w:rsid w:val="4E4B776F"/>
    <w:rsid w:val="4E5505A3"/>
    <w:rsid w:val="4E573A0C"/>
    <w:rsid w:val="4E5B352D"/>
    <w:rsid w:val="4E5B6A13"/>
    <w:rsid w:val="4E6459A5"/>
    <w:rsid w:val="4E66005F"/>
    <w:rsid w:val="4E673904"/>
    <w:rsid w:val="4E6D72F7"/>
    <w:rsid w:val="4E961608"/>
    <w:rsid w:val="4EB91DBD"/>
    <w:rsid w:val="4EBB5DFE"/>
    <w:rsid w:val="4EE447E9"/>
    <w:rsid w:val="4EE500CD"/>
    <w:rsid w:val="4EE51484"/>
    <w:rsid w:val="4F0B4A9B"/>
    <w:rsid w:val="4F24050C"/>
    <w:rsid w:val="4F2C2527"/>
    <w:rsid w:val="4F2E5057"/>
    <w:rsid w:val="4F31680E"/>
    <w:rsid w:val="4F3828E8"/>
    <w:rsid w:val="4F3F3667"/>
    <w:rsid w:val="4F5276F9"/>
    <w:rsid w:val="4F551A63"/>
    <w:rsid w:val="4F604B42"/>
    <w:rsid w:val="4F645207"/>
    <w:rsid w:val="4F6B59C1"/>
    <w:rsid w:val="4F715FC6"/>
    <w:rsid w:val="4F8D1DDB"/>
    <w:rsid w:val="4F8F1FBF"/>
    <w:rsid w:val="4F9E0730"/>
    <w:rsid w:val="4F9F5E45"/>
    <w:rsid w:val="4FA13207"/>
    <w:rsid w:val="4FA84DFE"/>
    <w:rsid w:val="4FBB66C9"/>
    <w:rsid w:val="4FC47B85"/>
    <w:rsid w:val="4FCB19E7"/>
    <w:rsid w:val="4FD277EE"/>
    <w:rsid w:val="4FE15C83"/>
    <w:rsid w:val="4FE93093"/>
    <w:rsid w:val="500951DA"/>
    <w:rsid w:val="50142635"/>
    <w:rsid w:val="5015592D"/>
    <w:rsid w:val="501C315F"/>
    <w:rsid w:val="50256401"/>
    <w:rsid w:val="502C0884"/>
    <w:rsid w:val="503C0079"/>
    <w:rsid w:val="50534547"/>
    <w:rsid w:val="505B1395"/>
    <w:rsid w:val="506A7D8E"/>
    <w:rsid w:val="5076626F"/>
    <w:rsid w:val="507C325B"/>
    <w:rsid w:val="50B67F4C"/>
    <w:rsid w:val="50C20F92"/>
    <w:rsid w:val="50C406E4"/>
    <w:rsid w:val="50C86E43"/>
    <w:rsid w:val="50D1743D"/>
    <w:rsid w:val="50D542AA"/>
    <w:rsid w:val="50DE3161"/>
    <w:rsid w:val="50E05C89"/>
    <w:rsid w:val="50E347CC"/>
    <w:rsid w:val="50E579F5"/>
    <w:rsid w:val="50EF2A50"/>
    <w:rsid w:val="510F05CE"/>
    <w:rsid w:val="511E12FF"/>
    <w:rsid w:val="5157604D"/>
    <w:rsid w:val="515A3289"/>
    <w:rsid w:val="515D758B"/>
    <w:rsid w:val="51676DFF"/>
    <w:rsid w:val="51682F45"/>
    <w:rsid w:val="5178039D"/>
    <w:rsid w:val="51870AAC"/>
    <w:rsid w:val="51915487"/>
    <w:rsid w:val="51932FAD"/>
    <w:rsid w:val="51A80E8A"/>
    <w:rsid w:val="51B03B5F"/>
    <w:rsid w:val="51B46176"/>
    <w:rsid w:val="51DA4DD6"/>
    <w:rsid w:val="51E41A5B"/>
    <w:rsid w:val="51F4103D"/>
    <w:rsid w:val="52170C48"/>
    <w:rsid w:val="522C2F95"/>
    <w:rsid w:val="52412887"/>
    <w:rsid w:val="52657A5E"/>
    <w:rsid w:val="526861E8"/>
    <w:rsid w:val="526A522E"/>
    <w:rsid w:val="527C6403"/>
    <w:rsid w:val="527D0E27"/>
    <w:rsid w:val="528F264B"/>
    <w:rsid w:val="52AB0F09"/>
    <w:rsid w:val="52B95F1B"/>
    <w:rsid w:val="52E965CA"/>
    <w:rsid w:val="52F07080"/>
    <w:rsid w:val="52F932E4"/>
    <w:rsid w:val="530D2D1D"/>
    <w:rsid w:val="53174884"/>
    <w:rsid w:val="53191D2D"/>
    <w:rsid w:val="532669BF"/>
    <w:rsid w:val="532A610A"/>
    <w:rsid w:val="532C6CA9"/>
    <w:rsid w:val="532D3760"/>
    <w:rsid w:val="533627B3"/>
    <w:rsid w:val="5344231C"/>
    <w:rsid w:val="53482049"/>
    <w:rsid w:val="534B1422"/>
    <w:rsid w:val="53501784"/>
    <w:rsid w:val="53504691"/>
    <w:rsid w:val="535A2807"/>
    <w:rsid w:val="5371368E"/>
    <w:rsid w:val="539453CB"/>
    <w:rsid w:val="5398626F"/>
    <w:rsid w:val="53BD2563"/>
    <w:rsid w:val="53C83519"/>
    <w:rsid w:val="53C83B27"/>
    <w:rsid w:val="53E31850"/>
    <w:rsid w:val="53E358E6"/>
    <w:rsid w:val="53E37A74"/>
    <w:rsid w:val="53E41CC6"/>
    <w:rsid w:val="53EC4BF7"/>
    <w:rsid w:val="53F14249"/>
    <w:rsid w:val="53FE5A45"/>
    <w:rsid w:val="540006A2"/>
    <w:rsid w:val="5409241A"/>
    <w:rsid w:val="5410392E"/>
    <w:rsid w:val="54104AE0"/>
    <w:rsid w:val="541A3896"/>
    <w:rsid w:val="542E5F01"/>
    <w:rsid w:val="54307C7C"/>
    <w:rsid w:val="543311DB"/>
    <w:rsid w:val="543C4499"/>
    <w:rsid w:val="54443B93"/>
    <w:rsid w:val="54466F4E"/>
    <w:rsid w:val="544F31B6"/>
    <w:rsid w:val="54553DD5"/>
    <w:rsid w:val="545F67C6"/>
    <w:rsid w:val="54652C7D"/>
    <w:rsid w:val="548E2449"/>
    <w:rsid w:val="549223AF"/>
    <w:rsid w:val="5493595D"/>
    <w:rsid w:val="549945E6"/>
    <w:rsid w:val="54A51975"/>
    <w:rsid w:val="54B1270D"/>
    <w:rsid w:val="54C563D4"/>
    <w:rsid w:val="54D046EA"/>
    <w:rsid w:val="54D90F94"/>
    <w:rsid w:val="54DD7595"/>
    <w:rsid w:val="54ED0C26"/>
    <w:rsid w:val="54F643C7"/>
    <w:rsid w:val="54F82522"/>
    <w:rsid w:val="54FA491E"/>
    <w:rsid w:val="54FC460A"/>
    <w:rsid w:val="54FD4587"/>
    <w:rsid w:val="5501609C"/>
    <w:rsid w:val="55144E68"/>
    <w:rsid w:val="551A0DF0"/>
    <w:rsid w:val="5520724E"/>
    <w:rsid w:val="552161A3"/>
    <w:rsid w:val="55257691"/>
    <w:rsid w:val="5526343F"/>
    <w:rsid w:val="553C4B75"/>
    <w:rsid w:val="5549231F"/>
    <w:rsid w:val="554C38EC"/>
    <w:rsid w:val="555F0079"/>
    <w:rsid w:val="556E135C"/>
    <w:rsid w:val="556F3D31"/>
    <w:rsid w:val="557D13E4"/>
    <w:rsid w:val="558F6181"/>
    <w:rsid w:val="55985036"/>
    <w:rsid w:val="55997B55"/>
    <w:rsid w:val="559C6102"/>
    <w:rsid w:val="559F4374"/>
    <w:rsid w:val="55A3219F"/>
    <w:rsid w:val="55A47ABE"/>
    <w:rsid w:val="55BF1099"/>
    <w:rsid w:val="55DB70F4"/>
    <w:rsid w:val="55DC0E95"/>
    <w:rsid w:val="55E05A6D"/>
    <w:rsid w:val="55E262B1"/>
    <w:rsid w:val="55E33803"/>
    <w:rsid w:val="55E62245"/>
    <w:rsid w:val="55F14746"/>
    <w:rsid w:val="55FD3EB8"/>
    <w:rsid w:val="55FD758F"/>
    <w:rsid w:val="56060267"/>
    <w:rsid w:val="56072347"/>
    <w:rsid w:val="56114DE8"/>
    <w:rsid w:val="561C5C67"/>
    <w:rsid w:val="5624246F"/>
    <w:rsid w:val="563A60ED"/>
    <w:rsid w:val="56417A91"/>
    <w:rsid w:val="564C2FCF"/>
    <w:rsid w:val="56573BBA"/>
    <w:rsid w:val="5660229D"/>
    <w:rsid w:val="566C1BF1"/>
    <w:rsid w:val="567B6C57"/>
    <w:rsid w:val="5680580A"/>
    <w:rsid w:val="5687140B"/>
    <w:rsid w:val="56881729"/>
    <w:rsid w:val="568E6439"/>
    <w:rsid w:val="56BA4857"/>
    <w:rsid w:val="56BD31B2"/>
    <w:rsid w:val="56CE6835"/>
    <w:rsid w:val="56F35FB8"/>
    <w:rsid w:val="56F633BD"/>
    <w:rsid w:val="56FFD4A1"/>
    <w:rsid w:val="570C30CE"/>
    <w:rsid w:val="570E692B"/>
    <w:rsid w:val="57135739"/>
    <w:rsid w:val="571561ED"/>
    <w:rsid w:val="571D2E11"/>
    <w:rsid w:val="572B33D4"/>
    <w:rsid w:val="57317A5F"/>
    <w:rsid w:val="57356F9D"/>
    <w:rsid w:val="57453512"/>
    <w:rsid w:val="574D477B"/>
    <w:rsid w:val="574F2403"/>
    <w:rsid w:val="57501F13"/>
    <w:rsid w:val="5761171A"/>
    <w:rsid w:val="576378C6"/>
    <w:rsid w:val="576B5C93"/>
    <w:rsid w:val="577C0F04"/>
    <w:rsid w:val="577F432C"/>
    <w:rsid w:val="57825BF6"/>
    <w:rsid w:val="57833F8D"/>
    <w:rsid w:val="5785381A"/>
    <w:rsid w:val="57B40731"/>
    <w:rsid w:val="57BD0238"/>
    <w:rsid w:val="57CA583D"/>
    <w:rsid w:val="57F553A3"/>
    <w:rsid w:val="58005114"/>
    <w:rsid w:val="5801432C"/>
    <w:rsid w:val="58076E2A"/>
    <w:rsid w:val="580A7FCA"/>
    <w:rsid w:val="580E4305"/>
    <w:rsid w:val="582744CB"/>
    <w:rsid w:val="583472EB"/>
    <w:rsid w:val="58567A67"/>
    <w:rsid w:val="58584A76"/>
    <w:rsid w:val="585F78AA"/>
    <w:rsid w:val="58657CC1"/>
    <w:rsid w:val="587C45E8"/>
    <w:rsid w:val="58883DB7"/>
    <w:rsid w:val="588A3951"/>
    <w:rsid w:val="588C5ECE"/>
    <w:rsid w:val="58951D01"/>
    <w:rsid w:val="589917F1"/>
    <w:rsid w:val="58BA328F"/>
    <w:rsid w:val="58CB7D26"/>
    <w:rsid w:val="58CF4E95"/>
    <w:rsid w:val="58D02986"/>
    <w:rsid w:val="58DD4061"/>
    <w:rsid w:val="58F06F37"/>
    <w:rsid w:val="58F26BBE"/>
    <w:rsid w:val="58F967EE"/>
    <w:rsid w:val="59004E1D"/>
    <w:rsid w:val="590B26D8"/>
    <w:rsid w:val="59122C0C"/>
    <w:rsid w:val="593229C7"/>
    <w:rsid w:val="593474A8"/>
    <w:rsid w:val="593901D6"/>
    <w:rsid w:val="59456494"/>
    <w:rsid w:val="594F0101"/>
    <w:rsid w:val="59505C28"/>
    <w:rsid w:val="595D2642"/>
    <w:rsid w:val="59656FE0"/>
    <w:rsid w:val="596C0ADC"/>
    <w:rsid w:val="598B43C7"/>
    <w:rsid w:val="599B15D3"/>
    <w:rsid w:val="599B3347"/>
    <w:rsid w:val="59A07809"/>
    <w:rsid w:val="59B57DE8"/>
    <w:rsid w:val="59B87FA6"/>
    <w:rsid w:val="59BC2414"/>
    <w:rsid w:val="59C83A10"/>
    <w:rsid w:val="59D32AE1"/>
    <w:rsid w:val="59D92DF0"/>
    <w:rsid w:val="59E174CA"/>
    <w:rsid w:val="59E21D3F"/>
    <w:rsid w:val="59E630B3"/>
    <w:rsid w:val="59E95D8A"/>
    <w:rsid w:val="59F21769"/>
    <w:rsid w:val="59FF18E5"/>
    <w:rsid w:val="5A045182"/>
    <w:rsid w:val="5A0F4C79"/>
    <w:rsid w:val="5A111763"/>
    <w:rsid w:val="5A141C15"/>
    <w:rsid w:val="5A386AC4"/>
    <w:rsid w:val="5A3B1633"/>
    <w:rsid w:val="5A614EC3"/>
    <w:rsid w:val="5A6A4473"/>
    <w:rsid w:val="5A822C6B"/>
    <w:rsid w:val="5A822CB6"/>
    <w:rsid w:val="5A883ACC"/>
    <w:rsid w:val="5A89170D"/>
    <w:rsid w:val="5A951B44"/>
    <w:rsid w:val="5A9E4652"/>
    <w:rsid w:val="5AA34820"/>
    <w:rsid w:val="5ABA5DFE"/>
    <w:rsid w:val="5AC46702"/>
    <w:rsid w:val="5ACA752C"/>
    <w:rsid w:val="5ADB4989"/>
    <w:rsid w:val="5ADD12F1"/>
    <w:rsid w:val="5ADD678A"/>
    <w:rsid w:val="5AE52C20"/>
    <w:rsid w:val="5AFC6067"/>
    <w:rsid w:val="5AFF2821"/>
    <w:rsid w:val="5AFF3964"/>
    <w:rsid w:val="5B2722C6"/>
    <w:rsid w:val="5B3475AF"/>
    <w:rsid w:val="5B473724"/>
    <w:rsid w:val="5B5045A9"/>
    <w:rsid w:val="5B511702"/>
    <w:rsid w:val="5B584F7A"/>
    <w:rsid w:val="5B6F0A06"/>
    <w:rsid w:val="5B741FBF"/>
    <w:rsid w:val="5B981697"/>
    <w:rsid w:val="5B9B1222"/>
    <w:rsid w:val="5BA54009"/>
    <w:rsid w:val="5BA65FD3"/>
    <w:rsid w:val="5BB243EA"/>
    <w:rsid w:val="5BBB716B"/>
    <w:rsid w:val="5BC9758F"/>
    <w:rsid w:val="5BD364CA"/>
    <w:rsid w:val="5BD62312"/>
    <w:rsid w:val="5BDA4944"/>
    <w:rsid w:val="5BE734D2"/>
    <w:rsid w:val="5BEA4A79"/>
    <w:rsid w:val="5BEA61EE"/>
    <w:rsid w:val="5BF364A2"/>
    <w:rsid w:val="5BFA1EAE"/>
    <w:rsid w:val="5BFF6384"/>
    <w:rsid w:val="5C0D1933"/>
    <w:rsid w:val="5C0F1DCA"/>
    <w:rsid w:val="5C1A0858"/>
    <w:rsid w:val="5C2A26DE"/>
    <w:rsid w:val="5C2B3FA9"/>
    <w:rsid w:val="5C300706"/>
    <w:rsid w:val="5C366F03"/>
    <w:rsid w:val="5C3837BA"/>
    <w:rsid w:val="5C4C5669"/>
    <w:rsid w:val="5C4E28F2"/>
    <w:rsid w:val="5C590532"/>
    <w:rsid w:val="5C5C7650"/>
    <w:rsid w:val="5C6235A3"/>
    <w:rsid w:val="5C753B31"/>
    <w:rsid w:val="5C763BF7"/>
    <w:rsid w:val="5C7B5B76"/>
    <w:rsid w:val="5C8F33CA"/>
    <w:rsid w:val="5CA729BF"/>
    <w:rsid w:val="5CB564CD"/>
    <w:rsid w:val="5CB635D0"/>
    <w:rsid w:val="5CB64996"/>
    <w:rsid w:val="5CBB441E"/>
    <w:rsid w:val="5CC06FDD"/>
    <w:rsid w:val="5CC77769"/>
    <w:rsid w:val="5CD21947"/>
    <w:rsid w:val="5CDD4955"/>
    <w:rsid w:val="5CF45BDC"/>
    <w:rsid w:val="5CF647CF"/>
    <w:rsid w:val="5D043136"/>
    <w:rsid w:val="5D0B433F"/>
    <w:rsid w:val="5D1137F6"/>
    <w:rsid w:val="5D216076"/>
    <w:rsid w:val="5D275F5F"/>
    <w:rsid w:val="5D2B15D9"/>
    <w:rsid w:val="5D316639"/>
    <w:rsid w:val="5D3457D3"/>
    <w:rsid w:val="5D377DCB"/>
    <w:rsid w:val="5D451B0B"/>
    <w:rsid w:val="5D4A6B09"/>
    <w:rsid w:val="5D5E19FF"/>
    <w:rsid w:val="5D642DEA"/>
    <w:rsid w:val="5D663C6C"/>
    <w:rsid w:val="5D794CE4"/>
    <w:rsid w:val="5D7E7207"/>
    <w:rsid w:val="5D801225"/>
    <w:rsid w:val="5D8B15BF"/>
    <w:rsid w:val="5D8F6D1E"/>
    <w:rsid w:val="5D9C768D"/>
    <w:rsid w:val="5DA51A05"/>
    <w:rsid w:val="5DA867CA"/>
    <w:rsid w:val="5DB030C9"/>
    <w:rsid w:val="5DB36315"/>
    <w:rsid w:val="5DCC5E35"/>
    <w:rsid w:val="5DDD62DB"/>
    <w:rsid w:val="5DE24FC9"/>
    <w:rsid w:val="5DF47BDD"/>
    <w:rsid w:val="5DFF79B1"/>
    <w:rsid w:val="5E0E3444"/>
    <w:rsid w:val="5E20588D"/>
    <w:rsid w:val="5E364C03"/>
    <w:rsid w:val="5E366D66"/>
    <w:rsid w:val="5E413D47"/>
    <w:rsid w:val="5E446EBF"/>
    <w:rsid w:val="5E56038E"/>
    <w:rsid w:val="5E5A2091"/>
    <w:rsid w:val="5E5F3342"/>
    <w:rsid w:val="5E7073D8"/>
    <w:rsid w:val="5E7554D9"/>
    <w:rsid w:val="5E7B7D35"/>
    <w:rsid w:val="5E8F086F"/>
    <w:rsid w:val="5E95260C"/>
    <w:rsid w:val="5E972FFA"/>
    <w:rsid w:val="5EA234F0"/>
    <w:rsid w:val="5EAF306B"/>
    <w:rsid w:val="5EB91416"/>
    <w:rsid w:val="5ECE13BF"/>
    <w:rsid w:val="5EDB4A3D"/>
    <w:rsid w:val="5EDD61AF"/>
    <w:rsid w:val="5EE75AC7"/>
    <w:rsid w:val="5EE920F4"/>
    <w:rsid w:val="5EF4074C"/>
    <w:rsid w:val="5EFD0859"/>
    <w:rsid w:val="5F1540E6"/>
    <w:rsid w:val="5F262F0E"/>
    <w:rsid w:val="5F2B0CC9"/>
    <w:rsid w:val="5F3B3043"/>
    <w:rsid w:val="5F4A65CE"/>
    <w:rsid w:val="5F5475FA"/>
    <w:rsid w:val="5F567D9F"/>
    <w:rsid w:val="5F650A27"/>
    <w:rsid w:val="5F785718"/>
    <w:rsid w:val="5F794626"/>
    <w:rsid w:val="5F840C68"/>
    <w:rsid w:val="5F8779E8"/>
    <w:rsid w:val="5F8C3EEF"/>
    <w:rsid w:val="5FC32D89"/>
    <w:rsid w:val="5FC50612"/>
    <w:rsid w:val="5FC722E8"/>
    <w:rsid w:val="5FEA370B"/>
    <w:rsid w:val="60110153"/>
    <w:rsid w:val="60127BDB"/>
    <w:rsid w:val="601338BB"/>
    <w:rsid w:val="60150D5F"/>
    <w:rsid w:val="60161979"/>
    <w:rsid w:val="601B1A18"/>
    <w:rsid w:val="60252943"/>
    <w:rsid w:val="60386277"/>
    <w:rsid w:val="604A517F"/>
    <w:rsid w:val="6051241D"/>
    <w:rsid w:val="6051351A"/>
    <w:rsid w:val="605777C8"/>
    <w:rsid w:val="605E7FF4"/>
    <w:rsid w:val="607217A0"/>
    <w:rsid w:val="60744060"/>
    <w:rsid w:val="60AA7040"/>
    <w:rsid w:val="60B265A9"/>
    <w:rsid w:val="60B35150"/>
    <w:rsid w:val="60C90022"/>
    <w:rsid w:val="60E16138"/>
    <w:rsid w:val="60E60496"/>
    <w:rsid w:val="60E929AC"/>
    <w:rsid w:val="60EC7F1C"/>
    <w:rsid w:val="60ED424F"/>
    <w:rsid w:val="60FE7313"/>
    <w:rsid w:val="61035669"/>
    <w:rsid w:val="6104195F"/>
    <w:rsid w:val="610F5D0D"/>
    <w:rsid w:val="611066BB"/>
    <w:rsid w:val="611F54AC"/>
    <w:rsid w:val="612658E7"/>
    <w:rsid w:val="61303C96"/>
    <w:rsid w:val="61392356"/>
    <w:rsid w:val="61425A64"/>
    <w:rsid w:val="614A7CF5"/>
    <w:rsid w:val="614F01CE"/>
    <w:rsid w:val="61511ED9"/>
    <w:rsid w:val="6170523F"/>
    <w:rsid w:val="61743F0C"/>
    <w:rsid w:val="617550F8"/>
    <w:rsid w:val="61893C1F"/>
    <w:rsid w:val="61985951"/>
    <w:rsid w:val="619E79D2"/>
    <w:rsid w:val="61A134C4"/>
    <w:rsid w:val="61A4124C"/>
    <w:rsid w:val="61AB4343"/>
    <w:rsid w:val="61B55943"/>
    <w:rsid w:val="61DE554E"/>
    <w:rsid w:val="61E863CA"/>
    <w:rsid w:val="61F20BC2"/>
    <w:rsid w:val="61F47A98"/>
    <w:rsid w:val="61FC5629"/>
    <w:rsid w:val="620360F1"/>
    <w:rsid w:val="620843BC"/>
    <w:rsid w:val="622561F5"/>
    <w:rsid w:val="623065F6"/>
    <w:rsid w:val="623978A4"/>
    <w:rsid w:val="62523E11"/>
    <w:rsid w:val="62687396"/>
    <w:rsid w:val="62782DE1"/>
    <w:rsid w:val="6278463C"/>
    <w:rsid w:val="62817D43"/>
    <w:rsid w:val="62AF67D8"/>
    <w:rsid w:val="62BA0940"/>
    <w:rsid w:val="62BC7D94"/>
    <w:rsid w:val="62C1013E"/>
    <w:rsid w:val="62E0608F"/>
    <w:rsid w:val="62EE51D2"/>
    <w:rsid w:val="63061B43"/>
    <w:rsid w:val="630E3768"/>
    <w:rsid w:val="63235316"/>
    <w:rsid w:val="63380193"/>
    <w:rsid w:val="634100AB"/>
    <w:rsid w:val="63426970"/>
    <w:rsid w:val="63437437"/>
    <w:rsid w:val="63542CE7"/>
    <w:rsid w:val="63616586"/>
    <w:rsid w:val="63754AB6"/>
    <w:rsid w:val="637B2502"/>
    <w:rsid w:val="638135AD"/>
    <w:rsid w:val="639A2F45"/>
    <w:rsid w:val="639D271F"/>
    <w:rsid w:val="63A32DDF"/>
    <w:rsid w:val="63AB23D8"/>
    <w:rsid w:val="63AE1B87"/>
    <w:rsid w:val="63B34A9A"/>
    <w:rsid w:val="63C03DF0"/>
    <w:rsid w:val="63CD1750"/>
    <w:rsid w:val="63D01DBD"/>
    <w:rsid w:val="63D168CC"/>
    <w:rsid w:val="63D857E3"/>
    <w:rsid w:val="63D87BF4"/>
    <w:rsid w:val="63DF2D0A"/>
    <w:rsid w:val="63E23618"/>
    <w:rsid w:val="63E678B4"/>
    <w:rsid w:val="63EA7C71"/>
    <w:rsid w:val="63EB0C9B"/>
    <w:rsid w:val="63EB129B"/>
    <w:rsid w:val="63F02AD4"/>
    <w:rsid w:val="63F77FDF"/>
    <w:rsid w:val="640D39DE"/>
    <w:rsid w:val="6414138E"/>
    <w:rsid w:val="641A59AB"/>
    <w:rsid w:val="642F6192"/>
    <w:rsid w:val="644005A9"/>
    <w:rsid w:val="64432A21"/>
    <w:rsid w:val="645B0332"/>
    <w:rsid w:val="646507D9"/>
    <w:rsid w:val="646B37CD"/>
    <w:rsid w:val="648226C8"/>
    <w:rsid w:val="649317EA"/>
    <w:rsid w:val="64963088"/>
    <w:rsid w:val="649C6ACA"/>
    <w:rsid w:val="64AA6B34"/>
    <w:rsid w:val="64B516F2"/>
    <w:rsid w:val="64C14A81"/>
    <w:rsid w:val="64D23842"/>
    <w:rsid w:val="64E016B4"/>
    <w:rsid w:val="64E36309"/>
    <w:rsid w:val="64F53BCB"/>
    <w:rsid w:val="65355D7F"/>
    <w:rsid w:val="656D0D62"/>
    <w:rsid w:val="657472D5"/>
    <w:rsid w:val="65992C34"/>
    <w:rsid w:val="659A2704"/>
    <w:rsid w:val="659A5AE5"/>
    <w:rsid w:val="659C0330"/>
    <w:rsid w:val="65C95A3A"/>
    <w:rsid w:val="65DC39BC"/>
    <w:rsid w:val="65E13C28"/>
    <w:rsid w:val="65F00C5B"/>
    <w:rsid w:val="661F2DD4"/>
    <w:rsid w:val="662126B9"/>
    <w:rsid w:val="66247B53"/>
    <w:rsid w:val="66251A13"/>
    <w:rsid w:val="6631468C"/>
    <w:rsid w:val="66361DB9"/>
    <w:rsid w:val="664C2D08"/>
    <w:rsid w:val="664D6D4E"/>
    <w:rsid w:val="665455AE"/>
    <w:rsid w:val="66567C51"/>
    <w:rsid w:val="665F7C4A"/>
    <w:rsid w:val="66640EF9"/>
    <w:rsid w:val="66730073"/>
    <w:rsid w:val="667411A7"/>
    <w:rsid w:val="6683720B"/>
    <w:rsid w:val="668B2CBD"/>
    <w:rsid w:val="66970D48"/>
    <w:rsid w:val="66BB08C3"/>
    <w:rsid w:val="66C242EE"/>
    <w:rsid w:val="66DE2AC5"/>
    <w:rsid w:val="66F35AF0"/>
    <w:rsid w:val="66F516DF"/>
    <w:rsid w:val="67126A1B"/>
    <w:rsid w:val="67213C63"/>
    <w:rsid w:val="672F3CC3"/>
    <w:rsid w:val="673F0A07"/>
    <w:rsid w:val="674C78D2"/>
    <w:rsid w:val="67784B3D"/>
    <w:rsid w:val="677A041A"/>
    <w:rsid w:val="677A2E38"/>
    <w:rsid w:val="677B5744"/>
    <w:rsid w:val="677B7F6E"/>
    <w:rsid w:val="677F0D9A"/>
    <w:rsid w:val="67892EB2"/>
    <w:rsid w:val="679D0C3E"/>
    <w:rsid w:val="67A24EC6"/>
    <w:rsid w:val="67B30601"/>
    <w:rsid w:val="67B30D5A"/>
    <w:rsid w:val="67C021CA"/>
    <w:rsid w:val="67C92B33"/>
    <w:rsid w:val="67CC2981"/>
    <w:rsid w:val="67D512D3"/>
    <w:rsid w:val="67D73A7C"/>
    <w:rsid w:val="67FF0C5F"/>
    <w:rsid w:val="67FF8B64"/>
    <w:rsid w:val="680D7763"/>
    <w:rsid w:val="682162F1"/>
    <w:rsid w:val="682E6D63"/>
    <w:rsid w:val="684C2BD7"/>
    <w:rsid w:val="68500F50"/>
    <w:rsid w:val="68533339"/>
    <w:rsid w:val="68680898"/>
    <w:rsid w:val="68685893"/>
    <w:rsid w:val="686F00CC"/>
    <w:rsid w:val="68762BDA"/>
    <w:rsid w:val="68770F26"/>
    <w:rsid w:val="688E486E"/>
    <w:rsid w:val="68953657"/>
    <w:rsid w:val="68A94636"/>
    <w:rsid w:val="68C47A98"/>
    <w:rsid w:val="68C64D5F"/>
    <w:rsid w:val="68E73BBC"/>
    <w:rsid w:val="68E8348B"/>
    <w:rsid w:val="68FD3526"/>
    <w:rsid w:val="69020CEC"/>
    <w:rsid w:val="690D0FD5"/>
    <w:rsid w:val="692100FE"/>
    <w:rsid w:val="69350587"/>
    <w:rsid w:val="693747D7"/>
    <w:rsid w:val="693900F9"/>
    <w:rsid w:val="694E2184"/>
    <w:rsid w:val="695603C1"/>
    <w:rsid w:val="69574C91"/>
    <w:rsid w:val="69584DB0"/>
    <w:rsid w:val="695D0F42"/>
    <w:rsid w:val="69674A06"/>
    <w:rsid w:val="69690D6B"/>
    <w:rsid w:val="69692A09"/>
    <w:rsid w:val="696D3650"/>
    <w:rsid w:val="69783CF9"/>
    <w:rsid w:val="698B79BC"/>
    <w:rsid w:val="698C4311"/>
    <w:rsid w:val="698C7C1D"/>
    <w:rsid w:val="69937975"/>
    <w:rsid w:val="69B7215C"/>
    <w:rsid w:val="69D73FE1"/>
    <w:rsid w:val="69E72ABB"/>
    <w:rsid w:val="69F309C8"/>
    <w:rsid w:val="69FC5BA7"/>
    <w:rsid w:val="6A0015C5"/>
    <w:rsid w:val="6A056DA2"/>
    <w:rsid w:val="6A114ABE"/>
    <w:rsid w:val="6A1330E9"/>
    <w:rsid w:val="6A4B0118"/>
    <w:rsid w:val="6A60610D"/>
    <w:rsid w:val="6A6207B2"/>
    <w:rsid w:val="6A733103"/>
    <w:rsid w:val="6A8670F7"/>
    <w:rsid w:val="6A99268D"/>
    <w:rsid w:val="6AA162E3"/>
    <w:rsid w:val="6AA33502"/>
    <w:rsid w:val="6AA6074F"/>
    <w:rsid w:val="6AA65FF6"/>
    <w:rsid w:val="6AA8059C"/>
    <w:rsid w:val="6AAB53B4"/>
    <w:rsid w:val="6AC12A02"/>
    <w:rsid w:val="6AC41FD2"/>
    <w:rsid w:val="6AC86B84"/>
    <w:rsid w:val="6AD00976"/>
    <w:rsid w:val="6ADC7A1E"/>
    <w:rsid w:val="6AE4298E"/>
    <w:rsid w:val="6AF0599D"/>
    <w:rsid w:val="6AF35F9A"/>
    <w:rsid w:val="6AF66935"/>
    <w:rsid w:val="6B1F050D"/>
    <w:rsid w:val="6B223D01"/>
    <w:rsid w:val="6B224456"/>
    <w:rsid w:val="6B2511E9"/>
    <w:rsid w:val="6B2F4B01"/>
    <w:rsid w:val="6B3771FD"/>
    <w:rsid w:val="6B491AE3"/>
    <w:rsid w:val="6B5B3F6B"/>
    <w:rsid w:val="6B5C045C"/>
    <w:rsid w:val="6B64664A"/>
    <w:rsid w:val="6B690C1F"/>
    <w:rsid w:val="6B841E74"/>
    <w:rsid w:val="6B8600C3"/>
    <w:rsid w:val="6B862C3A"/>
    <w:rsid w:val="6B8A608B"/>
    <w:rsid w:val="6B8B2D6C"/>
    <w:rsid w:val="6B941482"/>
    <w:rsid w:val="6BB92B8F"/>
    <w:rsid w:val="6BBEAF0D"/>
    <w:rsid w:val="6BC4419C"/>
    <w:rsid w:val="6BCF0C2E"/>
    <w:rsid w:val="6BD63F74"/>
    <w:rsid w:val="6BE91E36"/>
    <w:rsid w:val="6BF23772"/>
    <w:rsid w:val="6C0001D3"/>
    <w:rsid w:val="6C05469A"/>
    <w:rsid w:val="6C0C006C"/>
    <w:rsid w:val="6C137DF3"/>
    <w:rsid w:val="6C2A02D2"/>
    <w:rsid w:val="6C3A3D49"/>
    <w:rsid w:val="6C472EBA"/>
    <w:rsid w:val="6C594B3B"/>
    <w:rsid w:val="6C676BAF"/>
    <w:rsid w:val="6C71409B"/>
    <w:rsid w:val="6C7524C4"/>
    <w:rsid w:val="6C790046"/>
    <w:rsid w:val="6C7B6DCE"/>
    <w:rsid w:val="6CA07FF2"/>
    <w:rsid w:val="6CAA6341"/>
    <w:rsid w:val="6CAC0708"/>
    <w:rsid w:val="6CB21200"/>
    <w:rsid w:val="6CB433CC"/>
    <w:rsid w:val="6CCD093A"/>
    <w:rsid w:val="6CE15B1C"/>
    <w:rsid w:val="6CE31D43"/>
    <w:rsid w:val="6CE37E0C"/>
    <w:rsid w:val="6CEA14D9"/>
    <w:rsid w:val="6CEB2BB2"/>
    <w:rsid w:val="6CF91BA2"/>
    <w:rsid w:val="6CFD7CAA"/>
    <w:rsid w:val="6D0D4A41"/>
    <w:rsid w:val="6D1234C8"/>
    <w:rsid w:val="6D153134"/>
    <w:rsid w:val="6D3011E3"/>
    <w:rsid w:val="6D3921C4"/>
    <w:rsid w:val="6D3F7E3F"/>
    <w:rsid w:val="6D472138"/>
    <w:rsid w:val="6D60154F"/>
    <w:rsid w:val="6D6E3F3E"/>
    <w:rsid w:val="6D7101EF"/>
    <w:rsid w:val="6D72327D"/>
    <w:rsid w:val="6D8575C8"/>
    <w:rsid w:val="6D8B55D6"/>
    <w:rsid w:val="6D8F3301"/>
    <w:rsid w:val="6DA43F0A"/>
    <w:rsid w:val="6DA92C65"/>
    <w:rsid w:val="6DB528F4"/>
    <w:rsid w:val="6DCC18C9"/>
    <w:rsid w:val="6DD42CD4"/>
    <w:rsid w:val="6DDA7221"/>
    <w:rsid w:val="6DDD5981"/>
    <w:rsid w:val="6DDD787C"/>
    <w:rsid w:val="6DE0582C"/>
    <w:rsid w:val="6DE1694E"/>
    <w:rsid w:val="6DE64844"/>
    <w:rsid w:val="6DFD555D"/>
    <w:rsid w:val="6E001CCB"/>
    <w:rsid w:val="6E041556"/>
    <w:rsid w:val="6E0659AC"/>
    <w:rsid w:val="6E1E4E82"/>
    <w:rsid w:val="6E253230"/>
    <w:rsid w:val="6E2A5D31"/>
    <w:rsid w:val="6E345A09"/>
    <w:rsid w:val="6E54021C"/>
    <w:rsid w:val="6E57552D"/>
    <w:rsid w:val="6E587601"/>
    <w:rsid w:val="6E870278"/>
    <w:rsid w:val="6E900803"/>
    <w:rsid w:val="6E980103"/>
    <w:rsid w:val="6E9879FD"/>
    <w:rsid w:val="6EA436DE"/>
    <w:rsid w:val="6EB65CFC"/>
    <w:rsid w:val="6EC85C7C"/>
    <w:rsid w:val="6ECE01AD"/>
    <w:rsid w:val="6ED352DA"/>
    <w:rsid w:val="6ED77105"/>
    <w:rsid w:val="6EED5F9B"/>
    <w:rsid w:val="6EF929BB"/>
    <w:rsid w:val="6EFA06B8"/>
    <w:rsid w:val="6EFC1D3A"/>
    <w:rsid w:val="6F1333D9"/>
    <w:rsid w:val="6F1B0514"/>
    <w:rsid w:val="6F1D7A2C"/>
    <w:rsid w:val="6F2F0361"/>
    <w:rsid w:val="6F3C65DA"/>
    <w:rsid w:val="6F4B556B"/>
    <w:rsid w:val="6F521DA8"/>
    <w:rsid w:val="6F56268D"/>
    <w:rsid w:val="6F5738DB"/>
    <w:rsid w:val="6F7524D3"/>
    <w:rsid w:val="6F7A3AB1"/>
    <w:rsid w:val="6F7E0E20"/>
    <w:rsid w:val="6F8B5EDC"/>
    <w:rsid w:val="6F933826"/>
    <w:rsid w:val="6FA348AB"/>
    <w:rsid w:val="6FA44B57"/>
    <w:rsid w:val="6FAD7B35"/>
    <w:rsid w:val="6FB2669E"/>
    <w:rsid w:val="6FBD68AC"/>
    <w:rsid w:val="6FD54DBD"/>
    <w:rsid w:val="6FDE149A"/>
    <w:rsid w:val="6FEC6252"/>
    <w:rsid w:val="6FF12EB6"/>
    <w:rsid w:val="6FF473E6"/>
    <w:rsid w:val="6FFB6E51"/>
    <w:rsid w:val="6FFE5E10"/>
    <w:rsid w:val="70011C6F"/>
    <w:rsid w:val="70133FED"/>
    <w:rsid w:val="70150DEC"/>
    <w:rsid w:val="702F03DE"/>
    <w:rsid w:val="703629B8"/>
    <w:rsid w:val="704E3157"/>
    <w:rsid w:val="7067653C"/>
    <w:rsid w:val="706C6E5E"/>
    <w:rsid w:val="70817FDC"/>
    <w:rsid w:val="708F6D10"/>
    <w:rsid w:val="70A94752"/>
    <w:rsid w:val="70C24848"/>
    <w:rsid w:val="70CD1EA1"/>
    <w:rsid w:val="70D16D5B"/>
    <w:rsid w:val="70E65F31"/>
    <w:rsid w:val="70EA4D0B"/>
    <w:rsid w:val="70F3310B"/>
    <w:rsid w:val="70F529D8"/>
    <w:rsid w:val="70FD1E74"/>
    <w:rsid w:val="7103039C"/>
    <w:rsid w:val="71094EE1"/>
    <w:rsid w:val="71234381"/>
    <w:rsid w:val="712D6B22"/>
    <w:rsid w:val="71324139"/>
    <w:rsid w:val="714E07E0"/>
    <w:rsid w:val="71535F0A"/>
    <w:rsid w:val="71566C84"/>
    <w:rsid w:val="7176589D"/>
    <w:rsid w:val="71890F4E"/>
    <w:rsid w:val="719E2D77"/>
    <w:rsid w:val="71AD269A"/>
    <w:rsid w:val="71B1003D"/>
    <w:rsid w:val="71B26D02"/>
    <w:rsid w:val="71B87331"/>
    <w:rsid w:val="71DB25B0"/>
    <w:rsid w:val="71DD262A"/>
    <w:rsid w:val="71E56C44"/>
    <w:rsid w:val="720D7234"/>
    <w:rsid w:val="720F76A2"/>
    <w:rsid w:val="72150491"/>
    <w:rsid w:val="721533B7"/>
    <w:rsid w:val="722270B4"/>
    <w:rsid w:val="72442376"/>
    <w:rsid w:val="72745768"/>
    <w:rsid w:val="727A5D97"/>
    <w:rsid w:val="727C7059"/>
    <w:rsid w:val="729130E1"/>
    <w:rsid w:val="72927344"/>
    <w:rsid w:val="7295156C"/>
    <w:rsid w:val="729D2580"/>
    <w:rsid w:val="72A67B87"/>
    <w:rsid w:val="72B4208D"/>
    <w:rsid w:val="72BD2528"/>
    <w:rsid w:val="72BD74AB"/>
    <w:rsid w:val="72CC2F73"/>
    <w:rsid w:val="72D045AE"/>
    <w:rsid w:val="72D30170"/>
    <w:rsid w:val="72DE56EC"/>
    <w:rsid w:val="731D1288"/>
    <w:rsid w:val="73263829"/>
    <w:rsid w:val="7342148F"/>
    <w:rsid w:val="734B09AB"/>
    <w:rsid w:val="735569E4"/>
    <w:rsid w:val="735D6F92"/>
    <w:rsid w:val="736F5970"/>
    <w:rsid w:val="737D29E8"/>
    <w:rsid w:val="73835463"/>
    <w:rsid w:val="738E752A"/>
    <w:rsid w:val="73A20B1D"/>
    <w:rsid w:val="73AD5DF1"/>
    <w:rsid w:val="73B330F9"/>
    <w:rsid w:val="73C23B2B"/>
    <w:rsid w:val="73C44CED"/>
    <w:rsid w:val="73D0510F"/>
    <w:rsid w:val="73ED31EC"/>
    <w:rsid w:val="73EF0526"/>
    <w:rsid w:val="740D2F81"/>
    <w:rsid w:val="740F42BD"/>
    <w:rsid w:val="74314888"/>
    <w:rsid w:val="7458018C"/>
    <w:rsid w:val="745B1793"/>
    <w:rsid w:val="7461241C"/>
    <w:rsid w:val="746820E1"/>
    <w:rsid w:val="747431F1"/>
    <w:rsid w:val="7475083E"/>
    <w:rsid w:val="74794E04"/>
    <w:rsid w:val="7497700C"/>
    <w:rsid w:val="749E606B"/>
    <w:rsid w:val="74A108C3"/>
    <w:rsid w:val="74A51618"/>
    <w:rsid w:val="74A761E5"/>
    <w:rsid w:val="74B84955"/>
    <w:rsid w:val="74C039E8"/>
    <w:rsid w:val="74D82307"/>
    <w:rsid w:val="74DD2099"/>
    <w:rsid w:val="74EB19F9"/>
    <w:rsid w:val="74FA3218"/>
    <w:rsid w:val="75014144"/>
    <w:rsid w:val="750712FE"/>
    <w:rsid w:val="75086702"/>
    <w:rsid w:val="75137C89"/>
    <w:rsid w:val="753078C7"/>
    <w:rsid w:val="753164B5"/>
    <w:rsid w:val="7537210A"/>
    <w:rsid w:val="753D0242"/>
    <w:rsid w:val="75405EF4"/>
    <w:rsid w:val="75461F61"/>
    <w:rsid w:val="754C1E4D"/>
    <w:rsid w:val="75591E6C"/>
    <w:rsid w:val="755F74C6"/>
    <w:rsid w:val="75653843"/>
    <w:rsid w:val="75666F53"/>
    <w:rsid w:val="756A393F"/>
    <w:rsid w:val="756D6C3E"/>
    <w:rsid w:val="757836DE"/>
    <w:rsid w:val="758E6C35"/>
    <w:rsid w:val="759A2644"/>
    <w:rsid w:val="75A53176"/>
    <w:rsid w:val="75B3143C"/>
    <w:rsid w:val="75DA6B3A"/>
    <w:rsid w:val="75DE663D"/>
    <w:rsid w:val="76050685"/>
    <w:rsid w:val="761D147A"/>
    <w:rsid w:val="76487F5B"/>
    <w:rsid w:val="764C7A4B"/>
    <w:rsid w:val="765650F3"/>
    <w:rsid w:val="765661D4"/>
    <w:rsid w:val="765B3C33"/>
    <w:rsid w:val="76633D26"/>
    <w:rsid w:val="76793527"/>
    <w:rsid w:val="768A50AF"/>
    <w:rsid w:val="768E761F"/>
    <w:rsid w:val="76967DBD"/>
    <w:rsid w:val="76992BAC"/>
    <w:rsid w:val="769F7459"/>
    <w:rsid w:val="76A95843"/>
    <w:rsid w:val="76B50711"/>
    <w:rsid w:val="76B70072"/>
    <w:rsid w:val="76C01B52"/>
    <w:rsid w:val="76C94F71"/>
    <w:rsid w:val="76DE322C"/>
    <w:rsid w:val="76EA5F76"/>
    <w:rsid w:val="76F118C6"/>
    <w:rsid w:val="77040325"/>
    <w:rsid w:val="77040389"/>
    <w:rsid w:val="77106BD5"/>
    <w:rsid w:val="7714385F"/>
    <w:rsid w:val="771845F1"/>
    <w:rsid w:val="77204693"/>
    <w:rsid w:val="7730377C"/>
    <w:rsid w:val="77335A41"/>
    <w:rsid w:val="77336CB1"/>
    <w:rsid w:val="773B0311"/>
    <w:rsid w:val="77471FC0"/>
    <w:rsid w:val="77516E88"/>
    <w:rsid w:val="77527177"/>
    <w:rsid w:val="77545751"/>
    <w:rsid w:val="776246DD"/>
    <w:rsid w:val="776430D3"/>
    <w:rsid w:val="776B5480"/>
    <w:rsid w:val="776E7C54"/>
    <w:rsid w:val="77756FCF"/>
    <w:rsid w:val="777C4360"/>
    <w:rsid w:val="77886598"/>
    <w:rsid w:val="779237CF"/>
    <w:rsid w:val="779248CF"/>
    <w:rsid w:val="77A40805"/>
    <w:rsid w:val="77A63824"/>
    <w:rsid w:val="77AF17F8"/>
    <w:rsid w:val="77B42334"/>
    <w:rsid w:val="77BC0420"/>
    <w:rsid w:val="77BF37F2"/>
    <w:rsid w:val="77CB0341"/>
    <w:rsid w:val="77CB2A11"/>
    <w:rsid w:val="77D80280"/>
    <w:rsid w:val="77DD2CDB"/>
    <w:rsid w:val="77DE2925"/>
    <w:rsid w:val="77ED781B"/>
    <w:rsid w:val="77F379D0"/>
    <w:rsid w:val="77FC3263"/>
    <w:rsid w:val="78054D4B"/>
    <w:rsid w:val="78076869"/>
    <w:rsid w:val="780E632E"/>
    <w:rsid w:val="78234AAC"/>
    <w:rsid w:val="782F3180"/>
    <w:rsid w:val="78551A1C"/>
    <w:rsid w:val="7856575F"/>
    <w:rsid w:val="786156A0"/>
    <w:rsid w:val="7869772C"/>
    <w:rsid w:val="787827BA"/>
    <w:rsid w:val="78AE246B"/>
    <w:rsid w:val="78BE072F"/>
    <w:rsid w:val="78BF34D3"/>
    <w:rsid w:val="78C40B07"/>
    <w:rsid w:val="79013F9E"/>
    <w:rsid w:val="79053EE1"/>
    <w:rsid w:val="790B7C0D"/>
    <w:rsid w:val="79117683"/>
    <w:rsid w:val="7915055D"/>
    <w:rsid w:val="794D0488"/>
    <w:rsid w:val="79516F21"/>
    <w:rsid w:val="7956040C"/>
    <w:rsid w:val="795D45C7"/>
    <w:rsid w:val="79882989"/>
    <w:rsid w:val="798E1D1D"/>
    <w:rsid w:val="799B1284"/>
    <w:rsid w:val="79AF131A"/>
    <w:rsid w:val="79B74D98"/>
    <w:rsid w:val="79BF008C"/>
    <w:rsid w:val="79DB07EA"/>
    <w:rsid w:val="79F46118"/>
    <w:rsid w:val="79F8AD8E"/>
    <w:rsid w:val="79FE72AE"/>
    <w:rsid w:val="7A0A5C53"/>
    <w:rsid w:val="7A385FB5"/>
    <w:rsid w:val="7A634B02"/>
    <w:rsid w:val="7A8A7BB0"/>
    <w:rsid w:val="7A8EDC86"/>
    <w:rsid w:val="7A9279C8"/>
    <w:rsid w:val="7A934189"/>
    <w:rsid w:val="7A980376"/>
    <w:rsid w:val="7A992B33"/>
    <w:rsid w:val="7A9B1DC0"/>
    <w:rsid w:val="7AA91468"/>
    <w:rsid w:val="7AAA55F3"/>
    <w:rsid w:val="7AB7745D"/>
    <w:rsid w:val="7ABD6E12"/>
    <w:rsid w:val="7ABE01A3"/>
    <w:rsid w:val="7AC31950"/>
    <w:rsid w:val="7ACA56C9"/>
    <w:rsid w:val="7ACE6CE4"/>
    <w:rsid w:val="7AF145FC"/>
    <w:rsid w:val="7AF719DB"/>
    <w:rsid w:val="7B0E669F"/>
    <w:rsid w:val="7B1A7811"/>
    <w:rsid w:val="7B1C45FD"/>
    <w:rsid w:val="7B302ED7"/>
    <w:rsid w:val="7B304A74"/>
    <w:rsid w:val="7B3D3E06"/>
    <w:rsid w:val="7B4B2CA9"/>
    <w:rsid w:val="7B5F17E9"/>
    <w:rsid w:val="7B74F02E"/>
    <w:rsid w:val="7B840910"/>
    <w:rsid w:val="7B913AEA"/>
    <w:rsid w:val="7B95779E"/>
    <w:rsid w:val="7BBF481B"/>
    <w:rsid w:val="7BC77A59"/>
    <w:rsid w:val="7BE05AFD"/>
    <w:rsid w:val="7BE74879"/>
    <w:rsid w:val="7BF30969"/>
    <w:rsid w:val="7BF658F4"/>
    <w:rsid w:val="7C0B7C42"/>
    <w:rsid w:val="7C121D64"/>
    <w:rsid w:val="7C1558B6"/>
    <w:rsid w:val="7C294018"/>
    <w:rsid w:val="7C2D37DB"/>
    <w:rsid w:val="7C3920FC"/>
    <w:rsid w:val="7C400DC2"/>
    <w:rsid w:val="7C4B7CC8"/>
    <w:rsid w:val="7C65738C"/>
    <w:rsid w:val="7C6C0C4F"/>
    <w:rsid w:val="7CAD6D69"/>
    <w:rsid w:val="7CB3005B"/>
    <w:rsid w:val="7CC252DC"/>
    <w:rsid w:val="7CF871E2"/>
    <w:rsid w:val="7CFA491C"/>
    <w:rsid w:val="7CFB0594"/>
    <w:rsid w:val="7D0413E5"/>
    <w:rsid w:val="7D052883"/>
    <w:rsid w:val="7D080444"/>
    <w:rsid w:val="7D0E6933"/>
    <w:rsid w:val="7D0F3580"/>
    <w:rsid w:val="7D1E73C7"/>
    <w:rsid w:val="7D1F5041"/>
    <w:rsid w:val="7D254B52"/>
    <w:rsid w:val="7D276975"/>
    <w:rsid w:val="7D3C048A"/>
    <w:rsid w:val="7D650C4A"/>
    <w:rsid w:val="7D727A60"/>
    <w:rsid w:val="7D9615AC"/>
    <w:rsid w:val="7DA37F52"/>
    <w:rsid w:val="7DC72148"/>
    <w:rsid w:val="7DC9A4E1"/>
    <w:rsid w:val="7DCA0002"/>
    <w:rsid w:val="7DCA350D"/>
    <w:rsid w:val="7DCA6913"/>
    <w:rsid w:val="7DCE03A6"/>
    <w:rsid w:val="7DD000A3"/>
    <w:rsid w:val="7DD7598F"/>
    <w:rsid w:val="7DF95AC7"/>
    <w:rsid w:val="7DFA5FDE"/>
    <w:rsid w:val="7E024E93"/>
    <w:rsid w:val="7E17093E"/>
    <w:rsid w:val="7E1F0343"/>
    <w:rsid w:val="7E1F289D"/>
    <w:rsid w:val="7E244E09"/>
    <w:rsid w:val="7E296D49"/>
    <w:rsid w:val="7E322BF0"/>
    <w:rsid w:val="7E3D55AC"/>
    <w:rsid w:val="7E414101"/>
    <w:rsid w:val="7E507730"/>
    <w:rsid w:val="7E5A6722"/>
    <w:rsid w:val="7E6025CA"/>
    <w:rsid w:val="7E7FDD25"/>
    <w:rsid w:val="7E851D4C"/>
    <w:rsid w:val="7E8719CA"/>
    <w:rsid w:val="7E8A42B4"/>
    <w:rsid w:val="7E9F45EB"/>
    <w:rsid w:val="7EAB1087"/>
    <w:rsid w:val="7ECB2067"/>
    <w:rsid w:val="7ED312A7"/>
    <w:rsid w:val="7EDA0145"/>
    <w:rsid w:val="7EDC3936"/>
    <w:rsid w:val="7EEF469E"/>
    <w:rsid w:val="7EF016CC"/>
    <w:rsid w:val="7F080287"/>
    <w:rsid w:val="7F0D5C54"/>
    <w:rsid w:val="7F0E644A"/>
    <w:rsid w:val="7F126400"/>
    <w:rsid w:val="7F14234B"/>
    <w:rsid w:val="7F2922B9"/>
    <w:rsid w:val="7F3A03DA"/>
    <w:rsid w:val="7F3F5381"/>
    <w:rsid w:val="7F4D4962"/>
    <w:rsid w:val="7F4F2A7D"/>
    <w:rsid w:val="7F660E38"/>
    <w:rsid w:val="7F6E2ADE"/>
    <w:rsid w:val="7F6F0306"/>
    <w:rsid w:val="7F70652D"/>
    <w:rsid w:val="7F7ED6A3"/>
    <w:rsid w:val="7F887292"/>
    <w:rsid w:val="7F894774"/>
    <w:rsid w:val="7F8B66A8"/>
    <w:rsid w:val="7F912B25"/>
    <w:rsid w:val="7F934B69"/>
    <w:rsid w:val="7FA3626C"/>
    <w:rsid w:val="7FAC1D15"/>
    <w:rsid w:val="7FAF335E"/>
    <w:rsid w:val="7FB15DDC"/>
    <w:rsid w:val="7FBA4D31"/>
    <w:rsid w:val="7FC570A6"/>
    <w:rsid w:val="7FC67B8E"/>
    <w:rsid w:val="7FCD25AE"/>
    <w:rsid w:val="7FD50102"/>
    <w:rsid w:val="7FD67A6A"/>
    <w:rsid w:val="7FDC07EC"/>
    <w:rsid w:val="7FE51165"/>
    <w:rsid w:val="7FED7D83"/>
    <w:rsid w:val="A1B5417D"/>
    <w:rsid w:val="A75759BD"/>
    <w:rsid w:val="BBDBC45D"/>
    <w:rsid w:val="E67ED451"/>
    <w:rsid w:val="EFF72FDD"/>
    <w:rsid w:val="FBFF553D"/>
    <w:rsid w:val="FEEBF544"/>
    <w:rsid w:val="FEFF74B1"/>
    <w:rsid w:val="FFA9F8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semiHidden="0" w:name="heading 5"/>
    <w:lsdException w:qFormat="1" w:uiPriority="0" w:name="heading 6"/>
    <w:lsdException w:qFormat="1" w:uiPriority="0" w:name="heading 7"/>
    <w:lsdException w:qFormat="1" w:uiPriority="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5"/>
    <w:autoRedefine/>
    <w:qFormat/>
    <w:uiPriority w:val="0"/>
    <w:pPr>
      <w:keepNext/>
      <w:keepLines/>
      <w:spacing w:before="340" w:after="330" w:line="576" w:lineRule="auto"/>
      <w:outlineLvl w:val="0"/>
    </w:pPr>
    <w:rPr>
      <w:b/>
      <w:bCs/>
      <w:kern w:val="44"/>
      <w:sz w:val="44"/>
      <w:szCs w:val="44"/>
    </w:rPr>
  </w:style>
  <w:style w:type="paragraph" w:styleId="3">
    <w:name w:val="heading 2"/>
    <w:basedOn w:val="1"/>
    <w:next w:val="1"/>
    <w:link w:val="59"/>
    <w:autoRedefine/>
    <w:qFormat/>
    <w:uiPriority w:val="0"/>
    <w:pPr>
      <w:keepNext/>
      <w:keepLines/>
      <w:spacing w:before="260" w:after="260" w:line="415" w:lineRule="auto"/>
      <w:outlineLvl w:val="1"/>
    </w:pPr>
    <w:rPr>
      <w:rFonts w:ascii="Arial" w:hAnsi="Arial" w:eastAsia="黑体"/>
      <w:b/>
      <w:bCs/>
      <w:sz w:val="32"/>
      <w:szCs w:val="32"/>
    </w:rPr>
  </w:style>
  <w:style w:type="paragraph" w:styleId="4">
    <w:name w:val="heading 3"/>
    <w:basedOn w:val="1"/>
    <w:next w:val="1"/>
    <w:autoRedefine/>
    <w:qFormat/>
    <w:uiPriority w:val="0"/>
    <w:pPr>
      <w:keepNext/>
      <w:keepLines/>
      <w:spacing w:before="260" w:after="260" w:line="415" w:lineRule="auto"/>
      <w:outlineLvl w:val="2"/>
    </w:pPr>
    <w:rPr>
      <w:b/>
      <w:bCs/>
      <w:sz w:val="32"/>
      <w:szCs w:val="32"/>
    </w:rPr>
  </w:style>
  <w:style w:type="paragraph" w:styleId="5">
    <w:name w:val="heading 4"/>
    <w:basedOn w:val="1"/>
    <w:next w:val="1"/>
    <w:link w:val="60"/>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basedOn w:val="1"/>
    <w:next w:val="1"/>
    <w:unhideWhenUsed/>
    <w:qFormat/>
    <w:uiPriority w:val="0"/>
    <w:pPr>
      <w:keepNext/>
      <w:keepLines/>
      <w:numPr>
        <w:ilvl w:val="4"/>
        <w:numId w:val="1"/>
      </w:numPr>
      <w:spacing w:before="120" w:after="120" w:line="372" w:lineRule="auto"/>
      <w:ind w:left="1008" w:hanging="1008" w:firstLineChars="0"/>
      <w:outlineLvl w:val="4"/>
    </w:pPr>
    <w:rPr>
      <w:b/>
      <w:sz w:val="28"/>
    </w:rPr>
  </w:style>
  <w:style w:type="paragraph" w:styleId="7">
    <w:name w:val="heading 9"/>
    <w:basedOn w:val="1"/>
    <w:next w:val="1"/>
    <w:autoRedefine/>
    <w:qFormat/>
    <w:uiPriority w:val="0"/>
    <w:pPr>
      <w:keepNext/>
      <w:keepLines/>
      <w:spacing w:before="240" w:after="64" w:line="320" w:lineRule="auto"/>
      <w:outlineLvl w:val="8"/>
    </w:pPr>
    <w:rPr>
      <w:rFonts w:ascii="Arial" w:hAnsi="Arial" w:eastAsia="黑体"/>
      <w:szCs w:val="21"/>
    </w:rPr>
  </w:style>
  <w:style w:type="character" w:default="1" w:styleId="36">
    <w:name w:val="Default Paragraph Font"/>
    <w:autoRedefine/>
    <w:unhideWhenUsed/>
    <w:qFormat/>
    <w:uiPriority w:val="1"/>
  </w:style>
  <w:style w:type="table" w:default="1" w:styleId="34">
    <w:name w:val="Normal Table"/>
    <w:autoRedefine/>
    <w:semiHidden/>
    <w:unhideWhenUsed/>
    <w:qFormat/>
    <w:uiPriority w:val="99"/>
    <w:tblPr>
      <w:tblCellMar>
        <w:top w:w="0" w:type="dxa"/>
        <w:left w:w="108" w:type="dxa"/>
        <w:bottom w:w="0" w:type="dxa"/>
        <w:right w:w="108" w:type="dxa"/>
      </w:tblCellMar>
    </w:tblPr>
  </w:style>
  <w:style w:type="paragraph" w:styleId="8">
    <w:name w:val="toc 7"/>
    <w:basedOn w:val="1"/>
    <w:next w:val="1"/>
    <w:autoRedefine/>
    <w:semiHidden/>
    <w:qFormat/>
    <w:uiPriority w:val="0"/>
    <w:pPr>
      <w:ind w:left="1260"/>
      <w:jc w:val="left"/>
    </w:pPr>
    <w:rPr>
      <w:sz w:val="18"/>
      <w:szCs w:val="18"/>
    </w:rPr>
  </w:style>
  <w:style w:type="paragraph" w:styleId="9">
    <w:name w:val="Normal Indent"/>
    <w:basedOn w:val="1"/>
    <w:autoRedefine/>
    <w:qFormat/>
    <w:uiPriority w:val="0"/>
    <w:pPr>
      <w:ind w:firstLine="420"/>
    </w:pPr>
    <w:rPr>
      <w:szCs w:val="20"/>
    </w:rPr>
  </w:style>
  <w:style w:type="paragraph" w:styleId="10">
    <w:name w:val="annotation text"/>
    <w:basedOn w:val="1"/>
    <w:link w:val="47"/>
    <w:autoRedefine/>
    <w:semiHidden/>
    <w:qFormat/>
    <w:uiPriority w:val="0"/>
    <w:pPr>
      <w:jc w:val="left"/>
    </w:pPr>
  </w:style>
  <w:style w:type="paragraph" w:styleId="11">
    <w:name w:val="Body Text 3"/>
    <w:basedOn w:val="1"/>
    <w:autoRedefine/>
    <w:qFormat/>
    <w:uiPriority w:val="0"/>
    <w:rPr>
      <w:rFonts w:ascii="宋体"/>
      <w:sz w:val="24"/>
      <w:szCs w:val="20"/>
    </w:rPr>
  </w:style>
  <w:style w:type="paragraph" w:styleId="12">
    <w:name w:val="Body Text"/>
    <w:basedOn w:val="1"/>
    <w:link w:val="48"/>
    <w:autoRedefine/>
    <w:qFormat/>
    <w:uiPriority w:val="0"/>
    <w:pPr>
      <w:spacing w:after="120"/>
    </w:pPr>
  </w:style>
  <w:style w:type="paragraph" w:styleId="13">
    <w:name w:val="Body Text Indent"/>
    <w:basedOn w:val="1"/>
    <w:next w:val="12"/>
    <w:autoRedefine/>
    <w:unhideWhenUsed/>
    <w:qFormat/>
    <w:uiPriority w:val="99"/>
    <w:pPr>
      <w:spacing w:after="120"/>
      <w:ind w:left="420" w:leftChars="200"/>
    </w:pPr>
    <w:rPr>
      <w:kern w:val="0"/>
      <w:sz w:val="20"/>
    </w:rPr>
  </w:style>
  <w:style w:type="paragraph" w:styleId="14">
    <w:name w:val="toc 5"/>
    <w:basedOn w:val="1"/>
    <w:next w:val="1"/>
    <w:autoRedefine/>
    <w:semiHidden/>
    <w:qFormat/>
    <w:uiPriority w:val="0"/>
    <w:pPr>
      <w:ind w:left="840"/>
      <w:jc w:val="left"/>
    </w:pPr>
    <w:rPr>
      <w:sz w:val="18"/>
      <w:szCs w:val="18"/>
    </w:rPr>
  </w:style>
  <w:style w:type="paragraph" w:styleId="15">
    <w:name w:val="toc 3"/>
    <w:basedOn w:val="1"/>
    <w:next w:val="1"/>
    <w:autoRedefine/>
    <w:qFormat/>
    <w:uiPriority w:val="0"/>
    <w:pPr>
      <w:ind w:left="420"/>
      <w:jc w:val="left"/>
    </w:pPr>
    <w:rPr>
      <w:i/>
      <w:iCs/>
      <w:sz w:val="20"/>
      <w:szCs w:val="20"/>
    </w:rPr>
  </w:style>
  <w:style w:type="paragraph" w:styleId="16">
    <w:name w:val="Plain Text"/>
    <w:basedOn w:val="1"/>
    <w:autoRedefine/>
    <w:qFormat/>
    <w:uiPriority w:val="0"/>
    <w:rPr>
      <w:rFonts w:ascii="Courier New" w:hAnsi="Courier New"/>
      <w:szCs w:val="20"/>
    </w:rPr>
  </w:style>
  <w:style w:type="paragraph" w:styleId="17">
    <w:name w:val="toc 8"/>
    <w:basedOn w:val="1"/>
    <w:next w:val="1"/>
    <w:autoRedefine/>
    <w:semiHidden/>
    <w:qFormat/>
    <w:uiPriority w:val="0"/>
    <w:pPr>
      <w:ind w:left="1470"/>
      <w:jc w:val="left"/>
    </w:pPr>
    <w:rPr>
      <w:sz w:val="18"/>
      <w:szCs w:val="18"/>
    </w:rPr>
  </w:style>
  <w:style w:type="paragraph" w:styleId="18">
    <w:name w:val="Date"/>
    <w:basedOn w:val="1"/>
    <w:next w:val="1"/>
    <w:autoRedefine/>
    <w:qFormat/>
    <w:uiPriority w:val="0"/>
    <w:pPr>
      <w:ind w:left="100" w:leftChars="2500"/>
    </w:pPr>
  </w:style>
  <w:style w:type="paragraph" w:styleId="19">
    <w:name w:val="Balloon Text"/>
    <w:basedOn w:val="1"/>
    <w:autoRedefine/>
    <w:semiHidden/>
    <w:qFormat/>
    <w:uiPriority w:val="0"/>
    <w:rPr>
      <w:sz w:val="18"/>
      <w:szCs w:val="18"/>
    </w:rPr>
  </w:style>
  <w:style w:type="paragraph" w:styleId="20">
    <w:name w:val="footer"/>
    <w:basedOn w:val="1"/>
    <w:link w:val="57"/>
    <w:autoRedefine/>
    <w:qFormat/>
    <w:uiPriority w:val="99"/>
    <w:pPr>
      <w:tabs>
        <w:tab w:val="center" w:pos="4153"/>
        <w:tab w:val="right" w:pos="8306"/>
      </w:tabs>
      <w:snapToGrid w:val="0"/>
      <w:jc w:val="left"/>
    </w:pPr>
    <w:rPr>
      <w:sz w:val="18"/>
      <w:szCs w:val="18"/>
    </w:rPr>
  </w:style>
  <w:style w:type="paragraph" w:styleId="21">
    <w:name w:val="envelope return"/>
    <w:basedOn w:val="1"/>
    <w:autoRedefine/>
    <w:qFormat/>
    <w:uiPriority w:val="0"/>
    <w:pPr>
      <w:snapToGrid w:val="0"/>
    </w:pPr>
    <w:rPr>
      <w:rFonts w:ascii="Arial" w:hAnsi="Arial"/>
    </w:rPr>
  </w:style>
  <w:style w:type="paragraph" w:styleId="22">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23">
    <w:name w:val="toc 1"/>
    <w:basedOn w:val="1"/>
    <w:next w:val="1"/>
    <w:autoRedefine/>
    <w:qFormat/>
    <w:uiPriority w:val="0"/>
    <w:pPr>
      <w:spacing w:before="120" w:after="120"/>
      <w:jc w:val="left"/>
    </w:pPr>
    <w:rPr>
      <w:b/>
      <w:bCs/>
      <w:caps/>
      <w:sz w:val="20"/>
      <w:szCs w:val="20"/>
    </w:rPr>
  </w:style>
  <w:style w:type="paragraph" w:styleId="24">
    <w:name w:val="toc 4"/>
    <w:basedOn w:val="1"/>
    <w:next w:val="1"/>
    <w:autoRedefine/>
    <w:semiHidden/>
    <w:qFormat/>
    <w:uiPriority w:val="0"/>
    <w:pPr>
      <w:ind w:left="630"/>
      <w:jc w:val="left"/>
    </w:pPr>
    <w:rPr>
      <w:sz w:val="18"/>
      <w:szCs w:val="18"/>
    </w:rPr>
  </w:style>
  <w:style w:type="paragraph" w:styleId="25">
    <w:name w:val="toc 6"/>
    <w:basedOn w:val="1"/>
    <w:next w:val="1"/>
    <w:autoRedefine/>
    <w:semiHidden/>
    <w:qFormat/>
    <w:uiPriority w:val="0"/>
    <w:pPr>
      <w:ind w:left="1050"/>
      <w:jc w:val="left"/>
    </w:pPr>
    <w:rPr>
      <w:sz w:val="18"/>
      <w:szCs w:val="18"/>
    </w:rPr>
  </w:style>
  <w:style w:type="paragraph" w:styleId="26">
    <w:name w:val="toc 2"/>
    <w:basedOn w:val="1"/>
    <w:next w:val="1"/>
    <w:autoRedefine/>
    <w:qFormat/>
    <w:uiPriority w:val="0"/>
    <w:pPr>
      <w:ind w:left="210"/>
      <w:jc w:val="left"/>
    </w:pPr>
    <w:rPr>
      <w:smallCaps/>
      <w:sz w:val="20"/>
      <w:szCs w:val="20"/>
    </w:rPr>
  </w:style>
  <w:style w:type="paragraph" w:styleId="27">
    <w:name w:val="toc 9"/>
    <w:basedOn w:val="1"/>
    <w:next w:val="1"/>
    <w:autoRedefine/>
    <w:semiHidden/>
    <w:qFormat/>
    <w:uiPriority w:val="0"/>
    <w:pPr>
      <w:ind w:left="1680"/>
      <w:jc w:val="left"/>
    </w:pPr>
    <w:rPr>
      <w:sz w:val="18"/>
      <w:szCs w:val="18"/>
    </w:rPr>
  </w:style>
  <w:style w:type="paragraph" w:styleId="28">
    <w:name w:val="Body Text 2"/>
    <w:basedOn w:val="1"/>
    <w:autoRedefine/>
    <w:qFormat/>
    <w:uiPriority w:val="0"/>
    <w:pPr>
      <w:spacing w:line="240" w:lineRule="exact"/>
    </w:pPr>
    <w:rPr>
      <w:rFonts w:eastAsia="仿宋_GB2312"/>
    </w:rPr>
  </w:style>
  <w:style w:type="paragraph" w:styleId="29">
    <w:name w:val="HTML Preformatted"/>
    <w:basedOn w:val="1"/>
    <w:link w:val="49"/>
    <w:autoRedefine/>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0">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31">
    <w:name w:val="annotation subject"/>
    <w:basedOn w:val="10"/>
    <w:next w:val="10"/>
    <w:autoRedefine/>
    <w:semiHidden/>
    <w:qFormat/>
    <w:uiPriority w:val="0"/>
    <w:rPr>
      <w:b/>
      <w:bCs/>
    </w:rPr>
  </w:style>
  <w:style w:type="paragraph" w:styleId="32">
    <w:name w:val="Body Text First Indent 2"/>
    <w:basedOn w:val="13"/>
    <w:next w:val="33"/>
    <w:autoRedefine/>
    <w:qFormat/>
    <w:uiPriority w:val="99"/>
    <w:pPr>
      <w:ind w:firstLine="420"/>
    </w:pPr>
    <w:rPr>
      <w:sz w:val="24"/>
    </w:rPr>
  </w:style>
  <w:style w:type="paragraph" w:customStyle="1" w:styleId="33">
    <w:name w:val="样式 正文首行缩进 2 + Arial"/>
    <w:basedOn w:val="1"/>
    <w:next w:val="1"/>
    <w:autoRedefine/>
    <w:qFormat/>
    <w:uiPriority w:val="0"/>
    <w:pPr>
      <w:spacing w:after="120" w:line="320" w:lineRule="atLeast"/>
      <w:ind w:firstLine="200" w:firstLineChars="200"/>
    </w:pPr>
    <w:rPr>
      <w:rFonts w:ascii="Arial" w:hAnsi="Arial"/>
      <w:kern w:val="0"/>
    </w:rPr>
  </w:style>
  <w:style w:type="table" w:styleId="35">
    <w:name w:val="Table Grid"/>
    <w:basedOn w:val="3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7">
    <w:name w:val="Strong"/>
    <w:basedOn w:val="36"/>
    <w:qFormat/>
    <w:uiPriority w:val="0"/>
    <w:rPr>
      <w:b/>
    </w:rPr>
  </w:style>
  <w:style w:type="character" w:styleId="38">
    <w:name w:val="page number"/>
    <w:autoRedefine/>
    <w:qFormat/>
    <w:uiPriority w:val="0"/>
  </w:style>
  <w:style w:type="character" w:styleId="39">
    <w:name w:val="FollowedHyperlink"/>
    <w:autoRedefine/>
    <w:qFormat/>
    <w:uiPriority w:val="0"/>
    <w:rPr>
      <w:color w:val="000000"/>
      <w:u w:val="none"/>
    </w:rPr>
  </w:style>
  <w:style w:type="character" w:styleId="40">
    <w:name w:val="Emphasis"/>
    <w:basedOn w:val="36"/>
    <w:qFormat/>
    <w:uiPriority w:val="0"/>
    <w:rPr>
      <w:i/>
    </w:rPr>
  </w:style>
  <w:style w:type="character" w:styleId="41">
    <w:name w:val="line number"/>
    <w:autoRedefine/>
    <w:qFormat/>
    <w:uiPriority w:val="0"/>
  </w:style>
  <w:style w:type="character" w:styleId="42">
    <w:name w:val="Hyperlink"/>
    <w:autoRedefine/>
    <w:qFormat/>
    <w:uiPriority w:val="0"/>
    <w:rPr>
      <w:color w:val="000000"/>
      <w:u w:val="none"/>
    </w:rPr>
  </w:style>
  <w:style w:type="character" w:styleId="43">
    <w:name w:val="annotation reference"/>
    <w:autoRedefine/>
    <w:semiHidden/>
    <w:qFormat/>
    <w:uiPriority w:val="0"/>
    <w:rPr>
      <w:sz w:val="21"/>
      <w:szCs w:val="21"/>
    </w:rPr>
  </w:style>
  <w:style w:type="paragraph" w:styleId="44">
    <w:name w:val="List Paragraph"/>
    <w:basedOn w:val="1"/>
    <w:autoRedefine/>
    <w:qFormat/>
    <w:uiPriority w:val="1"/>
    <w:pPr>
      <w:ind w:left="205" w:right="169" w:firstLine="655"/>
    </w:pPr>
    <w:rPr>
      <w:rFonts w:ascii="仿宋" w:hAnsi="仿宋" w:eastAsia="仿宋" w:cs="仿宋"/>
      <w:u w:val="single" w:color="000000"/>
      <w:lang w:val="zh-CN" w:bidi="zh-CN"/>
    </w:rPr>
  </w:style>
  <w:style w:type="character" w:customStyle="1" w:styleId="45">
    <w:name w:val="标题 1 字符"/>
    <w:link w:val="2"/>
    <w:autoRedefine/>
    <w:qFormat/>
    <w:uiPriority w:val="0"/>
    <w:rPr>
      <w:rFonts w:eastAsia="宋体"/>
      <w:b/>
      <w:bCs/>
      <w:kern w:val="44"/>
      <w:sz w:val="44"/>
      <w:szCs w:val="44"/>
      <w:lang w:val="en-US" w:eastAsia="zh-CN" w:bidi="ar-SA"/>
    </w:rPr>
  </w:style>
  <w:style w:type="character" w:customStyle="1" w:styleId="46">
    <w:name w:val="标题 2 字符"/>
    <w:link w:val="3"/>
    <w:autoRedefine/>
    <w:qFormat/>
    <w:uiPriority w:val="0"/>
    <w:rPr>
      <w:rFonts w:ascii="Arial" w:hAnsi="Arial" w:eastAsia="黑体"/>
      <w:b/>
      <w:bCs/>
      <w:kern w:val="2"/>
      <w:sz w:val="32"/>
      <w:szCs w:val="32"/>
      <w:lang w:val="en-US" w:eastAsia="zh-CN" w:bidi="ar-SA"/>
    </w:rPr>
  </w:style>
  <w:style w:type="character" w:customStyle="1" w:styleId="47">
    <w:name w:val="批注文字 字符"/>
    <w:link w:val="10"/>
    <w:autoRedefine/>
    <w:qFormat/>
    <w:uiPriority w:val="0"/>
    <w:rPr>
      <w:rFonts w:eastAsia="宋体"/>
      <w:kern w:val="2"/>
      <w:sz w:val="21"/>
      <w:szCs w:val="24"/>
      <w:lang w:val="en-US" w:eastAsia="zh-CN" w:bidi="ar-SA"/>
    </w:rPr>
  </w:style>
  <w:style w:type="character" w:customStyle="1" w:styleId="48">
    <w:name w:val="正文文本 字符"/>
    <w:link w:val="12"/>
    <w:autoRedefine/>
    <w:qFormat/>
    <w:uiPriority w:val="0"/>
    <w:rPr>
      <w:kern w:val="2"/>
      <w:sz w:val="21"/>
      <w:szCs w:val="24"/>
    </w:rPr>
  </w:style>
  <w:style w:type="character" w:customStyle="1" w:styleId="49">
    <w:name w:val="HTML 预设格式 字符"/>
    <w:link w:val="29"/>
    <w:autoRedefine/>
    <w:qFormat/>
    <w:uiPriority w:val="99"/>
    <w:rPr>
      <w:rFonts w:ascii="宋体" w:hAnsi="宋体" w:cs="宋体"/>
      <w:sz w:val="24"/>
      <w:szCs w:val="24"/>
    </w:rPr>
  </w:style>
  <w:style w:type="character" w:customStyle="1" w:styleId="50">
    <w:name w:val="Char Char Char"/>
    <w:autoRedefine/>
    <w:qFormat/>
    <w:locked/>
    <w:uiPriority w:val="0"/>
    <w:rPr>
      <w:rFonts w:eastAsia="宋体"/>
      <w:b/>
      <w:bCs/>
      <w:kern w:val="44"/>
      <w:sz w:val="44"/>
      <w:szCs w:val="44"/>
      <w:lang w:val="en-US" w:eastAsia="zh-CN" w:bidi="ar-SA"/>
    </w:rPr>
  </w:style>
  <w:style w:type="character" w:customStyle="1" w:styleId="51">
    <w:name w:val="hover16"/>
    <w:autoRedefine/>
    <w:qFormat/>
    <w:uiPriority w:val="0"/>
  </w:style>
  <w:style w:type="character" w:customStyle="1" w:styleId="52">
    <w:name w:val="明显强调1"/>
    <w:autoRedefine/>
    <w:qFormat/>
    <w:uiPriority w:val="0"/>
    <w:rPr>
      <w:rFonts w:eastAsia="仿宋_GB2312"/>
      <w:bCs/>
      <w:iCs/>
      <w:color w:val="auto"/>
      <w:sz w:val="32"/>
    </w:rPr>
  </w:style>
  <w:style w:type="paragraph" w:customStyle="1" w:styleId="53">
    <w:name w:val="cjk"/>
    <w:basedOn w:val="1"/>
    <w:autoRedefine/>
    <w:qFormat/>
    <w:uiPriority w:val="0"/>
    <w:pPr>
      <w:widowControl/>
      <w:spacing w:line="480" w:lineRule="auto"/>
      <w:jc w:val="left"/>
    </w:pPr>
    <w:rPr>
      <w:rFonts w:ascii="宋体" w:hAnsi="宋体" w:cs="宋体"/>
      <w:kern w:val="0"/>
      <w:sz w:val="24"/>
    </w:rPr>
  </w:style>
  <w:style w:type="paragraph" w:customStyle="1" w:styleId="54">
    <w:name w:val="样式 标题 2 + Times New Roman 四号 非加粗 段前: 5 磅 段后: 0 磅 行距: 固定值 20..."/>
    <w:basedOn w:val="3"/>
    <w:autoRedefine/>
    <w:qFormat/>
    <w:uiPriority w:val="0"/>
    <w:pPr>
      <w:spacing w:before="100" w:after="0" w:line="400" w:lineRule="exact"/>
    </w:pPr>
    <w:rPr>
      <w:rFonts w:ascii="Times New Roman" w:hAnsi="Times New Roman" w:cs="宋体"/>
      <w:b w:val="0"/>
      <w:bCs w:val="0"/>
      <w:sz w:val="28"/>
      <w:szCs w:val="20"/>
    </w:rPr>
  </w:style>
  <w:style w:type="paragraph" w:customStyle="1" w:styleId="55">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56">
    <w:name w:val="大标题"/>
    <w:basedOn w:val="1"/>
    <w:next w:val="32"/>
    <w:autoRedefine/>
    <w:qFormat/>
    <w:uiPriority w:val="0"/>
    <w:pPr>
      <w:jc w:val="center"/>
    </w:pPr>
    <w:rPr>
      <w:rFonts w:ascii="Arial" w:hAnsi="Arial"/>
      <w:b/>
    </w:rPr>
  </w:style>
  <w:style w:type="character" w:customStyle="1" w:styleId="57">
    <w:name w:val="页脚 字符"/>
    <w:basedOn w:val="36"/>
    <w:link w:val="20"/>
    <w:autoRedefine/>
    <w:qFormat/>
    <w:uiPriority w:val="99"/>
    <w:rPr>
      <w:kern w:val="2"/>
      <w:sz w:val="18"/>
      <w:szCs w:val="18"/>
    </w:rPr>
  </w:style>
  <w:style w:type="paragraph" w:customStyle="1" w:styleId="58">
    <w:name w:val="样式1"/>
    <w:basedOn w:val="1"/>
    <w:qFormat/>
    <w:uiPriority w:val="0"/>
    <w:pPr>
      <w:spacing w:line="240" w:lineRule="auto"/>
      <w:jc w:val="both"/>
    </w:pPr>
    <w:rPr>
      <w:rFonts w:ascii="宋体"/>
      <w:sz w:val="21"/>
      <w:szCs w:val="21"/>
    </w:rPr>
  </w:style>
  <w:style w:type="character" w:customStyle="1" w:styleId="59">
    <w:name w:val="标题 2 Char"/>
    <w:link w:val="3"/>
    <w:qFormat/>
    <w:uiPriority w:val="0"/>
    <w:rPr>
      <w:rFonts w:ascii="Times New Roman" w:hAnsi="Times New Roman" w:eastAsia="楷体_GB2312" w:cs="楷体_GB2312"/>
      <w:sz w:val="32"/>
      <w:szCs w:val="32"/>
    </w:rPr>
  </w:style>
  <w:style w:type="character" w:customStyle="1" w:styleId="60">
    <w:name w:val="标题 4 Char"/>
    <w:link w:val="5"/>
    <w:qFormat/>
    <w:uiPriority w:val="0"/>
    <w:rPr>
      <w:rFonts w:ascii="Times New Roman" w:hAnsi="Times New Roman" w:eastAsia="仿宋_GB2312" w:cs="仿宋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32</Pages>
  <Words>20405</Words>
  <Characters>22052</Characters>
  <Lines>257</Lines>
  <Paragraphs>72</Paragraphs>
  <TotalTime>5</TotalTime>
  <ScaleCrop>false</ScaleCrop>
  <LinksUpToDate>false</LinksUpToDate>
  <CharactersWithSpaces>22524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2024-03-12T06:28:00Z</dcterms:created>
  <dc:creator>微软用户</dc:creator>
  <cp:lastModifiedBy>O(∩_∩)O</cp:lastModifiedBy>
  <cp:lastPrinted>2020-07-20T15:54:00Z</cp:lastPrinted>
  <dcterms:modified xsi:type="dcterms:W3CDTF">2026-10-15T08:48:56Z</dcterms:modified>
  <dc:title>目   录</dc:title>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E69B5F9A1FE44265A80B85BEA909C878_13</vt:lpwstr>
  </property>
  <property fmtid="{D5CDD505-2E9C-101B-9397-08002B2CF9AE}" pid="4" name="KSOTemplateDocerSaveRecord">
    <vt:lpwstr>eyJoZGlkIjoiZWY2ZmQ4NGZlNjY1MDJmNDlkMWEyZjEzZjdhM2U5MjMiLCJ1c2VySWQiOiI1MjQxNzYyNTYifQ==</vt:lpwstr>
  </property>
</Properties>
</file>