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944152">
      <w:pPr>
        <w:pStyle w:val="4"/>
        <w:spacing w:before="118" w:line="220" w:lineRule="auto"/>
        <w:jc w:val="center"/>
        <w:outlineLvl w:val="0"/>
        <w:rPr>
          <w:rFonts w:hint="eastAsia" w:ascii="方正小标宋简体" w:hAnsi="方正小标宋简体" w:eastAsia="方正小标宋简体" w:cs="方正小标宋简体"/>
          <w:b w:val="0"/>
          <w:bCs w:val="0"/>
          <w:spacing w:val="15"/>
          <w:sz w:val="36"/>
          <w:szCs w:val="36"/>
          <w:highlight w:val="none"/>
        </w:rPr>
      </w:pPr>
      <w:bookmarkStart w:id="1" w:name="_GoBack"/>
      <w:r>
        <w:rPr>
          <w:rFonts w:hint="eastAsia" w:ascii="方正小标宋简体" w:hAnsi="方正小标宋简体" w:eastAsia="方正小标宋简体" w:cs="方正小标宋简体"/>
          <w:b w:val="0"/>
          <w:bCs w:val="0"/>
          <w:spacing w:val="15"/>
          <w:sz w:val="36"/>
          <w:szCs w:val="36"/>
          <w:highlight w:val="none"/>
        </w:rPr>
        <w:t>G9908西安都市圈环线周至至乾县高速公路</w:t>
      </w:r>
    </w:p>
    <w:p w14:paraId="4071DA9D">
      <w:pPr>
        <w:pStyle w:val="4"/>
        <w:spacing w:before="118" w:line="220" w:lineRule="auto"/>
        <w:jc w:val="center"/>
        <w:outlineLvl w:val="0"/>
        <w:rPr>
          <w:rFonts w:hint="eastAsia" w:ascii="方正小标宋简体" w:hAnsi="方正小标宋简体" w:eastAsia="方正小标宋简体" w:cs="方正小标宋简体"/>
          <w:b w:val="0"/>
          <w:bCs w:val="0"/>
          <w:spacing w:val="15"/>
          <w:sz w:val="36"/>
          <w:szCs w:val="36"/>
          <w:highlight w:val="none"/>
        </w:rPr>
      </w:pPr>
      <w:r>
        <w:rPr>
          <w:rFonts w:hint="eastAsia" w:ascii="方正小标宋简体" w:hAnsi="方正小标宋简体" w:eastAsia="方正小标宋简体" w:cs="方正小标宋简体"/>
          <w:b w:val="0"/>
          <w:bCs w:val="0"/>
          <w:spacing w:val="15"/>
          <w:sz w:val="36"/>
          <w:szCs w:val="36"/>
          <w:highlight w:val="none"/>
        </w:rPr>
        <w:t>路基桥涵工程施工</w:t>
      </w:r>
      <w:r>
        <w:rPr>
          <w:rFonts w:hint="eastAsia" w:ascii="方正小标宋简体" w:hAnsi="方正小标宋简体" w:eastAsia="方正小标宋简体" w:cs="方正小标宋简体"/>
          <w:b w:val="0"/>
          <w:bCs w:val="0"/>
          <w:spacing w:val="15"/>
          <w:sz w:val="36"/>
          <w:szCs w:val="36"/>
          <w:highlight w:val="none"/>
          <w:lang w:eastAsia="zh-CN"/>
        </w:rPr>
        <w:t>（</w:t>
      </w:r>
      <w:r>
        <w:rPr>
          <w:rFonts w:hint="eastAsia" w:ascii="方正小标宋简体" w:hAnsi="方正小标宋简体" w:eastAsia="方正小标宋简体" w:cs="方正小标宋简体"/>
          <w:b w:val="0"/>
          <w:bCs w:val="0"/>
          <w:spacing w:val="15"/>
          <w:sz w:val="36"/>
          <w:szCs w:val="36"/>
          <w:highlight w:val="none"/>
          <w:lang w:val="en-US" w:eastAsia="zh-CN"/>
        </w:rPr>
        <w:t>A</w:t>
      </w:r>
      <w:r>
        <w:rPr>
          <w:rFonts w:hint="eastAsia" w:ascii="方正小标宋简体" w:hAnsi="方正小标宋简体" w:eastAsia="方正小标宋简体" w:cs="方正小标宋简体"/>
          <w:b w:val="0"/>
          <w:bCs w:val="0"/>
          <w:spacing w:val="15"/>
          <w:sz w:val="36"/>
          <w:szCs w:val="36"/>
          <w:highlight w:val="none"/>
          <w:lang w:eastAsia="zh-CN"/>
        </w:rPr>
        <w:t>、</w:t>
      </w:r>
      <w:r>
        <w:rPr>
          <w:rFonts w:hint="eastAsia" w:ascii="方正小标宋简体" w:hAnsi="方正小标宋简体" w:eastAsia="方正小标宋简体" w:cs="方正小标宋简体"/>
          <w:b w:val="0"/>
          <w:bCs w:val="0"/>
          <w:spacing w:val="15"/>
          <w:sz w:val="36"/>
          <w:szCs w:val="36"/>
          <w:highlight w:val="none"/>
          <w:lang w:val="en-US" w:eastAsia="zh-CN"/>
        </w:rPr>
        <w:t>B组</w:t>
      </w:r>
      <w:r>
        <w:rPr>
          <w:rFonts w:hint="eastAsia" w:ascii="方正小标宋简体" w:hAnsi="方正小标宋简体" w:eastAsia="方正小标宋简体" w:cs="方正小标宋简体"/>
          <w:b w:val="0"/>
          <w:bCs w:val="0"/>
          <w:spacing w:val="15"/>
          <w:sz w:val="36"/>
          <w:szCs w:val="36"/>
          <w:highlight w:val="none"/>
          <w:lang w:eastAsia="zh-CN"/>
        </w:rPr>
        <w:t>）</w:t>
      </w:r>
      <w:r>
        <w:rPr>
          <w:rFonts w:hint="eastAsia" w:ascii="方正小标宋简体" w:hAnsi="方正小标宋简体" w:eastAsia="方正小标宋简体" w:cs="方正小标宋简体"/>
          <w:b w:val="0"/>
          <w:bCs w:val="0"/>
          <w:spacing w:val="15"/>
          <w:sz w:val="36"/>
          <w:szCs w:val="36"/>
          <w:highlight w:val="none"/>
        </w:rPr>
        <w:t>招标文件</w:t>
      </w:r>
    </w:p>
    <w:p w14:paraId="1891F403">
      <w:pPr>
        <w:pStyle w:val="4"/>
        <w:spacing w:before="118" w:line="220" w:lineRule="auto"/>
        <w:jc w:val="center"/>
        <w:outlineLvl w:val="0"/>
        <w:rPr>
          <w:rFonts w:hint="eastAsia" w:ascii="方正小标宋简体" w:hAnsi="方正小标宋简体" w:eastAsia="方正小标宋简体" w:cs="方正小标宋简体"/>
          <w:b w:val="0"/>
          <w:bCs w:val="0"/>
          <w:sz w:val="36"/>
          <w:szCs w:val="36"/>
          <w:highlight w:val="none"/>
        </w:rPr>
      </w:pPr>
      <w:r>
        <w:rPr>
          <w:rFonts w:hint="eastAsia" w:ascii="方正小标宋简体" w:hAnsi="方正小标宋简体" w:eastAsia="方正小标宋简体" w:cs="方正小标宋简体"/>
          <w:b w:val="0"/>
          <w:bCs w:val="0"/>
          <w:sz w:val="36"/>
          <w:szCs w:val="36"/>
          <w:highlight w:val="none"/>
        </w:rPr>
        <w:t>关键内容公示</w:t>
      </w:r>
    </w:p>
    <w:p w14:paraId="133FEC85">
      <w:pPr>
        <w:pStyle w:val="4"/>
        <w:spacing w:before="118" w:line="220" w:lineRule="auto"/>
        <w:ind w:firstLine="640" w:firstLineChars="200"/>
        <w:jc w:val="both"/>
        <w:outlineLvl w:val="0"/>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一、项目概况</w:t>
      </w:r>
    </w:p>
    <w:p w14:paraId="0AE80DF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1"/>
          <w:sz w:val="32"/>
          <w:szCs w:val="32"/>
          <w:highlight w:val="none"/>
          <w:lang w:val="en-US" w:eastAsia="zh-CN"/>
        </w:rPr>
      </w:pPr>
      <w:r>
        <w:rPr>
          <w:rFonts w:hint="eastAsia" w:ascii="仿宋_GB2312" w:hAnsi="仿宋_GB2312" w:eastAsia="仿宋_GB2312" w:cs="仿宋_GB2312"/>
          <w:kern w:val="1"/>
          <w:sz w:val="32"/>
          <w:szCs w:val="32"/>
          <w:highlight w:val="none"/>
          <w:lang w:val="en-US" w:eastAsia="zh-CN"/>
        </w:rPr>
        <w:t>G9908西安都市圈环线周至至乾县高速公路是作为规划的12条都市圈环线之一，是串联西安西部福银高速、乾岐高速、连霍高速、鄠周眉高速等各条国道主干线过境段的环形线路。拟建项目位于周至县、武功、乾县境内，为南北走向。路线起于周至县西屯镇南与鄠周眉高速相接，终点位于乾县接福银高速，路线全长50.441公里。主要工程规模为：路基挖方261.65万立方米，填方611.54万立方米，路基防护290.56千立方米，路基排水95.8千立方米；主线桥梁6417.95米/36座(含互通区主线桥，以双幅计)，其中特大桥4546.88米/2座，大桥659.5米/4座，中、小桥1211.57米/30座，涵洞63道，全线桥梁比例为12.72%；全线共设互通式立交7座(枢纽立交3座、服务型立交4座)，服务区1处，分离式立交25处（其中与公路交叉21处，与铁路交叉4处），匝道收费站5处，管理中心与乾县东收费站合建，养护工区与贞元收费站合建。</w:t>
      </w:r>
    </w:p>
    <w:p w14:paraId="0AABA35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二、投标人资格要求</w:t>
      </w:r>
    </w:p>
    <w:p w14:paraId="6505FC43">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jc w:val="both"/>
        <w:textAlignment w:val="auto"/>
        <w:rPr>
          <w:rFonts w:hint="eastAsia" w:ascii="仿宋_GB2312" w:hAnsi="仿宋_GB2312" w:eastAsia="仿宋_GB2312" w:cs="仿宋_GB2312"/>
          <w:b w:val="0"/>
          <w:bCs w:val="0"/>
          <w:color w:val="000000"/>
          <w:kern w:val="1"/>
          <w:sz w:val="32"/>
          <w:szCs w:val="32"/>
          <w:highlight w:val="none"/>
        </w:rPr>
      </w:pPr>
      <w:r>
        <w:rPr>
          <w:rFonts w:hint="eastAsia" w:ascii="仿宋_GB2312" w:hAnsi="仿宋_GB2312" w:eastAsia="仿宋_GB2312" w:cs="仿宋_GB2312"/>
          <w:b w:val="0"/>
          <w:bCs w:val="0"/>
          <w:color w:val="000000"/>
          <w:kern w:val="1"/>
          <w:sz w:val="32"/>
          <w:szCs w:val="32"/>
          <w:highlight w:val="none"/>
        </w:rPr>
        <w:t>1.资格审查条件</w:t>
      </w:r>
    </w:p>
    <w:p w14:paraId="2251EBC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8"/>
          <w:rFonts w:hint="eastAsia" w:ascii="仿宋_GB2312" w:hAnsi="仿宋_GB2312" w:eastAsia="仿宋_GB2312" w:cs="仿宋_GB2312"/>
          <w:color w:val="000000"/>
          <w:sz w:val="32"/>
          <w:szCs w:val="32"/>
          <w:highlight w:val="none"/>
        </w:rPr>
      </w:pPr>
      <w:r>
        <w:rPr>
          <w:rStyle w:val="8"/>
          <w:rFonts w:hint="eastAsia" w:ascii="仿宋_GB2312" w:hAnsi="仿宋_GB2312" w:eastAsia="仿宋_GB2312" w:cs="仿宋_GB2312"/>
          <w:color w:val="000000"/>
          <w:sz w:val="32"/>
          <w:szCs w:val="32"/>
          <w:highlight w:val="none"/>
        </w:rPr>
        <w:t>本</w:t>
      </w:r>
      <w:r>
        <w:rPr>
          <w:rFonts w:hint="eastAsia" w:ascii="仿宋_GB2312" w:hAnsi="仿宋_GB2312" w:eastAsia="仿宋_GB2312" w:cs="仿宋_GB2312"/>
          <w:color w:val="000000"/>
          <w:sz w:val="32"/>
          <w:szCs w:val="32"/>
          <w:highlight w:val="none"/>
        </w:rPr>
        <w:t>次招标要求投标人满足下列各项资格审查条件，并在人</w:t>
      </w:r>
      <w:r>
        <w:rPr>
          <w:rStyle w:val="8"/>
          <w:rFonts w:hint="eastAsia" w:ascii="仿宋_GB2312" w:hAnsi="仿宋_GB2312" w:eastAsia="仿宋_GB2312" w:cs="仿宋_GB2312"/>
          <w:color w:val="000000"/>
          <w:sz w:val="32"/>
          <w:szCs w:val="32"/>
          <w:highlight w:val="none"/>
        </w:rPr>
        <w:t>员、设备、资金等方面具有相应的施工能力。</w:t>
      </w:r>
    </w:p>
    <w:p w14:paraId="53E316A1">
      <w:pPr>
        <w:spacing w:line="560" w:lineRule="exact"/>
        <w:ind w:firstLine="640" w:firstLineChars="200"/>
        <w:jc w:val="both"/>
        <w:rPr>
          <w:rStyle w:val="8"/>
          <w:rFonts w:hint="eastAsia" w:ascii="仿宋_GB2312" w:hAnsi="仿宋_GB2312" w:eastAsia="仿宋_GB2312" w:cs="仿宋_GB2312"/>
          <w:color w:val="000000"/>
          <w:sz w:val="32"/>
          <w:szCs w:val="32"/>
          <w:highlight w:val="none"/>
        </w:rPr>
      </w:pPr>
      <w:r>
        <w:rPr>
          <w:rStyle w:val="8"/>
          <w:rFonts w:hint="eastAsia" w:ascii="仿宋_GB2312" w:hAnsi="仿宋_GB2312" w:eastAsia="仿宋_GB2312" w:cs="仿宋_GB2312"/>
          <w:color w:val="000000"/>
          <w:sz w:val="32"/>
          <w:szCs w:val="32"/>
          <w:highlight w:val="none"/>
        </w:rPr>
        <w:t>（1）资质最低要求</w:t>
      </w:r>
    </w:p>
    <w:tbl>
      <w:tblPr>
        <w:tblStyle w:val="6"/>
        <w:tblW w:w="87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13"/>
        <w:gridCol w:w="1012"/>
        <w:gridCol w:w="7069"/>
      </w:tblGrid>
      <w:tr w14:paraId="018CD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39" w:hRule="atLeast"/>
          <w:tblHeader/>
          <w:jc w:val="center"/>
        </w:trPr>
        <w:tc>
          <w:tcPr>
            <w:tcW w:w="713" w:type="dxa"/>
            <w:noWrap w:val="0"/>
            <w:vAlign w:val="center"/>
          </w:tcPr>
          <w:p w14:paraId="46F18972">
            <w:pPr>
              <w:tabs>
                <w:tab w:val="left" w:pos="1778"/>
              </w:tabs>
              <w:jc w:val="both"/>
              <w:rPr>
                <w:rFonts w:hint="eastAsia" w:ascii="宋体" w:hAnsi="宋体" w:eastAsia="宋体" w:cs="宋体"/>
                <w:b/>
                <w:color w:val="000000"/>
                <w:szCs w:val="21"/>
                <w:highlight w:val="none"/>
                <w:lang w:val="en-US" w:eastAsia="zh-CN"/>
              </w:rPr>
            </w:pPr>
            <w:r>
              <w:rPr>
                <w:rFonts w:hint="eastAsia" w:ascii="宋体" w:hAnsi="宋体" w:cs="宋体"/>
                <w:b/>
                <w:color w:val="000000"/>
                <w:szCs w:val="21"/>
                <w:highlight w:val="none"/>
                <w:lang w:val="en-US" w:eastAsia="zh-CN"/>
              </w:rPr>
              <w:t>组别</w:t>
            </w:r>
          </w:p>
        </w:tc>
        <w:tc>
          <w:tcPr>
            <w:tcW w:w="1012" w:type="dxa"/>
            <w:noWrap w:val="0"/>
            <w:vAlign w:val="center"/>
          </w:tcPr>
          <w:p w14:paraId="0C0101EA">
            <w:pPr>
              <w:tabs>
                <w:tab w:val="left" w:pos="1778"/>
              </w:tabs>
              <w:jc w:val="both"/>
              <w:rPr>
                <w:rFonts w:hint="eastAsia" w:ascii="宋体" w:hAnsi="宋体" w:cs="宋体"/>
                <w:b/>
                <w:color w:val="000000"/>
                <w:szCs w:val="21"/>
                <w:highlight w:val="none"/>
              </w:rPr>
            </w:pPr>
            <w:r>
              <w:rPr>
                <w:rFonts w:hint="eastAsia" w:ascii="宋体" w:hAnsi="宋体" w:cs="宋体"/>
                <w:b/>
                <w:color w:val="000000"/>
                <w:szCs w:val="21"/>
                <w:highlight w:val="none"/>
              </w:rPr>
              <w:t>标段</w:t>
            </w:r>
          </w:p>
        </w:tc>
        <w:tc>
          <w:tcPr>
            <w:tcW w:w="7069" w:type="dxa"/>
            <w:noWrap w:val="0"/>
            <w:tcMar>
              <w:top w:w="0" w:type="dxa"/>
              <w:left w:w="108" w:type="dxa"/>
              <w:bottom w:w="0" w:type="dxa"/>
              <w:right w:w="108" w:type="dxa"/>
            </w:tcMar>
            <w:vAlign w:val="center"/>
          </w:tcPr>
          <w:p w14:paraId="1A163C21">
            <w:pPr>
              <w:tabs>
                <w:tab w:val="left" w:pos="1778"/>
              </w:tabs>
              <w:jc w:val="both"/>
              <w:rPr>
                <w:rFonts w:hint="eastAsia" w:ascii="宋体" w:hAnsi="宋体" w:cs="宋体"/>
                <w:b/>
                <w:color w:val="000000"/>
                <w:szCs w:val="21"/>
                <w:highlight w:val="none"/>
              </w:rPr>
            </w:pPr>
            <w:r>
              <w:rPr>
                <w:rFonts w:hint="eastAsia" w:ascii="宋体" w:hAnsi="宋体" w:cs="宋体"/>
                <w:b/>
                <w:color w:val="000000"/>
                <w:szCs w:val="21"/>
                <w:highlight w:val="none"/>
              </w:rPr>
              <w:t>资质要求</w:t>
            </w:r>
          </w:p>
        </w:tc>
      </w:tr>
      <w:tr w14:paraId="15551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885" w:hRule="atLeast"/>
          <w:jc w:val="center"/>
        </w:trPr>
        <w:tc>
          <w:tcPr>
            <w:tcW w:w="713" w:type="dxa"/>
            <w:noWrap w:val="0"/>
            <w:vAlign w:val="center"/>
          </w:tcPr>
          <w:p w14:paraId="34D5AD68">
            <w:pPr>
              <w:tabs>
                <w:tab w:val="left" w:pos="1778"/>
              </w:tabs>
              <w:jc w:val="both"/>
              <w:rPr>
                <w:rFonts w:hint="default" w:ascii="宋体" w:hAnsi="宋体" w:cs="宋体"/>
                <w:sz w:val="20"/>
                <w:szCs w:val="20"/>
                <w:highlight w:val="none"/>
                <w:lang w:val="en-US" w:eastAsia="zh-CN"/>
              </w:rPr>
            </w:pPr>
            <w:r>
              <w:rPr>
                <w:rFonts w:hint="eastAsia" w:ascii="宋体" w:hAnsi="宋体" w:cs="宋体"/>
                <w:sz w:val="20"/>
                <w:szCs w:val="20"/>
                <w:highlight w:val="none"/>
                <w:lang w:val="en-US" w:eastAsia="zh-CN"/>
              </w:rPr>
              <w:t xml:space="preserve"> A、B组</w:t>
            </w:r>
          </w:p>
        </w:tc>
        <w:tc>
          <w:tcPr>
            <w:tcW w:w="1012" w:type="dxa"/>
            <w:noWrap w:val="0"/>
            <w:vAlign w:val="center"/>
          </w:tcPr>
          <w:p w14:paraId="5A880AD7">
            <w:pPr>
              <w:tabs>
                <w:tab w:val="left" w:pos="1778"/>
              </w:tabs>
              <w:jc w:val="both"/>
              <w:rPr>
                <w:rFonts w:hint="eastAsia" w:ascii="宋体" w:hAnsi="宋体" w:cs="宋体"/>
                <w:sz w:val="20"/>
                <w:szCs w:val="20"/>
                <w:highlight w:val="none"/>
                <w:lang w:val="en-US" w:eastAsia="zh-CN"/>
              </w:rPr>
            </w:pPr>
            <w:r>
              <w:rPr>
                <w:rFonts w:hint="eastAsia" w:ascii="宋体" w:hAnsi="宋体" w:cs="宋体"/>
                <w:sz w:val="20"/>
                <w:szCs w:val="20"/>
                <w:highlight w:val="none"/>
                <w:lang w:val="en-US" w:eastAsia="zh-CN"/>
              </w:rPr>
              <w:t>ZQ</w:t>
            </w:r>
            <w:r>
              <w:rPr>
                <w:rFonts w:hint="eastAsia" w:ascii="宋体" w:hAnsi="宋体" w:cs="宋体"/>
                <w:sz w:val="20"/>
                <w:szCs w:val="20"/>
                <w:highlight w:val="none"/>
              </w:rPr>
              <w:t>-</w:t>
            </w:r>
            <w:r>
              <w:rPr>
                <w:rFonts w:hint="eastAsia" w:ascii="宋体" w:hAnsi="宋体" w:cs="宋体"/>
                <w:sz w:val="20"/>
                <w:szCs w:val="20"/>
                <w:highlight w:val="none"/>
                <w:lang w:val="en-US" w:eastAsia="zh-CN"/>
              </w:rPr>
              <w:t>C01</w:t>
            </w:r>
          </w:p>
          <w:p w14:paraId="70632E89">
            <w:pPr>
              <w:tabs>
                <w:tab w:val="left" w:pos="1778"/>
              </w:tabs>
              <w:jc w:val="both"/>
              <w:rPr>
                <w:rFonts w:hint="eastAsia" w:ascii="宋体" w:hAnsi="宋体" w:cs="宋体"/>
                <w:sz w:val="20"/>
                <w:szCs w:val="20"/>
                <w:highlight w:val="none"/>
                <w:lang w:val="en-US" w:eastAsia="zh-CN"/>
              </w:rPr>
            </w:pPr>
            <w:r>
              <w:rPr>
                <w:rFonts w:hint="eastAsia" w:ascii="宋体" w:hAnsi="宋体" w:cs="宋体"/>
                <w:sz w:val="20"/>
                <w:szCs w:val="20"/>
                <w:highlight w:val="none"/>
                <w:lang w:val="en-US" w:eastAsia="zh-CN"/>
              </w:rPr>
              <w:t>ZQ</w:t>
            </w:r>
            <w:r>
              <w:rPr>
                <w:rFonts w:hint="eastAsia" w:ascii="宋体" w:hAnsi="宋体" w:cs="宋体"/>
                <w:sz w:val="20"/>
                <w:szCs w:val="20"/>
                <w:highlight w:val="none"/>
              </w:rPr>
              <w:t>-</w:t>
            </w:r>
            <w:r>
              <w:rPr>
                <w:rFonts w:hint="eastAsia" w:ascii="宋体" w:hAnsi="宋体" w:cs="宋体"/>
                <w:sz w:val="20"/>
                <w:szCs w:val="20"/>
                <w:highlight w:val="none"/>
                <w:lang w:val="en-US" w:eastAsia="zh-CN"/>
              </w:rPr>
              <w:t>C04</w:t>
            </w:r>
          </w:p>
          <w:p w14:paraId="7D78074B">
            <w:pPr>
              <w:tabs>
                <w:tab w:val="left" w:pos="1778"/>
              </w:tabs>
              <w:jc w:val="both"/>
              <w:rPr>
                <w:rFonts w:hint="eastAsia" w:ascii="宋体" w:hAnsi="宋体" w:cs="宋体"/>
                <w:sz w:val="20"/>
                <w:szCs w:val="20"/>
                <w:highlight w:val="none"/>
                <w:lang w:val="en-US" w:eastAsia="zh-CN"/>
              </w:rPr>
            </w:pPr>
            <w:r>
              <w:rPr>
                <w:rFonts w:hint="eastAsia" w:ascii="宋体" w:hAnsi="宋体" w:cs="宋体"/>
                <w:sz w:val="20"/>
                <w:szCs w:val="20"/>
                <w:highlight w:val="none"/>
                <w:lang w:val="en-US" w:eastAsia="zh-CN"/>
              </w:rPr>
              <w:t>ZQ</w:t>
            </w:r>
            <w:r>
              <w:rPr>
                <w:rFonts w:hint="eastAsia" w:ascii="宋体" w:hAnsi="宋体" w:cs="宋体"/>
                <w:sz w:val="20"/>
                <w:szCs w:val="20"/>
                <w:highlight w:val="none"/>
              </w:rPr>
              <w:t>-</w:t>
            </w:r>
            <w:r>
              <w:rPr>
                <w:rFonts w:hint="eastAsia" w:ascii="宋体" w:hAnsi="宋体" w:cs="宋体"/>
                <w:sz w:val="20"/>
                <w:szCs w:val="20"/>
                <w:highlight w:val="none"/>
                <w:lang w:val="en-US" w:eastAsia="zh-CN"/>
              </w:rPr>
              <w:t>C05</w:t>
            </w:r>
          </w:p>
          <w:p w14:paraId="4EB23097">
            <w:pPr>
              <w:tabs>
                <w:tab w:val="left" w:pos="1778"/>
              </w:tabs>
              <w:jc w:val="both"/>
              <w:rPr>
                <w:rFonts w:hint="eastAsia" w:ascii="宋体" w:hAnsi="宋体" w:cs="宋体"/>
                <w:sz w:val="20"/>
                <w:szCs w:val="20"/>
                <w:highlight w:val="none"/>
                <w:lang w:val="en-US" w:eastAsia="zh-CN"/>
              </w:rPr>
            </w:pPr>
            <w:r>
              <w:rPr>
                <w:rFonts w:hint="eastAsia" w:ascii="宋体" w:hAnsi="宋体" w:cs="宋体"/>
                <w:sz w:val="20"/>
                <w:szCs w:val="20"/>
                <w:highlight w:val="none"/>
                <w:lang w:val="en-US" w:eastAsia="zh-CN"/>
              </w:rPr>
              <w:t>ZQ</w:t>
            </w:r>
            <w:r>
              <w:rPr>
                <w:rFonts w:hint="eastAsia" w:ascii="宋体" w:hAnsi="宋体" w:cs="宋体"/>
                <w:sz w:val="20"/>
                <w:szCs w:val="20"/>
                <w:highlight w:val="none"/>
              </w:rPr>
              <w:t>-</w:t>
            </w:r>
            <w:r>
              <w:rPr>
                <w:rFonts w:hint="eastAsia" w:ascii="宋体" w:hAnsi="宋体" w:cs="宋体"/>
                <w:sz w:val="20"/>
                <w:szCs w:val="20"/>
                <w:highlight w:val="none"/>
                <w:lang w:val="en-US" w:eastAsia="zh-CN"/>
              </w:rPr>
              <w:t>C06</w:t>
            </w:r>
          </w:p>
          <w:p w14:paraId="388EE639">
            <w:pPr>
              <w:tabs>
                <w:tab w:val="left" w:pos="1778"/>
              </w:tabs>
              <w:jc w:val="both"/>
              <w:rPr>
                <w:rFonts w:hint="eastAsia" w:ascii="宋体" w:hAnsi="宋体" w:eastAsia="宋体" w:cs="宋体"/>
                <w:color w:val="000000"/>
                <w:szCs w:val="21"/>
                <w:highlight w:val="none"/>
                <w:lang w:eastAsia="zh-CN"/>
              </w:rPr>
            </w:pPr>
            <w:r>
              <w:rPr>
                <w:rFonts w:hint="eastAsia" w:ascii="宋体" w:hAnsi="宋体" w:cs="宋体"/>
                <w:sz w:val="20"/>
                <w:szCs w:val="20"/>
                <w:highlight w:val="none"/>
                <w:lang w:val="en-US" w:eastAsia="zh-CN"/>
              </w:rPr>
              <w:t>ZQ</w:t>
            </w:r>
            <w:r>
              <w:rPr>
                <w:rFonts w:hint="eastAsia" w:ascii="宋体" w:hAnsi="宋体" w:cs="宋体"/>
                <w:sz w:val="20"/>
                <w:szCs w:val="20"/>
                <w:highlight w:val="none"/>
              </w:rPr>
              <w:t>-</w:t>
            </w:r>
            <w:r>
              <w:rPr>
                <w:rFonts w:hint="eastAsia" w:ascii="宋体" w:hAnsi="宋体" w:cs="宋体"/>
                <w:sz w:val="20"/>
                <w:szCs w:val="20"/>
                <w:highlight w:val="none"/>
                <w:lang w:val="en-US" w:eastAsia="zh-CN"/>
              </w:rPr>
              <w:t>C07</w:t>
            </w:r>
          </w:p>
        </w:tc>
        <w:tc>
          <w:tcPr>
            <w:tcW w:w="7069" w:type="dxa"/>
            <w:noWrap w:val="0"/>
            <w:tcMar>
              <w:top w:w="0" w:type="dxa"/>
              <w:left w:w="108" w:type="dxa"/>
              <w:bottom w:w="0" w:type="dxa"/>
              <w:right w:w="108" w:type="dxa"/>
            </w:tcMar>
            <w:vAlign w:val="center"/>
          </w:tcPr>
          <w:p w14:paraId="1B5C316D">
            <w:pPr>
              <w:jc w:val="both"/>
              <w:rPr>
                <w:rFonts w:hint="eastAsia" w:ascii="宋体" w:hAnsi="宋体" w:cs="宋体"/>
                <w:color w:val="000000"/>
                <w:szCs w:val="21"/>
                <w:highlight w:val="none"/>
              </w:rPr>
            </w:pPr>
            <w:r>
              <w:rPr>
                <w:rFonts w:hint="eastAsia" w:ascii="宋体" w:hAnsi="宋体" w:cs="宋体"/>
                <w:color w:val="000000"/>
                <w:szCs w:val="21"/>
                <w:highlight w:val="none"/>
              </w:rPr>
              <w:t>具有独立法人资格；</w:t>
            </w:r>
          </w:p>
          <w:p w14:paraId="44E3E017">
            <w:pPr>
              <w:jc w:val="both"/>
              <w:rPr>
                <w:rFonts w:hint="eastAsia" w:ascii="宋体" w:hAnsi="宋体" w:cs="宋体"/>
                <w:color w:val="000000"/>
                <w:szCs w:val="21"/>
                <w:highlight w:val="none"/>
              </w:rPr>
            </w:pPr>
            <w:r>
              <w:rPr>
                <w:rFonts w:hint="eastAsia" w:ascii="宋体" w:hAnsi="宋体" w:cs="宋体"/>
                <w:color w:val="000000"/>
                <w:szCs w:val="21"/>
                <w:highlight w:val="none"/>
              </w:rPr>
              <w:t>具备公路工程施工总承包一级或以上资质；</w:t>
            </w:r>
          </w:p>
          <w:p w14:paraId="4FBA62B1">
            <w:pPr>
              <w:jc w:val="both"/>
              <w:rPr>
                <w:rFonts w:hint="eastAsia" w:ascii="宋体" w:hAnsi="宋体" w:cs="宋体"/>
                <w:color w:val="000000"/>
                <w:szCs w:val="21"/>
                <w:highlight w:val="none"/>
              </w:rPr>
            </w:pPr>
            <w:r>
              <w:rPr>
                <w:rFonts w:hint="eastAsia" w:ascii="宋体" w:hAnsi="宋体" w:cs="宋体"/>
                <w:color w:val="000000"/>
                <w:szCs w:val="21"/>
                <w:highlight w:val="none"/>
              </w:rPr>
              <w:t>具备有效的企业安全生产许可证；</w:t>
            </w:r>
          </w:p>
          <w:p w14:paraId="4CADF1B0">
            <w:pPr>
              <w:jc w:val="both"/>
              <w:rPr>
                <w:rFonts w:hint="eastAsia" w:ascii="宋体" w:hAnsi="宋体" w:cs="宋体"/>
                <w:color w:val="000000"/>
                <w:szCs w:val="21"/>
                <w:highlight w:val="none"/>
              </w:rPr>
            </w:pPr>
            <w:r>
              <w:rPr>
                <w:rFonts w:hint="eastAsia" w:ascii="宋体" w:hAnsi="宋体" w:cs="宋体"/>
                <w:color w:val="000000"/>
                <w:szCs w:val="21"/>
                <w:highlight w:val="none"/>
              </w:rPr>
              <w:t>法定代表人持有省级或以上交通运输主管部门核发有效的A类安全生产考核合格证书。</w:t>
            </w:r>
          </w:p>
        </w:tc>
      </w:tr>
    </w:tbl>
    <w:p w14:paraId="363AA282">
      <w:pPr>
        <w:spacing w:line="560" w:lineRule="exact"/>
        <w:ind w:firstLine="640" w:firstLineChars="200"/>
        <w:jc w:val="both"/>
        <w:rPr>
          <w:rStyle w:val="8"/>
          <w:rFonts w:hint="eastAsia" w:ascii="仿宋_GB2312" w:hAnsi="仿宋_GB2312" w:eastAsia="仿宋_GB2312" w:cs="仿宋_GB2312"/>
          <w:color w:val="000000"/>
          <w:sz w:val="32"/>
          <w:szCs w:val="32"/>
          <w:highlight w:val="none"/>
        </w:rPr>
      </w:pPr>
      <w:r>
        <w:rPr>
          <w:rStyle w:val="8"/>
          <w:rFonts w:hint="eastAsia" w:ascii="仿宋_GB2312" w:hAnsi="仿宋_GB2312" w:eastAsia="仿宋_GB2312" w:cs="仿宋_GB2312"/>
          <w:color w:val="000000"/>
          <w:sz w:val="32"/>
          <w:szCs w:val="32"/>
          <w:highlight w:val="none"/>
        </w:rPr>
        <w:t>（2）业绩最低要求</w:t>
      </w:r>
    </w:p>
    <w:tbl>
      <w:tblPr>
        <w:tblStyle w:val="6"/>
        <w:tblW w:w="89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000"/>
        <w:gridCol w:w="7131"/>
      </w:tblGrid>
      <w:tr w14:paraId="40C92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tblHeader/>
          <w:jc w:val="center"/>
        </w:trPr>
        <w:tc>
          <w:tcPr>
            <w:tcW w:w="776" w:type="dxa"/>
            <w:noWrap w:val="0"/>
            <w:vAlign w:val="center"/>
          </w:tcPr>
          <w:p w14:paraId="186D6AA8">
            <w:pPr>
              <w:tabs>
                <w:tab w:val="left" w:pos="1778"/>
              </w:tabs>
              <w:jc w:val="both"/>
              <w:rPr>
                <w:rFonts w:hint="eastAsia" w:ascii="宋体" w:hAnsi="宋体" w:eastAsia="宋体" w:cs="宋体"/>
                <w:b/>
                <w:color w:val="000000"/>
                <w:kern w:val="2"/>
                <w:sz w:val="21"/>
                <w:szCs w:val="21"/>
                <w:highlight w:val="none"/>
                <w:lang w:val="en-US" w:eastAsia="zh-CN" w:bidi="ar-SA"/>
              </w:rPr>
            </w:pPr>
            <w:r>
              <w:rPr>
                <w:rFonts w:hint="eastAsia" w:ascii="宋体" w:hAnsi="宋体" w:cs="宋体"/>
                <w:b/>
                <w:color w:val="000000"/>
                <w:szCs w:val="21"/>
                <w:highlight w:val="none"/>
                <w:lang w:val="en-US" w:eastAsia="zh-CN"/>
              </w:rPr>
              <w:t>组别</w:t>
            </w:r>
          </w:p>
        </w:tc>
        <w:tc>
          <w:tcPr>
            <w:tcW w:w="1000" w:type="dxa"/>
            <w:noWrap w:val="0"/>
            <w:vAlign w:val="center"/>
          </w:tcPr>
          <w:p w14:paraId="5B5C8DCA">
            <w:pPr>
              <w:tabs>
                <w:tab w:val="left" w:pos="1778"/>
              </w:tabs>
              <w:jc w:val="both"/>
              <w:rPr>
                <w:rFonts w:hint="eastAsia" w:ascii="宋体" w:hAnsi="宋体" w:cs="宋体"/>
                <w:b/>
                <w:color w:val="000000"/>
                <w:szCs w:val="21"/>
                <w:highlight w:val="none"/>
              </w:rPr>
            </w:pPr>
            <w:r>
              <w:rPr>
                <w:rFonts w:hint="eastAsia" w:ascii="宋体" w:hAnsi="宋体" w:cs="宋体"/>
                <w:b/>
                <w:color w:val="000000"/>
                <w:szCs w:val="21"/>
                <w:highlight w:val="none"/>
              </w:rPr>
              <w:t>标段</w:t>
            </w:r>
          </w:p>
        </w:tc>
        <w:tc>
          <w:tcPr>
            <w:tcW w:w="7131" w:type="dxa"/>
            <w:noWrap w:val="0"/>
            <w:vAlign w:val="center"/>
          </w:tcPr>
          <w:p w14:paraId="4F3699E8">
            <w:pPr>
              <w:tabs>
                <w:tab w:val="left" w:pos="1778"/>
              </w:tabs>
              <w:jc w:val="both"/>
              <w:rPr>
                <w:rFonts w:hint="eastAsia" w:ascii="宋体" w:hAnsi="宋体" w:cs="宋体"/>
                <w:b/>
                <w:color w:val="000000"/>
                <w:szCs w:val="21"/>
                <w:highlight w:val="none"/>
              </w:rPr>
            </w:pPr>
            <w:r>
              <w:rPr>
                <w:rFonts w:hint="eastAsia" w:ascii="宋体" w:hAnsi="宋体" w:cs="宋体"/>
                <w:b/>
                <w:color w:val="000000"/>
                <w:szCs w:val="21"/>
                <w:highlight w:val="none"/>
              </w:rPr>
              <w:t>业绩要求</w:t>
            </w:r>
          </w:p>
        </w:tc>
      </w:tr>
      <w:tr w14:paraId="06A64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88" w:hRule="atLeast"/>
          <w:jc w:val="center"/>
        </w:trPr>
        <w:tc>
          <w:tcPr>
            <w:tcW w:w="776" w:type="dxa"/>
            <w:noWrap w:val="0"/>
            <w:vAlign w:val="center"/>
          </w:tcPr>
          <w:p w14:paraId="07BA4ABD">
            <w:pPr>
              <w:tabs>
                <w:tab w:val="left" w:pos="1778"/>
              </w:tabs>
              <w:jc w:val="both"/>
              <w:rPr>
                <w:rFonts w:hint="default" w:ascii="宋体" w:hAnsi="宋体" w:cs="宋体"/>
                <w:kern w:val="2"/>
                <w:sz w:val="20"/>
                <w:szCs w:val="20"/>
                <w:highlight w:val="none"/>
                <w:lang w:val="en-US" w:eastAsia="zh-CN" w:bidi="ar-SA"/>
              </w:rPr>
            </w:pPr>
            <w:r>
              <w:rPr>
                <w:rFonts w:hint="eastAsia" w:ascii="宋体" w:hAnsi="宋体" w:cs="宋体"/>
                <w:sz w:val="20"/>
                <w:szCs w:val="20"/>
                <w:highlight w:val="none"/>
                <w:lang w:val="en-US" w:eastAsia="zh-CN"/>
              </w:rPr>
              <w:t>A、B组</w:t>
            </w:r>
          </w:p>
        </w:tc>
        <w:tc>
          <w:tcPr>
            <w:tcW w:w="1000" w:type="dxa"/>
            <w:noWrap w:val="0"/>
            <w:vAlign w:val="center"/>
          </w:tcPr>
          <w:p w14:paraId="2CA1D8EC">
            <w:pPr>
              <w:tabs>
                <w:tab w:val="left" w:pos="1778"/>
              </w:tabs>
              <w:jc w:val="both"/>
              <w:rPr>
                <w:rFonts w:hint="eastAsia" w:ascii="宋体" w:hAnsi="宋体" w:cs="宋体"/>
                <w:sz w:val="20"/>
                <w:szCs w:val="20"/>
                <w:highlight w:val="none"/>
                <w:lang w:val="en-US" w:eastAsia="zh-CN"/>
              </w:rPr>
            </w:pPr>
            <w:r>
              <w:rPr>
                <w:rFonts w:hint="eastAsia" w:ascii="宋体" w:hAnsi="宋体" w:cs="宋体"/>
                <w:sz w:val="20"/>
                <w:szCs w:val="20"/>
                <w:highlight w:val="none"/>
                <w:lang w:val="en-US" w:eastAsia="zh-CN"/>
              </w:rPr>
              <w:t>ZQ</w:t>
            </w:r>
            <w:r>
              <w:rPr>
                <w:rFonts w:hint="eastAsia" w:ascii="宋体" w:hAnsi="宋体" w:cs="宋体"/>
                <w:sz w:val="20"/>
                <w:szCs w:val="20"/>
                <w:highlight w:val="none"/>
              </w:rPr>
              <w:t>-</w:t>
            </w:r>
            <w:r>
              <w:rPr>
                <w:rFonts w:hint="eastAsia" w:ascii="宋体" w:hAnsi="宋体" w:cs="宋体"/>
                <w:sz w:val="20"/>
                <w:szCs w:val="20"/>
                <w:highlight w:val="none"/>
                <w:lang w:val="en-US" w:eastAsia="zh-CN"/>
              </w:rPr>
              <w:t>C01</w:t>
            </w:r>
          </w:p>
          <w:p w14:paraId="1A165D59">
            <w:pPr>
              <w:tabs>
                <w:tab w:val="left" w:pos="1778"/>
              </w:tabs>
              <w:jc w:val="both"/>
              <w:rPr>
                <w:rFonts w:hint="eastAsia" w:ascii="宋体" w:hAnsi="宋体" w:cs="宋体"/>
                <w:sz w:val="20"/>
                <w:szCs w:val="20"/>
                <w:highlight w:val="none"/>
                <w:lang w:val="en-US" w:eastAsia="zh-CN"/>
              </w:rPr>
            </w:pPr>
            <w:r>
              <w:rPr>
                <w:rFonts w:hint="eastAsia" w:ascii="宋体" w:hAnsi="宋体" w:cs="宋体"/>
                <w:sz w:val="20"/>
                <w:szCs w:val="20"/>
                <w:highlight w:val="none"/>
                <w:lang w:val="en-US" w:eastAsia="zh-CN"/>
              </w:rPr>
              <w:t>ZQ</w:t>
            </w:r>
            <w:r>
              <w:rPr>
                <w:rFonts w:hint="eastAsia" w:ascii="宋体" w:hAnsi="宋体" w:cs="宋体"/>
                <w:sz w:val="20"/>
                <w:szCs w:val="20"/>
                <w:highlight w:val="none"/>
              </w:rPr>
              <w:t>-</w:t>
            </w:r>
            <w:r>
              <w:rPr>
                <w:rFonts w:hint="eastAsia" w:ascii="宋体" w:hAnsi="宋体" w:cs="宋体"/>
                <w:sz w:val="20"/>
                <w:szCs w:val="20"/>
                <w:highlight w:val="none"/>
                <w:lang w:val="en-US" w:eastAsia="zh-CN"/>
              </w:rPr>
              <w:t>C04</w:t>
            </w:r>
          </w:p>
          <w:p w14:paraId="1659753D">
            <w:pPr>
              <w:tabs>
                <w:tab w:val="left" w:pos="1778"/>
              </w:tabs>
              <w:jc w:val="both"/>
              <w:rPr>
                <w:rFonts w:hint="eastAsia" w:ascii="宋体" w:hAnsi="宋体" w:cs="宋体"/>
                <w:sz w:val="20"/>
                <w:szCs w:val="20"/>
                <w:highlight w:val="none"/>
                <w:lang w:val="en-US" w:eastAsia="zh-CN"/>
              </w:rPr>
            </w:pPr>
            <w:r>
              <w:rPr>
                <w:rFonts w:hint="eastAsia" w:ascii="宋体" w:hAnsi="宋体" w:cs="宋体"/>
                <w:sz w:val="20"/>
                <w:szCs w:val="20"/>
                <w:highlight w:val="none"/>
                <w:lang w:val="en-US" w:eastAsia="zh-CN"/>
              </w:rPr>
              <w:t>ZQ</w:t>
            </w:r>
            <w:r>
              <w:rPr>
                <w:rFonts w:hint="eastAsia" w:ascii="宋体" w:hAnsi="宋体" w:cs="宋体"/>
                <w:sz w:val="20"/>
                <w:szCs w:val="20"/>
                <w:highlight w:val="none"/>
              </w:rPr>
              <w:t>-</w:t>
            </w:r>
            <w:r>
              <w:rPr>
                <w:rFonts w:hint="eastAsia" w:ascii="宋体" w:hAnsi="宋体" w:cs="宋体"/>
                <w:sz w:val="20"/>
                <w:szCs w:val="20"/>
                <w:highlight w:val="none"/>
                <w:lang w:val="en-US" w:eastAsia="zh-CN"/>
              </w:rPr>
              <w:t>C05</w:t>
            </w:r>
          </w:p>
          <w:p w14:paraId="01D61998">
            <w:pPr>
              <w:tabs>
                <w:tab w:val="left" w:pos="1778"/>
              </w:tabs>
              <w:jc w:val="both"/>
              <w:rPr>
                <w:rFonts w:hint="eastAsia" w:ascii="宋体" w:hAnsi="宋体" w:cs="宋体"/>
                <w:sz w:val="20"/>
                <w:szCs w:val="20"/>
                <w:highlight w:val="none"/>
                <w:lang w:val="en-US" w:eastAsia="zh-CN"/>
              </w:rPr>
            </w:pPr>
            <w:r>
              <w:rPr>
                <w:rFonts w:hint="eastAsia" w:ascii="宋体" w:hAnsi="宋体" w:cs="宋体"/>
                <w:sz w:val="20"/>
                <w:szCs w:val="20"/>
                <w:highlight w:val="none"/>
                <w:lang w:val="en-US" w:eastAsia="zh-CN"/>
              </w:rPr>
              <w:t>ZQ</w:t>
            </w:r>
            <w:r>
              <w:rPr>
                <w:rFonts w:hint="eastAsia" w:ascii="宋体" w:hAnsi="宋体" w:cs="宋体"/>
                <w:sz w:val="20"/>
                <w:szCs w:val="20"/>
                <w:highlight w:val="none"/>
              </w:rPr>
              <w:t>-</w:t>
            </w:r>
            <w:r>
              <w:rPr>
                <w:rFonts w:hint="eastAsia" w:ascii="宋体" w:hAnsi="宋体" w:cs="宋体"/>
                <w:sz w:val="20"/>
                <w:szCs w:val="20"/>
                <w:highlight w:val="none"/>
                <w:lang w:val="en-US" w:eastAsia="zh-CN"/>
              </w:rPr>
              <w:t>C06</w:t>
            </w:r>
          </w:p>
          <w:p w14:paraId="6BC02F1E">
            <w:pPr>
              <w:tabs>
                <w:tab w:val="left" w:pos="1778"/>
              </w:tabs>
              <w:jc w:val="both"/>
              <w:rPr>
                <w:rFonts w:hint="eastAsia" w:ascii="宋体" w:hAnsi="宋体" w:eastAsia="宋体" w:cs="宋体"/>
                <w:color w:val="000000"/>
                <w:kern w:val="2"/>
                <w:sz w:val="21"/>
                <w:szCs w:val="21"/>
                <w:highlight w:val="none"/>
                <w:lang w:val="en-US" w:eastAsia="zh-CN" w:bidi="ar-SA"/>
              </w:rPr>
            </w:pPr>
            <w:r>
              <w:rPr>
                <w:rFonts w:hint="eastAsia" w:ascii="宋体" w:hAnsi="宋体" w:cs="宋体"/>
                <w:sz w:val="20"/>
                <w:szCs w:val="20"/>
                <w:highlight w:val="none"/>
                <w:lang w:val="en-US" w:eastAsia="zh-CN"/>
              </w:rPr>
              <w:t>ZQ</w:t>
            </w:r>
            <w:r>
              <w:rPr>
                <w:rFonts w:hint="eastAsia" w:ascii="宋体" w:hAnsi="宋体" w:cs="宋体"/>
                <w:sz w:val="20"/>
                <w:szCs w:val="20"/>
                <w:highlight w:val="none"/>
              </w:rPr>
              <w:t>-</w:t>
            </w:r>
            <w:r>
              <w:rPr>
                <w:rFonts w:hint="eastAsia" w:ascii="宋体" w:hAnsi="宋体" w:cs="宋体"/>
                <w:sz w:val="20"/>
                <w:szCs w:val="20"/>
                <w:highlight w:val="none"/>
                <w:lang w:val="en-US" w:eastAsia="zh-CN"/>
              </w:rPr>
              <w:t>C07</w:t>
            </w:r>
          </w:p>
        </w:tc>
        <w:tc>
          <w:tcPr>
            <w:tcW w:w="7131" w:type="dxa"/>
            <w:noWrap w:val="0"/>
            <w:vAlign w:val="center"/>
          </w:tcPr>
          <w:p w14:paraId="5281B583">
            <w:pPr>
              <w:tabs>
                <w:tab w:val="left" w:pos="1778"/>
              </w:tabs>
              <w:jc w:val="both"/>
              <w:rPr>
                <w:rFonts w:hint="eastAsia" w:ascii="宋体" w:hAnsi="宋体" w:cs="宋体"/>
                <w:color w:val="000000"/>
                <w:szCs w:val="21"/>
                <w:highlight w:val="none"/>
              </w:rPr>
            </w:pPr>
            <w:r>
              <w:rPr>
                <w:rFonts w:hint="eastAsia" w:ascii="宋体" w:hAnsi="宋体" w:cs="宋体"/>
                <w:color w:val="000000"/>
                <w:szCs w:val="21"/>
                <w:highlight w:val="none"/>
              </w:rPr>
              <w:t>202</w:t>
            </w:r>
            <w:r>
              <w:rPr>
                <w:rFonts w:hint="eastAsia" w:ascii="宋体" w:hAnsi="宋体" w:cs="宋体"/>
                <w:color w:val="000000"/>
                <w:szCs w:val="21"/>
                <w:highlight w:val="none"/>
                <w:lang w:val="en-US" w:eastAsia="zh-CN"/>
              </w:rPr>
              <w:t>1</w:t>
            </w:r>
            <w:r>
              <w:rPr>
                <w:rFonts w:hint="eastAsia" w:ascii="宋体" w:hAnsi="宋体" w:cs="宋体"/>
                <w:color w:val="000000"/>
                <w:szCs w:val="21"/>
                <w:highlight w:val="none"/>
              </w:rPr>
              <w:t>年</w:t>
            </w:r>
            <w:r>
              <w:rPr>
                <w:rFonts w:hint="eastAsia" w:ascii="宋体" w:hAnsi="宋体" w:cs="宋体"/>
                <w:color w:val="000000"/>
                <w:szCs w:val="21"/>
                <w:highlight w:val="none"/>
                <w:lang w:val="en-US" w:eastAsia="zh-CN"/>
              </w:rPr>
              <w:t>1月1日</w:t>
            </w:r>
            <w:r>
              <w:rPr>
                <w:rFonts w:hint="eastAsia" w:ascii="宋体" w:hAnsi="宋体" w:cs="宋体"/>
                <w:color w:val="000000"/>
                <w:szCs w:val="21"/>
                <w:highlight w:val="none"/>
              </w:rPr>
              <w:t>（含）</w:t>
            </w:r>
            <w:r>
              <w:rPr>
                <w:rFonts w:hint="eastAsia" w:ascii="宋体" w:hAnsi="宋体" w:cs="宋体"/>
                <w:color w:val="000000"/>
                <w:szCs w:val="21"/>
                <w:highlight w:val="none"/>
                <w:lang w:val="en-US" w:eastAsia="zh-CN"/>
              </w:rPr>
              <w:t>至投标截止时间</w:t>
            </w:r>
            <w:r>
              <w:rPr>
                <w:rFonts w:hint="eastAsia" w:ascii="宋体" w:hAnsi="宋体" w:cs="宋体"/>
                <w:color w:val="000000"/>
                <w:szCs w:val="21"/>
                <w:highlight w:val="none"/>
              </w:rPr>
              <w:t>，同时满足：</w:t>
            </w:r>
          </w:p>
          <w:p w14:paraId="06F3906A">
            <w:pPr>
              <w:tabs>
                <w:tab w:val="left" w:pos="1778"/>
              </w:tabs>
              <w:jc w:val="both"/>
              <w:rPr>
                <w:rFonts w:hint="eastAsia" w:ascii="宋体" w:hAnsi="宋体" w:cs="宋体"/>
                <w:color w:val="000000"/>
                <w:szCs w:val="21"/>
                <w:highlight w:val="none"/>
              </w:rPr>
            </w:pPr>
            <w:r>
              <w:rPr>
                <w:rFonts w:hint="eastAsia" w:ascii="宋体" w:hAnsi="宋体" w:cs="宋体"/>
                <w:color w:val="000000"/>
                <w:szCs w:val="21"/>
                <w:highlight w:val="none"/>
              </w:rPr>
              <w:t>1.至少独立完成过</w:t>
            </w:r>
            <w:r>
              <w:rPr>
                <w:rFonts w:hint="eastAsia" w:ascii="宋体" w:hAnsi="宋体" w:eastAsia="宋体" w:cs="宋体"/>
                <w:color w:val="000000"/>
                <w:szCs w:val="21"/>
                <w:highlight w:val="none"/>
                <w:lang w:val="en-US" w:eastAsia="zh-CN"/>
              </w:rPr>
              <w:t>1</w:t>
            </w:r>
            <w:r>
              <w:rPr>
                <w:rFonts w:hint="eastAsia" w:ascii="宋体" w:hAnsi="宋体" w:cs="宋体"/>
                <w:color w:val="000000"/>
                <w:szCs w:val="21"/>
                <w:highlight w:val="none"/>
              </w:rPr>
              <w:t>个新建或改扩建高速公路项目土建工程（本次招标“土建工程”所指包括路基或桥涵，以下相同）施工合同段；</w:t>
            </w:r>
          </w:p>
          <w:p w14:paraId="11E43929">
            <w:pPr>
              <w:tabs>
                <w:tab w:val="left" w:pos="1778"/>
              </w:tabs>
              <w:jc w:val="both"/>
              <w:rPr>
                <w:rFonts w:hint="eastAsia" w:ascii="宋体" w:hAnsi="宋体" w:eastAsia="宋体" w:cs="宋体"/>
                <w:color w:val="000000"/>
                <w:szCs w:val="21"/>
                <w:highlight w:val="none"/>
                <w:lang w:val="en-US" w:eastAsia="zh-CN"/>
              </w:rPr>
            </w:pPr>
            <w:r>
              <w:rPr>
                <w:rFonts w:hint="eastAsia" w:ascii="宋体" w:hAnsi="宋体" w:cs="宋体"/>
                <w:color w:val="000000"/>
                <w:szCs w:val="21"/>
                <w:highlight w:val="none"/>
              </w:rPr>
              <w:t>2.独立完成的新建或改扩建高速公路项目土建工程施工合同段的路线长度累计不少于</w:t>
            </w:r>
            <w:r>
              <w:rPr>
                <w:rFonts w:hint="eastAsia" w:ascii="宋体" w:hAnsi="宋体" w:cs="宋体"/>
                <w:color w:val="000000"/>
                <w:szCs w:val="21"/>
                <w:highlight w:val="none"/>
                <w:lang w:val="en-US" w:eastAsia="zh-CN"/>
              </w:rPr>
              <w:t>12</w:t>
            </w:r>
            <w:r>
              <w:rPr>
                <w:rFonts w:hint="eastAsia" w:ascii="宋体" w:hAnsi="宋体" w:cs="宋体"/>
                <w:color w:val="000000"/>
                <w:szCs w:val="21"/>
                <w:highlight w:val="none"/>
              </w:rPr>
              <w:t>km（全幅）；</w:t>
            </w:r>
          </w:p>
        </w:tc>
      </w:tr>
    </w:tbl>
    <w:p w14:paraId="39896F64">
      <w:pPr>
        <w:spacing w:line="560" w:lineRule="exact"/>
        <w:ind w:firstLine="640" w:firstLineChars="200"/>
        <w:jc w:val="both"/>
        <w:rPr>
          <w:rStyle w:val="8"/>
          <w:rFonts w:hint="eastAsia" w:ascii="仿宋_GB2312" w:hAnsi="仿宋_GB2312" w:eastAsia="仿宋_GB2312" w:cs="仿宋_GB2312"/>
          <w:color w:val="000000"/>
          <w:sz w:val="32"/>
          <w:szCs w:val="32"/>
          <w:highlight w:val="none"/>
        </w:rPr>
      </w:pPr>
      <w:r>
        <w:rPr>
          <w:rStyle w:val="8"/>
          <w:rFonts w:hint="eastAsia" w:ascii="仿宋_GB2312" w:hAnsi="仿宋_GB2312" w:eastAsia="仿宋_GB2312" w:cs="仿宋_GB2312"/>
          <w:color w:val="000000"/>
          <w:sz w:val="32"/>
          <w:szCs w:val="32"/>
          <w:highlight w:val="none"/>
        </w:rPr>
        <w:t>（3）财务最低要求</w:t>
      </w:r>
    </w:p>
    <w:tbl>
      <w:tblPr>
        <w:tblStyle w:val="6"/>
        <w:tblW w:w="88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4"/>
        <w:gridCol w:w="1080"/>
        <w:gridCol w:w="6674"/>
      </w:tblGrid>
      <w:tr w14:paraId="3B1F8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blHeader/>
          <w:jc w:val="center"/>
        </w:trPr>
        <w:tc>
          <w:tcPr>
            <w:tcW w:w="1104" w:type="dxa"/>
            <w:noWrap w:val="0"/>
            <w:vAlign w:val="center"/>
          </w:tcPr>
          <w:p w14:paraId="76702DF6">
            <w:pPr>
              <w:tabs>
                <w:tab w:val="left" w:pos="1778"/>
              </w:tabs>
              <w:jc w:val="both"/>
              <w:rPr>
                <w:rFonts w:hint="eastAsia" w:ascii="宋体" w:hAnsi="宋体" w:eastAsia="宋体" w:cs="宋体"/>
                <w:b/>
                <w:color w:val="000000"/>
                <w:szCs w:val="21"/>
                <w:highlight w:val="none"/>
                <w:lang w:val="en-US" w:eastAsia="zh-CN"/>
              </w:rPr>
            </w:pPr>
            <w:r>
              <w:rPr>
                <w:rFonts w:hint="eastAsia" w:ascii="宋体" w:hAnsi="宋体" w:cs="宋体"/>
                <w:b/>
                <w:color w:val="000000"/>
                <w:szCs w:val="21"/>
                <w:highlight w:val="none"/>
                <w:lang w:val="en-US" w:eastAsia="zh-CN"/>
              </w:rPr>
              <w:t>组别</w:t>
            </w:r>
          </w:p>
        </w:tc>
        <w:tc>
          <w:tcPr>
            <w:tcW w:w="1080" w:type="dxa"/>
            <w:noWrap w:val="0"/>
            <w:vAlign w:val="center"/>
          </w:tcPr>
          <w:p w14:paraId="3E5FC20D">
            <w:pPr>
              <w:tabs>
                <w:tab w:val="left" w:pos="1778"/>
              </w:tabs>
              <w:jc w:val="both"/>
              <w:rPr>
                <w:rFonts w:hint="eastAsia" w:ascii="宋体" w:hAnsi="宋体" w:cs="宋体"/>
                <w:b/>
                <w:color w:val="000000"/>
                <w:szCs w:val="21"/>
                <w:highlight w:val="none"/>
              </w:rPr>
            </w:pPr>
            <w:r>
              <w:rPr>
                <w:rFonts w:hint="eastAsia" w:ascii="宋体" w:hAnsi="宋体" w:cs="宋体"/>
                <w:b/>
                <w:color w:val="000000"/>
                <w:szCs w:val="21"/>
                <w:highlight w:val="none"/>
              </w:rPr>
              <w:t>标段</w:t>
            </w:r>
          </w:p>
        </w:tc>
        <w:tc>
          <w:tcPr>
            <w:tcW w:w="6674" w:type="dxa"/>
            <w:noWrap w:val="0"/>
            <w:vAlign w:val="center"/>
          </w:tcPr>
          <w:p w14:paraId="5C4ADA81">
            <w:pPr>
              <w:tabs>
                <w:tab w:val="left" w:pos="1778"/>
              </w:tabs>
              <w:jc w:val="both"/>
              <w:rPr>
                <w:rFonts w:hint="eastAsia" w:ascii="宋体" w:hAnsi="宋体" w:cs="宋体"/>
                <w:b/>
                <w:color w:val="000000"/>
                <w:szCs w:val="21"/>
                <w:highlight w:val="none"/>
              </w:rPr>
            </w:pPr>
            <w:r>
              <w:rPr>
                <w:rFonts w:hint="eastAsia" w:ascii="宋体" w:hAnsi="宋体" w:cs="宋体"/>
                <w:b/>
                <w:color w:val="000000"/>
                <w:szCs w:val="21"/>
                <w:highlight w:val="none"/>
              </w:rPr>
              <w:t>财务要求</w:t>
            </w:r>
          </w:p>
        </w:tc>
      </w:tr>
      <w:tr w14:paraId="42C6E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jc w:val="center"/>
        </w:trPr>
        <w:tc>
          <w:tcPr>
            <w:tcW w:w="1104" w:type="dxa"/>
            <w:noWrap w:val="0"/>
            <w:vAlign w:val="center"/>
          </w:tcPr>
          <w:p w14:paraId="6FDBA80B">
            <w:pPr>
              <w:tabs>
                <w:tab w:val="left" w:pos="1778"/>
              </w:tabs>
              <w:jc w:val="both"/>
              <w:rPr>
                <w:rFonts w:hint="default" w:ascii="宋体" w:hAnsi="宋体" w:cs="宋体"/>
                <w:sz w:val="20"/>
                <w:szCs w:val="20"/>
                <w:highlight w:val="none"/>
                <w:lang w:val="en-US" w:eastAsia="zh-CN"/>
              </w:rPr>
            </w:pPr>
            <w:r>
              <w:rPr>
                <w:rFonts w:hint="eastAsia" w:ascii="宋体" w:hAnsi="宋体" w:cs="宋体"/>
                <w:sz w:val="20"/>
                <w:szCs w:val="20"/>
                <w:highlight w:val="none"/>
                <w:lang w:val="en-US" w:eastAsia="zh-CN"/>
              </w:rPr>
              <w:t>A、B组</w:t>
            </w:r>
          </w:p>
        </w:tc>
        <w:tc>
          <w:tcPr>
            <w:tcW w:w="1080" w:type="dxa"/>
            <w:noWrap w:val="0"/>
            <w:vAlign w:val="center"/>
          </w:tcPr>
          <w:p w14:paraId="21BDE9E5">
            <w:pPr>
              <w:tabs>
                <w:tab w:val="left" w:pos="1778"/>
              </w:tabs>
              <w:jc w:val="both"/>
              <w:rPr>
                <w:rFonts w:hint="eastAsia" w:ascii="宋体" w:hAnsi="宋体" w:cs="宋体"/>
                <w:sz w:val="20"/>
                <w:szCs w:val="20"/>
                <w:highlight w:val="none"/>
                <w:lang w:val="en-US" w:eastAsia="zh-CN"/>
              </w:rPr>
            </w:pPr>
            <w:r>
              <w:rPr>
                <w:rFonts w:hint="eastAsia" w:ascii="宋体" w:hAnsi="宋体" w:cs="宋体"/>
                <w:sz w:val="20"/>
                <w:szCs w:val="20"/>
                <w:highlight w:val="none"/>
                <w:lang w:val="en-US" w:eastAsia="zh-CN"/>
              </w:rPr>
              <w:t>ZQ</w:t>
            </w:r>
            <w:r>
              <w:rPr>
                <w:rFonts w:hint="eastAsia" w:ascii="宋体" w:hAnsi="宋体" w:cs="宋体"/>
                <w:sz w:val="20"/>
                <w:szCs w:val="20"/>
                <w:highlight w:val="none"/>
              </w:rPr>
              <w:t>-</w:t>
            </w:r>
            <w:r>
              <w:rPr>
                <w:rFonts w:hint="eastAsia" w:ascii="宋体" w:hAnsi="宋体" w:cs="宋体"/>
                <w:sz w:val="20"/>
                <w:szCs w:val="20"/>
                <w:highlight w:val="none"/>
                <w:lang w:val="en-US" w:eastAsia="zh-CN"/>
              </w:rPr>
              <w:t>C01</w:t>
            </w:r>
          </w:p>
          <w:p w14:paraId="4B5E0690">
            <w:pPr>
              <w:tabs>
                <w:tab w:val="left" w:pos="1778"/>
              </w:tabs>
              <w:jc w:val="both"/>
              <w:rPr>
                <w:rFonts w:hint="eastAsia" w:ascii="宋体" w:hAnsi="宋体" w:cs="宋体"/>
                <w:sz w:val="20"/>
                <w:szCs w:val="20"/>
                <w:highlight w:val="none"/>
                <w:lang w:val="en-US" w:eastAsia="zh-CN"/>
              </w:rPr>
            </w:pPr>
            <w:r>
              <w:rPr>
                <w:rFonts w:hint="eastAsia" w:ascii="宋体" w:hAnsi="宋体" w:cs="宋体"/>
                <w:sz w:val="20"/>
                <w:szCs w:val="20"/>
                <w:highlight w:val="none"/>
                <w:lang w:val="en-US" w:eastAsia="zh-CN"/>
              </w:rPr>
              <w:t>ZQ</w:t>
            </w:r>
            <w:r>
              <w:rPr>
                <w:rFonts w:hint="eastAsia" w:ascii="宋体" w:hAnsi="宋体" w:cs="宋体"/>
                <w:sz w:val="20"/>
                <w:szCs w:val="20"/>
                <w:highlight w:val="none"/>
              </w:rPr>
              <w:t>-</w:t>
            </w:r>
            <w:r>
              <w:rPr>
                <w:rFonts w:hint="eastAsia" w:ascii="宋体" w:hAnsi="宋体" w:cs="宋体"/>
                <w:sz w:val="20"/>
                <w:szCs w:val="20"/>
                <w:highlight w:val="none"/>
                <w:lang w:val="en-US" w:eastAsia="zh-CN"/>
              </w:rPr>
              <w:t>C04</w:t>
            </w:r>
          </w:p>
          <w:p w14:paraId="1147A73B">
            <w:pPr>
              <w:tabs>
                <w:tab w:val="left" w:pos="1778"/>
              </w:tabs>
              <w:jc w:val="both"/>
              <w:rPr>
                <w:rFonts w:hint="eastAsia" w:ascii="宋体" w:hAnsi="宋体" w:cs="宋体"/>
                <w:sz w:val="20"/>
                <w:szCs w:val="20"/>
                <w:highlight w:val="none"/>
                <w:lang w:val="en-US" w:eastAsia="zh-CN"/>
              </w:rPr>
            </w:pPr>
            <w:r>
              <w:rPr>
                <w:rFonts w:hint="eastAsia" w:ascii="宋体" w:hAnsi="宋体" w:cs="宋体"/>
                <w:sz w:val="20"/>
                <w:szCs w:val="20"/>
                <w:highlight w:val="none"/>
                <w:lang w:val="en-US" w:eastAsia="zh-CN"/>
              </w:rPr>
              <w:t>ZQ</w:t>
            </w:r>
            <w:r>
              <w:rPr>
                <w:rFonts w:hint="eastAsia" w:ascii="宋体" w:hAnsi="宋体" w:cs="宋体"/>
                <w:sz w:val="20"/>
                <w:szCs w:val="20"/>
                <w:highlight w:val="none"/>
              </w:rPr>
              <w:t>-</w:t>
            </w:r>
            <w:r>
              <w:rPr>
                <w:rFonts w:hint="eastAsia" w:ascii="宋体" w:hAnsi="宋体" w:cs="宋体"/>
                <w:sz w:val="20"/>
                <w:szCs w:val="20"/>
                <w:highlight w:val="none"/>
                <w:lang w:val="en-US" w:eastAsia="zh-CN"/>
              </w:rPr>
              <w:t>C05</w:t>
            </w:r>
          </w:p>
          <w:p w14:paraId="6516206A">
            <w:pPr>
              <w:tabs>
                <w:tab w:val="left" w:pos="1778"/>
              </w:tabs>
              <w:jc w:val="both"/>
              <w:rPr>
                <w:rFonts w:hint="eastAsia" w:ascii="宋体" w:hAnsi="宋体" w:cs="宋体"/>
                <w:sz w:val="20"/>
                <w:szCs w:val="20"/>
                <w:highlight w:val="none"/>
                <w:lang w:val="en-US" w:eastAsia="zh-CN"/>
              </w:rPr>
            </w:pPr>
            <w:r>
              <w:rPr>
                <w:rFonts w:hint="eastAsia" w:ascii="宋体" w:hAnsi="宋体" w:cs="宋体"/>
                <w:sz w:val="20"/>
                <w:szCs w:val="20"/>
                <w:highlight w:val="none"/>
                <w:lang w:val="en-US" w:eastAsia="zh-CN"/>
              </w:rPr>
              <w:t>ZQ</w:t>
            </w:r>
            <w:r>
              <w:rPr>
                <w:rFonts w:hint="eastAsia" w:ascii="宋体" w:hAnsi="宋体" w:cs="宋体"/>
                <w:sz w:val="20"/>
                <w:szCs w:val="20"/>
                <w:highlight w:val="none"/>
              </w:rPr>
              <w:t>-</w:t>
            </w:r>
            <w:r>
              <w:rPr>
                <w:rFonts w:hint="eastAsia" w:ascii="宋体" w:hAnsi="宋体" w:cs="宋体"/>
                <w:sz w:val="20"/>
                <w:szCs w:val="20"/>
                <w:highlight w:val="none"/>
                <w:lang w:val="en-US" w:eastAsia="zh-CN"/>
              </w:rPr>
              <w:t>C06</w:t>
            </w:r>
          </w:p>
          <w:p w14:paraId="7BF47E07">
            <w:pPr>
              <w:tabs>
                <w:tab w:val="left" w:pos="1778"/>
              </w:tabs>
              <w:jc w:val="both"/>
              <w:rPr>
                <w:rFonts w:hint="eastAsia" w:ascii="宋体" w:hAnsi="宋体" w:cs="宋体"/>
                <w:sz w:val="20"/>
                <w:szCs w:val="20"/>
                <w:highlight w:val="none"/>
                <w:lang w:val="en-US" w:eastAsia="zh-CN"/>
              </w:rPr>
            </w:pPr>
            <w:r>
              <w:rPr>
                <w:rFonts w:hint="eastAsia" w:ascii="宋体" w:hAnsi="宋体" w:cs="宋体"/>
                <w:sz w:val="20"/>
                <w:szCs w:val="20"/>
                <w:highlight w:val="none"/>
                <w:lang w:val="en-US" w:eastAsia="zh-CN"/>
              </w:rPr>
              <w:t>ZQ</w:t>
            </w:r>
            <w:r>
              <w:rPr>
                <w:rFonts w:hint="eastAsia" w:ascii="宋体" w:hAnsi="宋体" w:cs="宋体"/>
                <w:sz w:val="20"/>
                <w:szCs w:val="20"/>
                <w:highlight w:val="none"/>
              </w:rPr>
              <w:t>-</w:t>
            </w:r>
            <w:r>
              <w:rPr>
                <w:rFonts w:hint="eastAsia" w:ascii="宋体" w:hAnsi="宋体" w:cs="宋体"/>
                <w:sz w:val="20"/>
                <w:szCs w:val="20"/>
                <w:highlight w:val="none"/>
                <w:lang w:val="en-US" w:eastAsia="zh-CN"/>
              </w:rPr>
              <w:t>C07</w:t>
            </w:r>
          </w:p>
        </w:tc>
        <w:tc>
          <w:tcPr>
            <w:tcW w:w="6674" w:type="dxa"/>
            <w:noWrap w:val="0"/>
            <w:vAlign w:val="center"/>
          </w:tcPr>
          <w:p w14:paraId="22A71CC5">
            <w:pPr>
              <w:keepNext w:val="0"/>
              <w:keepLines w:val="0"/>
              <w:pageBreakBefore w:val="0"/>
              <w:widowControl/>
              <w:kinsoku/>
              <w:wordWrap/>
              <w:overflowPunct/>
              <w:topLinePunct w:val="0"/>
              <w:autoSpaceDE w:val="0"/>
              <w:autoSpaceDN w:val="0"/>
              <w:bidi w:val="0"/>
              <w:adjustRightInd w:val="0"/>
              <w:snapToGrid w:val="0"/>
              <w:jc w:val="both"/>
              <w:textAlignment w:val="baseline"/>
              <w:rPr>
                <w:rFonts w:hint="eastAsia" w:ascii="宋体" w:hAnsi="宋体" w:cs="宋体"/>
                <w:color w:val="000000"/>
                <w:szCs w:val="21"/>
                <w:highlight w:val="none"/>
              </w:rPr>
            </w:pPr>
            <w:r>
              <w:rPr>
                <w:rFonts w:hint="eastAsia" w:ascii="宋体" w:hAnsi="宋体" w:cs="宋体"/>
                <w:color w:val="000000"/>
                <w:szCs w:val="21"/>
                <w:highlight w:val="none"/>
              </w:rPr>
              <w:t>近三年（202</w:t>
            </w:r>
            <w:r>
              <w:rPr>
                <w:rFonts w:hint="eastAsia" w:ascii="宋体" w:hAnsi="宋体" w:cs="宋体"/>
                <w:color w:val="000000"/>
                <w:szCs w:val="21"/>
                <w:highlight w:val="none"/>
                <w:lang w:val="en-US" w:eastAsia="zh-CN"/>
              </w:rPr>
              <w:t>3</w:t>
            </w:r>
            <w:r>
              <w:rPr>
                <w:rFonts w:hint="eastAsia" w:ascii="宋体" w:hAnsi="宋体" w:cs="宋体"/>
                <w:color w:val="000000"/>
                <w:szCs w:val="21"/>
                <w:highlight w:val="none"/>
              </w:rPr>
              <w:t>年、202</w:t>
            </w:r>
            <w:r>
              <w:rPr>
                <w:rFonts w:hint="eastAsia" w:ascii="宋体" w:hAnsi="宋体" w:cs="宋体"/>
                <w:color w:val="000000"/>
                <w:szCs w:val="21"/>
                <w:highlight w:val="none"/>
                <w:lang w:val="en-US" w:eastAsia="zh-CN"/>
              </w:rPr>
              <w:t>4</w:t>
            </w:r>
            <w:r>
              <w:rPr>
                <w:rFonts w:hint="eastAsia" w:ascii="宋体" w:hAnsi="宋体" w:cs="宋体"/>
                <w:color w:val="000000"/>
                <w:szCs w:val="21"/>
                <w:highlight w:val="none"/>
              </w:rPr>
              <w:t>年、202</w:t>
            </w:r>
            <w:r>
              <w:rPr>
                <w:rFonts w:hint="eastAsia" w:ascii="宋体" w:hAnsi="宋体" w:cs="宋体"/>
                <w:color w:val="000000"/>
                <w:szCs w:val="21"/>
                <w:highlight w:val="none"/>
                <w:lang w:val="en-US" w:eastAsia="zh-CN"/>
              </w:rPr>
              <w:t>5</w:t>
            </w:r>
            <w:r>
              <w:rPr>
                <w:rFonts w:hint="eastAsia" w:ascii="宋体" w:hAnsi="宋体" w:cs="宋体"/>
                <w:color w:val="000000"/>
                <w:szCs w:val="21"/>
                <w:highlight w:val="none"/>
              </w:rPr>
              <w:t>年）的平均企业资产负债率不大于85%。</w:t>
            </w:r>
          </w:p>
        </w:tc>
      </w:tr>
    </w:tbl>
    <w:p w14:paraId="2255ACAE">
      <w:pPr>
        <w:spacing w:line="560" w:lineRule="exact"/>
        <w:ind w:firstLine="640" w:firstLineChars="200"/>
        <w:jc w:val="both"/>
        <w:rPr>
          <w:rStyle w:val="8"/>
          <w:rFonts w:hint="eastAsia" w:ascii="仿宋_GB2312" w:hAnsi="仿宋_GB2312" w:eastAsia="仿宋_GB2312" w:cs="仿宋_GB2312"/>
          <w:color w:val="000000"/>
          <w:sz w:val="32"/>
          <w:szCs w:val="32"/>
          <w:highlight w:val="none"/>
        </w:rPr>
      </w:pPr>
      <w:r>
        <w:rPr>
          <w:rStyle w:val="8"/>
          <w:rFonts w:hint="eastAsia" w:ascii="仿宋_GB2312" w:hAnsi="仿宋_GB2312" w:eastAsia="仿宋_GB2312" w:cs="仿宋_GB2312"/>
          <w:color w:val="000000"/>
          <w:sz w:val="32"/>
          <w:szCs w:val="32"/>
          <w:highlight w:val="none"/>
        </w:rPr>
        <w:t>（4）信誉最低要求</w:t>
      </w:r>
    </w:p>
    <w:tbl>
      <w:tblPr>
        <w:tblStyle w:val="6"/>
        <w:tblW w:w="88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5"/>
        <w:gridCol w:w="1080"/>
        <w:gridCol w:w="6659"/>
      </w:tblGrid>
      <w:tr w14:paraId="6A678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blHeader/>
          <w:jc w:val="center"/>
        </w:trPr>
        <w:tc>
          <w:tcPr>
            <w:tcW w:w="1095" w:type="dxa"/>
            <w:noWrap w:val="0"/>
            <w:vAlign w:val="center"/>
          </w:tcPr>
          <w:p w14:paraId="44D223CC">
            <w:pPr>
              <w:tabs>
                <w:tab w:val="left" w:pos="1778"/>
              </w:tabs>
              <w:jc w:val="both"/>
              <w:rPr>
                <w:rFonts w:hint="eastAsia" w:ascii="宋体" w:hAnsi="宋体" w:eastAsia="宋体" w:cs="宋体"/>
                <w:b/>
                <w:color w:val="000000"/>
                <w:szCs w:val="21"/>
                <w:highlight w:val="none"/>
                <w:lang w:val="en-US" w:eastAsia="zh-CN"/>
              </w:rPr>
            </w:pPr>
            <w:r>
              <w:rPr>
                <w:rFonts w:hint="eastAsia" w:ascii="宋体" w:hAnsi="宋体" w:cs="宋体"/>
                <w:b/>
                <w:color w:val="000000"/>
                <w:szCs w:val="21"/>
                <w:highlight w:val="none"/>
                <w:lang w:val="en-US" w:eastAsia="zh-CN"/>
              </w:rPr>
              <w:t>组别</w:t>
            </w:r>
          </w:p>
        </w:tc>
        <w:tc>
          <w:tcPr>
            <w:tcW w:w="1080" w:type="dxa"/>
            <w:noWrap w:val="0"/>
            <w:vAlign w:val="center"/>
          </w:tcPr>
          <w:p w14:paraId="6EC1F1D4">
            <w:pPr>
              <w:tabs>
                <w:tab w:val="left" w:pos="1778"/>
              </w:tabs>
              <w:jc w:val="both"/>
              <w:rPr>
                <w:rFonts w:hint="eastAsia" w:ascii="宋体" w:hAnsi="宋体" w:cs="宋体"/>
                <w:b/>
                <w:color w:val="000000"/>
                <w:szCs w:val="21"/>
                <w:highlight w:val="none"/>
              </w:rPr>
            </w:pPr>
            <w:r>
              <w:rPr>
                <w:rFonts w:hint="eastAsia" w:ascii="宋体" w:hAnsi="宋体" w:cs="宋体"/>
                <w:b/>
                <w:color w:val="000000"/>
                <w:szCs w:val="21"/>
                <w:highlight w:val="none"/>
              </w:rPr>
              <w:t>标段</w:t>
            </w:r>
          </w:p>
        </w:tc>
        <w:tc>
          <w:tcPr>
            <w:tcW w:w="6659" w:type="dxa"/>
            <w:noWrap w:val="0"/>
            <w:vAlign w:val="center"/>
          </w:tcPr>
          <w:p w14:paraId="2CEDC77F">
            <w:pPr>
              <w:tabs>
                <w:tab w:val="left" w:pos="1778"/>
              </w:tabs>
              <w:jc w:val="both"/>
              <w:rPr>
                <w:rFonts w:hint="eastAsia" w:ascii="宋体" w:hAnsi="宋体" w:cs="宋体"/>
                <w:b/>
                <w:color w:val="000000"/>
                <w:szCs w:val="21"/>
                <w:highlight w:val="none"/>
              </w:rPr>
            </w:pPr>
            <w:r>
              <w:rPr>
                <w:rFonts w:hint="eastAsia" w:ascii="宋体" w:hAnsi="宋体" w:cs="宋体"/>
                <w:b/>
                <w:color w:val="000000"/>
                <w:szCs w:val="21"/>
                <w:highlight w:val="none"/>
              </w:rPr>
              <w:t>信誉要求</w:t>
            </w:r>
          </w:p>
        </w:tc>
      </w:tr>
      <w:tr w14:paraId="590A0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jc w:val="center"/>
        </w:trPr>
        <w:tc>
          <w:tcPr>
            <w:tcW w:w="1095" w:type="dxa"/>
            <w:noWrap w:val="0"/>
            <w:vAlign w:val="center"/>
          </w:tcPr>
          <w:p w14:paraId="0B608D9C">
            <w:pPr>
              <w:tabs>
                <w:tab w:val="left" w:pos="1778"/>
              </w:tabs>
              <w:jc w:val="both"/>
              <w:rPr>
                <w:rFonts w:hint="eastAsia" w:ascii="宋体" w:hAnsi="宋体" w:cs="宋体"/>
                <w:sz w:val="20"/>
                <w:szCs w:val="20"/>
                <w:highlight w:val="none"/>
                <w:lang w:val="en-US" w:eastAsia="zh-CN"/>
              </w:rPr>
            </w:pPr>
            <w:r>
              <w:rPr>
                <w:rFonts w:hint="eastAsia" w:ascii="宋体" w:hAnsi="宋体" w:cs="宋体"/>
                <w:sz w:val="20"/>
                <w:szCs w:val="20"/>
                <w:highlight w:val="none"/>
                <w:lang w:val="en-US" w:eastAsia="zh-CN"/>
              </w:rPr>
              <w:t>A、B组</w:t>
            </w:r>
          </w:p>
        </w:tc>
        <w:tc>
          <w:tcPr>
            <w:tcW w:w="1080" w:type="dxa"/>
            <w:noWrap w:val="0"/>
            <w:vAlign w:val="center"/>
          </w:tcPr>
          <w:p w14:paraId="52C4C35B">
            <w:pPr>
              <w:tabs>
                <w:tab w:val="left" w:pos="1778"/>
              </w:tabs>
              <w:jc w:val="both"/>
              <w:rPr>
                <w:rFonts w:hint="eastAsia" w:ascii="宋体" w:hAnsi="宋体" w:cs="宋体"/>
                <w:sz w:val="20"/>
                <w:szCs w:val="20"/>
                <w:highlight w:val="none"/>
                <w:lang w:val="en-US" w:eastAsia="zh-CN"/>
              </w:rPr>
            </w:pPr>
            <w:r>
              <w:rPr>
                <w:rFonts w:hint="eastAsia" w:ascii="宋体" w:hAnsi="宋体" w:cs="宋体"/>
                <w:sz w:val="20"/>
                <w:szCs w:val="20"/>
                <w:highlight w:val="none"/>
                <w:lang w:val="en-US" w:eastAsia="zh-CN"/>
              </w:rPr>
              <w:t>ZQ</w:t>
            </w:r>
            <w:r>
              <w:rPr>
                <w:rFonts w:hint="eastAsia" w:ascii="宋体" w:hAnsi="宋体" w:cs="宋体"/>
                <w:sz w:val="20"/>
                <w:szCs w:val="20"/>
                <w:highlight w:val="none"/>
              </w:rPr>
              <w:t>-</w:t>
            </w:r>
            <w:r>
              <w:rPr>
                <w:rFonts w:hint="eastAsia" w:ascii="宋体" w:hAnsi="宋体" w:cs="宋体"/>
                <w:sz w:val="20"/>
                <w:szCs w:val="20"/>
                <w:highlight w:val="none"/>
                <w:lang w:val="en-US" w:eastAsia="zh-CN"/>
              </w:rPr>
              <w:t>C01</w:t>
            </w:r>
          </w:p>
          <w:p w14:paraId="73B090A8">
            <w:pPr>
              <w:tabs>
                <w:tab w:val="left" w:pos="1778"/>
              </w:tabs>
              <w:jc w:val="both"/>
              <w:rPr>
                <w:rFonts w:hint="eastAsia" w:ascii="宋体" w:hAnsi="宋体" w:cs="宋体"/>
                <w:sz w:val="20"/>
                <w:szCs w:val="20"/>
                <w:highlight w:val="none"/>
                <w:lang w:val="en-US" w:eastAsia="zh-CN"/>
              </w:rPr>
            </w:pPr>
            <w:r>
              <w:rPr>
                <w:rFonts w:hint="eastAsia" w:ascii="宋体" w:hAnsi="宋体" w:cs="宋体"/>
                <w:sz w:val="20"/>
                <w:szCs w:val="20"/>
                <w:highlight w:val="none"/>
                <w:lang w:val="en-US" w:eastAsia="zh-CN"/>
              </w:rPr>
              <w:t>ZQ</w:t>
            </w:r>
            <w:r>
              <w:rPr>
                <w:rFonts w:hint="eastAsia" w:ascii="宋体" w:hAnsi="宋体" w:cs="宋体"/>
                <w:sz w:val="20"/>
                <w:szCs w:val="20"/>
                <w:highlight w:val="none"/>
              </w:rPr>
              <w:t>-</w:t>
            </w:r>
            <w:r>
              <w:rPr>
                <w:rFonts w:hint="eastAsia" w:ascii="宋体" w:hAnsi="宋体" w:cs="宋体"/>
                <w:sz w:val="20"/>
                <w:szCs w:val="20"/>
                <w:highlight w:val="none"/>
                <w:lang w:val="en-US" w:eastAsia="zh-CN"/>
              </w:rPr>
              <w:t>C04</w:t>
            </w:r>
          </w:p>
          <w:p w14:paraId="45AB7794">
            <w:pPr>
              <w:tabs>
                <w:tab w:val="left" w:pos="1778"/>
              </w:tabs>
              <w:jc w:val="both"/>
              <w:rPr>
                <w:rFonts w:hint="eastAsia" w:ascii="宋体" w:hAnsi="宋体" w:cs="宋体"/>
                <w:sz w:val="20"/>
                <w:szCs w:val="20"/>
                <w:highlight w:val="none"/>
                <w:lang w:val="en-US" w:eastAsia="zh-CN"/>
              </w:rPr>
            </w:pPr>
            <w:r>
              <w:rPr>
                <w:rFonts w:hint="eastAsia" w:ascii="宋体" w:hAnsi="宋体" w:cs="宋体"/>
                <w:sz w:val="20"/>
                <w:szCs w:val="20"/>
                <w:highlight w:val="none"/>
                <w:lang w:val="en-US" w:eastAsia="zh-CN"/>
              </w:rPr>
              <w:t>ZQ</w:t>
            </w:r>
            <w:r>
              <w:rPr>
                <w:rFonts w:hint="eastAsia" w:ascii="宋体" w:hAnsi="宋体" w:cs="宋体"/>
                <w:sz w:val="20"/>
                <w:szCs w:val="20"/>
                <w:highlight w:val="none"/>
              </w:rPr>
              <w:t>-</w:t>
            </w:r>
            <w:r>
              <w:rPr>
                <w:rFonts w:hint="eastAsia" w:ascii="宋体" w:hAnsi="宋体" w:cs="宋体"/>
                <w:sz w:val="20"/>
                <w:szCs w:val="20"/>
                <w:highlight w:val="none"/>
                <w:lang w:val="en-US" w:eastAsia="zh-CN"/>
              </w:rPr>
              <w:t>C05</w:t>
            </w:r>
          </w:p>
          <w:p w14:paraId="0B23E707">
            <w:pPr>
              <w:tabs>
                <w:tab w:val="left" w:pos="1778"/>
              </w:tabs>
              <w:jc w:val="both"/>
              <w:rPr>
                <w:rFonts w:hint="eastAsia" w:ascii="宋体" w:hAnsi="宋体" w:cs="宋体"/>
                <w:sz w:val="20"/>
                <w:szCs w:val="20"/>
                <w:highlight w:val="none"/>
                <w:lang w:val="en-US" w:eastAsia="zh-CN"/>
              </w:rPr>
            </w:pPr>
            <w:r>
              <w:rPr>
                <w:rFonts w:hint="eastAsia" w:ascii="宋体" w:hAnsi="宋体" w:cs="宋体"/>
                <w:sz w:val="20"/>
                <w:szCs w:val="20"/>
                <w:highlight w:val="none"/>
                <w:lang w:val="en-US" w:eastAsia="zh-CN"/>
              </w:rPr>
              <w:t>ZQ</w:t>
            </w:r>
            <w:r>
              <w:rPr>
                <w:rFonts w:hint="eastAsia" w:ascii="宋体" w:hAnsi="宋体" w:cs="宋体"/>
                <w:sz w:val="20"/>
                <w:szCs w:val="20"/>
                <w:highlight w:val="none"/>
              </w:rPr>
              <w:t>-</w:t>
            </w:r>
            <w:r>
              <w:rPr>
                <w:rFonts w:hint="eastAsia" w:ascii="宋体" w:hAnsi="宋体" w:cs="宋体"/>
                <w:sz w:val="20"/>
                <w:szCs w:val="20"/>
                <w:highlight w:val="none"/>
                <w:lang w:val="en-US" w:eastAsia="zh-CN"/>
              </w:rPr>
              <w:t>C06</w:t>
            </w:r>
          </w:p>
          <w:p w14:paraId="7E2F1AB6">
            <w:pPr>
              <w:tabs>
                <w:tab w:val="left" w:pos="1778"/>
              </w:tabs>
              <w:jc w:val="both"/>
              <w:rPr>
                <w:rFonts w:hint="eastAsia" w:ascii="宋体" w:hAnsi="宋体" w:cs="宋体"/>
                <w:sz w:val="20"/>
                <w:szCs w:val="20"/>
                <w:highlight w:val="none"/>
                <w:lang w:val="en-US" w:eastAsia="zh-CN"/>
              </w:rPr>
            </w:pPr>
            <w:r>
              <w:rPr>
                <w:rFonts w:hint="eastAsia" w:ascii="宋体" w:hAnsi="宋体" w:cs="宋体"/>
                <w:sz w:val="20"/>
                <w:szCs w:val="20"/>
                <w:highlight w:val="none"/>
                <w:lang w:val="en-US" w:eastAsia="zh-CN"/>
              </w:rPr>
              <w:t>ZQ</w:t>
            </w:r>
            <w:r>
              <w:rPr>
                <w:rFonts w:hint="eastAsia" w:ascii="宋体" w:hAnsi="宋体" w:cs="宋体"/>
                <w:sz w:val="20"/>
                <w:szCs w:val="20"/>
                <w:highlight w:val="none"/>
              </w:rPr>
              <w:t>-</w:t>
            </w:r>
            <w:r>
              <w:rPr>
                <w:rFonts w:hint="eastAsia" w:ascii="宋体" w:hAnsi="宋体" w:cs="宋体"/>
                <w:sz w:val="20"/>
                <w:szCs w:val="20"/>
                <w:highlight w:val="none"/>
                <w:lang w:val="en-US" w:eastAsia="zh-CN"/>
              </w:rPr>
              <w:t>C07</w:t>
            </w:r>
          </w:p>
        </w:tc>
        <w:tc>
          <w:tcPr>
            <w:tcW w:w="6659" w:type="dxa"/>
            <w:noWrap w:val="0"/>
            <w:vAlign w:val="center"/>
          </w:tcPr>
          <w:p w14:paraId="26B1A3C7">
            <w:pPr>
              <w:keepNext w:val="0"/>
              <w:keepLines w:val="0"/>
              <w:pageBreakBefore w:val="0"/>
              <w:widowControl/>
              <w:kinsoku/>
              <w:wordWrap/>
              <w:overflowPunct/>
              <w:topLinePunct w:val="0"/>
              <w:autoSpaceDE w:val="0"/>
              <w:autoSpaceDN w:val="0"/>
              <w:bidi w:val="0"/>
              <w:adjustRightInd w:val="0"/>
              <w:snapToGrid w:val="0"/>
              <w:jc w:val="both"/>
              <w:textAlignment w:val="baseline"/>
              <w:rPr>
                <w:rFonts w:hint="eastAsia" w:ascii="宋体" w:hAnsi="宋体" w:cs="宋体"/>
                <w:color w:val="000000"/>
                <w:szCs w:val="21"/>
                <w:highlight w:val="none"/>
              </w:rPr>
            </w:pPr>
            <w:r>
              <w:rPr>
                <w:rFonts w:hint="eastAsia" w:ascii="宋体" w:hAnsi="宋体" w:cs="宋体"/>
                <w:color w:val="000000"/>
                <w:szCs w:val="21"/>
                <w:highlight w:val="none"/>
              </w:rPr>
              <w:t>未被交通运输部或陕西省交通运输厅列入信用评价D级且处于有效期内。</w:t>
            </w:r>
          </w:p>
        </w:tc>
      </w:tr>
    </w:tbl>
    <w:p w14:paraId="2D4C706A">
      <w:pPr>
        <w:spacing w:line="560" w:lineRule="exact"/>
        <w:ind w:firstLine="640" w:firstLineChars="200"/>
        <w:jc w:val="both"/>
        <w:rPr>
          <w:rStyle w:val="8"/>
          <w:rFonts w:hint="eastAsia" w:ascii="仿宋_GB2312" w:hAnsi="仿宋_GB2312" w:eastAsia="仿宋_GB2312" w:cs="仿宋_GB2312"/>
          <w:color w:val="000000"/>
          <w:sz w:val="32"/>
          <w:szCs w:val="32"/>
          <w:highlight w:val="none"/>
        </w:rPr>
      </w:pPr>
      <w:r>
        <w:rPr>
          <w:rStyle w:val="8"/>
          <w:rFonts w:hint="eastAsia" w:ascii="仿宋_GB2312" w:hAnsi="仿宋_GB2312" w:eastAsia="仿宋_GB2312" w:cs="仿宋_GB2312"/>
          <w:color w:val="000000"/>
          <w:sz w:val="32"/>
          <w:szCs w:val="32"/>
          <w:highlight w:val="none"/>
        </w:rPr>
        <w:t>（5）项目经理和项目总工最低要求</w:t>
      </w:r>
    </w:p>
    <w:tbl>
      <w:tblPr>
        <w:tblStyle w:val="6"/>
        <w:tblpPr w:leftFromText="180" w:rightFromText="180" w:vertAnchor="text" w:horzAnchor="page" w:tblpXSpec="center" w:tblpY="23"/>
        <w:tblOverlap w:val="never"/>
        <w:tblW w:w="8639" w:type="dxa"/>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645"/>
        <w:gridCol w:w="540"/>
        <w:gridCol w:w="4826"/>
        <w:gridCol w:w="1573"/>
      </w:tblGrid>
      <w:tr w14:paraId="4FC20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blHeader/>
        </w:trPr>
        <w:tc>
          <w:tcPr>
            <w:tcW w:w="1055" w:type="dxa"/>
            <w:noWrap w:val="0"/>
            <w:vAlign w:val="center"/>
          </w:tcPr>
          <w:p w14:paraId="02C7EFBE">
            <w:pPr>
              <w:tabs>
                <w:tab w:val="left" w:pos="1778"/>
              </w:tabs>
              <w:jc w:val="both"/>
              <w:rPr>
                <w:rFonts w:hint="eastAsia" w:ascii="宋体" w:hAnsi="宋体" w:cs="宋体"/>
                <w:b/>
                <w:color w:val="000000"/>
                <w:szCs w:val="21"/>
                <w:highlight w:val="none"/>
              </w:rPr>
            </w:pPr>
            <w:r>
              <w:rPr>
                <w:rFonts w:hint="eastAsia" w:ascii="宋体" w:hAnsi="宋体" w:cs="宋体"/>
                <w:b/>
                <w:color w:val="000000"/>
                <w:szCs w:val="21"/>
                <w:highlight w:val="none"/>
              </w:rPr>
              <w:t>标段</w:t>
            </w:r>
          </w:p>
        </w:tc>
        <w:tc>
          <w:tcPr>
            <w:tcW w:w="645" w:type="dxa"/>
            <w:noWrap w:val="0"/>
            <w:vAlign w:val="center"/>
          </w:tcPr>
          <w:p w14:paraId="488D886B">
            <w:pPr>
              <w:tabs>
                <w:tab w:val="left" w:pos="1778"/>
              </w:tabs>
              <w:jc w:val="both"/>
              <w:rPr>
                <w:rFonts w:hint="eastAsia" w:ascii="宋体" w:hAnsi="宋体" w:cs="宋体"/>
                <w:b/>
                <w:color w:val="000000"/>
                <w:szCs w:val="21"/>
                <w:highlight w:val="none"/>
              </w:rPr>
            </w:pPr>
            <w:r>
              <w:rPr>
                <w:rFonts w:hint="eastAsia" w:ascii="宋体" w:hAnsi="宋体" w:cs="宋体"/>
                <w:b/>
                <w:color w:val="000000"/>
                <w:szCs w:val="21"/>
                <w:highlight w:val="none"/>
              </w:rPr>
              <w:t>人员</w:t>
            </w:r>
          </w:p>
        </w:tc>
        <w:tc>
          <w:tcPr>
            <w:tcW w:w="540" w:type="dxa"/>
            <w:noWrap w:val="0"/>
            <w:vAlign w:val="center"/>
          </w:tcPr>
          <w:p w14:paraId="7E7EA69E">
            <w:pPr>
              <w:tabs>
                <w:tab w:val="left" w:pos="1778"/>
              </w:tabs>
              <w:jc w:val="both"/>
              <w:rPr>
                <w:rFonts w:hint="eastAsia" w:ascii="宋体" w:hAnsi="宋体" w:cs="宋体"/>
                <w:b/>
                <w:color w:val="000000"/>
                <w:szCs w:val="21"/>
                <w:highlight w:val="none"/>
              </w:rPr>
            </w:pPr>
            <w:r>
              <w:rPr>
                <w:rFonts w:hint="eastAsia" w:ascii="宋体" w:hAnsi="宋体" w:cs="宋体"/>
                <w:b/>
                <w:color w:val="000000"/>
                <w:szCs w:val="21"/>
                <w:highlight w:val="none"/>
              </w:rPr>
              <w:t>数量</w:t>
            </w:r>
          </w:p>
        </w:tc>
        <w:tc>
          <w:tcPr>
            <w:tcW w:w="4826" w:type="dxa"/>
            <w:noWrap w:val="0"/>
            <w:vAlign w:val="center"/>
          </w:tcPr>
          <w:p w14:paraId="7ED34697">
            <w:pPr>
              <w:tabs>
                <w:tab w:val="left" w:pos="1778"/>
              </w:tabs>
              <w:jc w:val="both"/>
              <w:rPr>
                <w:rFonts w:hint="eastAsia" w:ascii="宋体" w:hAnsi="宋体" w:cs="宋体"/>
                <w:b/>
                <w:color w:val="000000"/>
                <w:szCs w:val="21"/>
                <w:highlight w:val="none"/>
              </w:rPr>
            </w:pPr>
            <w:r>
              <w:rPr>
                <w:rFonts w:hint="eastAsia" w:ascii="宋体" w:hAnsi="宋体" w:cs="宋体"/>
                <w:b/>
                <w:color w:val="000000"/>
                <w:szCs w:val="21"/>
                <w:highlight w:val="none"/>
              </w:rPr>
              <w:t>资格要求</w:t>
            </w:r>
          </w:p>
        </w:tc>
        <w:tc>
          <w:tcPr>
            <w:tcW w:w="1573" w:type="dxa"/>
            <w:noWrap w:val="0"/>
            <w:vAlign w:val="center"/>
          </w:tcPr>
          <w:p w14:paraId="1D98D0FF">
            <w:pPr>
              <w:tabs>
                <w:tab w:val="left" w:pos="1778"/>
              </w:tabs>
              <w:jc w:val="both"/>
              <w:rPr>
                <w:rFonts w:hint="eastAsia" w:ascii="宋体" w:hAnsi="宋体" w:cs="宋体"/>
                <w:b/>
                <w:color w:val="000000"/>
                <w:szCs w:val="21"/>
                <w:highlight w:val="none"/>
              </w:rPr>
            </w:pPr>
            <w:r>
              <w:rPr>
                <w:rFonts w:hint="eastAsia" w:ascii="宋体" w:hAnsi="宋体" w:cs="宋体"/>
                <w:b/>
                <w:color w:val="000000"/>
                <w:szCs w:val="21"/>
                <w:highlight w:val="none"/>
              </w:rPr>
              <w:t>在岗要求</w:t>
            </w:r>
          </w:p>
        </w:tc>
      </w:tr>
      <w:tr w14:paraId="1687F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5" w:hRule="atLeast"/>
        </w:trPr>
        <w:tc>
          <w:tcPr>
            <w:tcW w:w="1055" w:type="dxa"/>
            <w:vMerge w:val="restart"/>
            <w:noWrap w:val="0"/>
            <w:vAlign w:val="center"/>
          </w:tcPr>
          <w:p w14:paraId="63651FF6">
            <w:pPr>
              <w:tabs>
                <w:tab w:val="left" w:pos="1778"/>
              </w:tabs>
              <w:jc w:val="both"/>
              <w:rPr>
                <w:rFonts w:hint="eastAsia" w:ascii="宋体" w:hAnsi="宋体" w:cs="宋体"/>
                <w:sz w:val="20"/>
                <w:szCs w:val="20"/>
                <w:highlight w:val="none"/>
                <w:lang w:val="en-US" w:eastAsia="zh-CN"/>
              </w:rPr>
            </w:pPr>
            <w:r>
              <w:rPr>
                <w:rFonts w:hint="eastAsia" w:ascii="宋体" w:hAnsi="宋体" w:cs="宋体"/>
                <w:sz w:val="20"/>
                <w:szCs w:val="20"/>
                <w:highlight w:val="none"/>
                <w:lang w:val="en-US" w:eastAsia="zh-CN"/>
              </w:rPr>
              <w:t>ZQ</w:t>
            </w:r>
            <w:r>
              <w:rPr>
                <w:rFonts w:hint="eastAsia" w:ascii="宋体" w:hAnsi="宋体" w:cs="宋体"/>
                <w:sz w:val="20"/>
                <w:szCs w:val="20"/>
                <w:highlight w:val="none"/>
              </w:rPr>
              <w:t>-</w:t>
            </w:r>
            <w:r>
              <w:rPr>
                <w:rFonts w:hint="eastAsia" w:ascii="宋体" w:hAnsi="宋体" w:cs="宋体"/>
                <w:sz w:val="20"/>
                <w:szCs w:val="20"/>
                <w:highlight w:val="none"/>
                <w:lang w:val="en-US" w:eastAsia="zh-CN"/>
              </w:rPr>
              <w:t>C01</w:t>
            </w:r>
          </w:p>
          <w:p w14:paraId="19D93386">
            <w:pPr>
              <w:tabs>
                <w:tab w:val="left" w:pos="1778"/>
              </w:tabs>
              <w:jc w:val="both"/>
              <w:rPr>
                <w:rFonts w:hint="eastAsia" w:ascii="宋体" w:hAnsi="宋体" w:cs="宋体"/>
                <w:sz w:val="20"/>
                <w:szCs w:val="20"/>
                <w:highlight w:val="none"/>
                <w:lang w:val="en-US" w:eastAsia="zh-CN"/>
              </w:rPr>
            </w:pPr>
            <w:r>
              <w:rPr>
                <w:rFonts w:hint="eastAsia" w:ascii="宋体" w:hAnsi="宋体" w:cs="宋体"/>
                <w:sz w:val="20"/>
                <w:szCs w:val="20"/>
                <w:highlight w:val="none"/>
                <w:lang w:val="en-US" w:eastAsia="zh-CN"/>
              </w:rPr>
              <w:t>ZQ</w:t>
            </w:r>
            <w:r>
              <w:rPr>
                <w:rFonts w:hint="eastAsia" w:ascii="宋体" w:hAnsi="宋体" w:cs="宋体"/>
                <w:sz w:val="20"/>
                <w:szCs w:val="20"/>
                <w:highlight w:val="none"/>
              </w:rPr>
              <w:t>-</w:t>
            </w:r>
            <w:r>
              <w:rPr>
                <w:rFonts w:hint="eastAsia" w:ascii="宋体" w:hAnsi="宋体" w:cs="宋体"/>
                <w:sz w:val="20"/>
                <w:szCs w:val="20"/>
                <w:highlight w:val="none"/>
                <w:lang w:val="en-US" w:eastAsia="zh-CN"/>
              </w:rPr>
              <w:t>C04</w:t>
            </w:r>
          </w:p>
          <w:p w14:paraId="214E4CDA">
            <w:pPr>
              <w:tabs>
                <w:tab w:val="left" w:pos="1778"/>
              </w:tabs>
              <w:jc w:val="both"/>
              <w:rPr>
                <w:rFonts w:hint="eastAsia" w:ascii="宋体" w:hAnsi="宋体" w:cs="宋体"/>
                <w:sz w:val="20"/>
                <w:szCs w:val="20"/>
                <w:highlight w:val="none"/>
                <w:lang w:val="en-US" w:eastAsia="zh-CN"/>
              </w:rPr>
            </w:pPr>
            <w:r>
              <w:rPr>
                <w:rFonts w:hint="eastAsia" w:ascii="宋体" w:hAnsi="宋体" w:cs="宋体"/>
                <w:sz w:val="20"/>
                <w:szCs w:val="20"/>
                <w:highlight w:val="none"/>
                <w:lang w:val="en-US" w:eastAsia="zh-CN"/>
              </w:rPr>
              <w:t>ZQ</w:t>
            </w:r>
            <w:r>
              <w:rPr>
                <w:rFonts w:hint="eastAsia" w:ascii="宋体" w:hAnsi="宋体" w:cs="宋体"/>
                <w:sz w:val="20"/>
                <w:szCs w:val="20"/>
                <w:highlight w:val="none"/>
              </w:rPr>
              <w:t>-</w:t>
            </w:r>
            <w:r>
              <w:rPr>
                <w:rFonts w:hint="eastAsia" w:ascii="宋体" w:hAnsi="宋体" w:cs="宋体"/>
                <w:sz w:val="20"/>
                <w:szCs w:val="20"/>
                <w:highlight w:val="none"/>
                <w:lang w:val="en-US" w:eastAsia="zh-CN"/>
              </w:rPr>
              <w:t>C05</w:t>
            </w:r>
          </w:p>
          <w:p w14:paraId="52D9D658">
            <w:pPr>
              <w:tabs>
                <w:tab w:val="left" w:pos="1778"/>
              </w:tabs>
              <w:jc w:val="both"/>
              <w:rPr>
                <w:rFonts w:hint="eastAsia" w:ascii="宋体" w:hAnsi="宋体" w:cs="宋体"/>
                <w:sz w:val="20"/>
                <w:szCs w:val="20"/>
                <w:highlight w:val="none"/>
                <w:lang w:val="en-US" w:eastAsia="zh-CN"/>
              </w:rPr>
            </w:pPr>
            <w:r>
              <w:rPr>
                <w:rFonts w:hint="eastAsia" w:ascii="宋体" w:hAnsi="宋体" w:cs="宋体"/>
                <w:sz w:val="20"/>
                <w:szCs w:val="20"/>
                <w:highlight w:val="none"/>
                <w:lang w:val="en-US" w:eastAsia="zh-CN"/>
              </w:rPr>
              <w:t>ZQ</w:t>
            </w:r>
            <w:r>
              <w:rPr>
                <w:rFonts w:hint="eastAsia" w:ascii="宋体" w:hAnsi="宋体" w:cs="宋体"/>
                <w:sz w:val="20"/>
                <w:szCs w:val="20"/>
                <w:highlight w:val="none"/>
              </w:rPr>
              <w:t>-</w:t>
            </w:r>
            <w:r>
              <w:rPr>
                <w:rFonts w:hint="eastAsia" w:ascii="宋体" w:hAnsi="宋体" w:cs="宋体"/>
                <w:sz w:val="20"/>
                <w:szCs w:val="20"/>
                <w:highlight w:val="none"/>
                <w:lang w:val="en-US" w:eastAsia="zh-CN"/>
              </w:rPr>
              <w:t>C06</w:t>
            </w:r>
          </w:p>
          <w:p w14:paraId="2AC0CF38">
            <w:pPr>
              <w:tabs>
                <w:tab w:val="left" w:pos="1778"/>
              </w:tabs>
              <w:jc w:val="both"/>
              <w:rPr>
                <w:rFonts w:hint="eastAsia" w:ascii="宋体" w:hAnsi="宋体" w:eastAsia="宋体" w:cs="宋体"/>
                <w:color w:val="000000"/>
                <w:szCs w:val="21"/>
                <w:highlight w:val="none"/>
                <w:lang w:eastAsia="zh-CN"/>
              </w:rPr>
            </w:pPr>
            <w:r>
              <w:rPr>
                <w:rFonts w:hint="eastAsia" w:ascii="宋体" w:hAnsi="宋体" w:cs="宋体"/>
                <w:sz w:val="20"/>
                <w:szCs w:val="20"/>
                <w:highlight w:val="none"/>
                <w:lang w:val="en-US" w:eastAsia="zh-CN"/>
              </w:rPr>
              <w:t>ZQ</w:t>
            </w:r>
            <w:r>
              <w:rPr>
                <w:rFonts w:hint="eastAsia" w:ascii="宋体" w:hAnsi="宋体" w:cs="宋体"/>
                <w:sz w:val="20"/>
                <w:szCs w:val="20"/>
                <w:highlight w:val="none"/>
              </w:rPr>
              <w:t>-</w:t>
            </w:r>
            <w:r>
              <w:rPr>
                <w:rFonts w:hint="eastAsia" w:ascii="宋体" w:hAnsi="宋体" w:cs="宋体"/>
                <w:sz w:val="20"/>
                <w:szCs w:val="20"/>
                <w:highlight w:val="none"/>
                <w:lang w:val="en-US" w:eastAsia="zh-CN"/>
              </w:rPr>
              <w:t>C07</w:t>
            </w:r>
          </w:p>
        </w:tc>
        <w:tc>
          <w:tcPr>
            <w:tcW w:w="645" w:type="dxa"/>
            <w:noWrap w:val="0"/>
            <w:vAlign w:val="center"/>
          </w:tcPr>
          <w:p w14:paraId="6F35751A">
            <w:pPr>
              <w:tabs>
                <w:tab w:val="left" w:pos="1778"/>
              </w:tabs>
              <w:jc w:val="both"/>
              <w:rPr>
                <w:rFonts w:hint="eastAsia" w:ascii="宋体" w:hAnsi="宋体" w:cs="宋体"/>
                <w:color w:val="000000"/>
                <w:szCs w:val="21"/>
                <w:highlight w:val="none"/>
              </w:rPr>
            </w:pPr>
            <w:r>
              <w:rPr>
                <w:rFonts w:hint="eastAsia" w:ascii="宋体" w:hAnsi="宋体" w:cs="宋体"/>
                <w:color w:val="000000"/>
                <w:szCs w:val="21"/>
                <w:highlight w:val="none"/>
              </w:rPr>
              <w:t>项目经理</w:t>
            </w:r>
          </w:p>
        </w:tc>
        <w:tc>
          <w:tcPr>
            <w:tcW w:w="540" w:type="dxa"/>
            <w:noWrap w:val="0"/>
            <w:vAlign w:val="center"/>
          </w:tcPr>
          <w:p w14:paraId="1C7A5843">
            <w:pPr>
              <w:tabs>
                <w:tab w:val="left" w:pos="1778"/>
              </w:tabs>
              <w:jc w:val="both"/>
              <w:rPr>
                <w:rFonts w:hint="eastAsia" w:ascii="宋体" w:hAnsi="宋体" w:cs="宋体"/>
                <w:color w:val="000000"/>
                <w:szCs w:val="21"/>
                <w:highlight w:val="none"/>
              </w:rPr>
            </w:pPr>
            <w:r>
              <w:rPr>
                <w:rFonts w:hint="eastAsia" w:ascii="宋体" w:hAnsi="宋体" w:cs="宋体"/>
                <w:color w:val="000000"/>
                <w:szCs w:val="21"/>
                <w:highlight w:val="none"/>
              </w:rPr>
              <w:t>1</w:t>
            </w:r>
          </w:p>
        </w:tc>
        <w:tc>
          <w:tcPr>
            <w:tcW w:w="4826" w:type="dxa"/>
            <w:noWrap w:val="0"/>
            <w:vAlign w:val="center"/>
          </w:tcPr>
          <w:p w14:paraId="5947C137">
            <w:pPr>
              <w:jc w:val="both"/>
              <w:textAlignment w:val="top"/>
              <w:rPr>
                <w:rFonts w:hint="eastAsia" w:ascii="宋体" w:hAnsi="宋体" w:eastAsia="宋体" w:cs="宋体"/>
                <w:color w:val="000000"/>
                <w:szCs w:val="21"/>
                <w:highlight w:val="none"/>
                <w:lang w:val="en-US" w:eastAsia="zh-CN"/>
              </w:rPr>
            </w:pPr>
            <w:r>
              <w:rPr>
                <w:rFonts w:hint="eastAsia" w:ascii="宋体" w:hAnsi="宋体" w:cs="宋体"/>
                <w:color w:val="000000"/>
                <w:szCs w:val="21"/>
                <w:highlight w:val="none"/>
              </w:rPr>
              <w:t>具有中级或以上技术职称；持有公路工程专业一级建造师注册证书；持有省级或以上交通运输主管部门核发有效的B类安全生产考核合格证书；202</w:t>
            </w:r>
            <w:r>
              <w:rPr>
                <w:rFonts w:hint="eastAsia" w:ascii="宋体" w:hAnsi="宋体" w:cs="宋体"/>
                <w:color w:val="000000"/>
                <w:szCs w:val="21"/>
                <w:highlight w:val="none"/>
                <w:lang w:val="en-US" w:eastAsia="zh-CN"/>
              </w:rPr>
              <w:t>1</w:t>
            </w:r>
            <w:r>
              <w:rPr>
                <w:rFonts w:hint="eastAsia" w:ascii="宋体" w:hAnsi="宋体" w:cs="宋体"/>
                <w:color w:val="000000"/>
                <w:szCs w:val="21"/>
                <w:highlight w:val="none"/>
              </w:rPr>
              <w:t>年</w:t>
            </w:r>
            <w:r>
              <w:rPr>
                <w:rFonts w:hint="eastAsia" w:ascii="宋体" w:hAnsi="宋体" w:cs="宋体"/>
                <w:color w:val="000000"/>
                <w:szCs w:val="21"/>
                <w:highlight w:val="none"/>
                <w:lang w:val="en-US" w:eastAsia="zh-CN"/>
              </w:rPr>
              <w:t>1月1日</w:t>
            </w:r>
            <w:r>
              <w:rPr>
                <w:rFonts w:hint="eastAsia" w:ascii="宋体" w:hAnsi="宋体" w:cs="宋体"/>
                <w:color w:val="000000"/>
                <w:szCs w:val="21"/>
                <w:highlight w:val="none"/>
              </w:rPr>
              <w:t>（含）</w:t>
            </w:r>
            <w:r>
              <w:rPr>
                <w:rFonts w:hint="eastAsia" w:ascii="宋体" w:hAnsi="宋体" w:cs="宋体"/>
                <w:color w:val="000000"/>
                <w:szCs w:val="21"/>
                <w:highlight w:val="none"/>
                <w:lang w:val="en-US" w:eastAsia="zh-CN"/>
              </w:rPr>
              <w:t>至投标截止时间</w:t>
            </w:r>
            <w:r>
              <w:rPr>
                <w:rFonts w:hint="eastAsia" w:ascii="宋体" w:hAnsi="宋体" w:cs="宋体"/>
                <w:color w:val="000000"/>
                <w:szCs w:val="21"/>
                <w:highlight w:val="none"/>
              </w:rPr>
              <w:t>，至少担任过1个新建</w:t>
            </w:r>
            <w:r>
              <w:rPr>
                <w:rFonts w:hint="eastAsia" w:ascii="宋体" w:hAnsi="宋体" w:cs="宋体"/>
                <w:color w:val="000000"/>
                <w:szCs w:val="21"/>
                <w:highlight w:val="none"/>
                <w:lang w:val="en-US" w:eastAsia="zh-CN"/>
              </w:rPr>
              <w:t>或改扩建</w:t>
            </w:r>
            <w:r>
              <w:rPr>
                <w:rFonts w:hint="eastAsia" w:ascii="宋体" w:hAnsi="宋体" w:cs="宋体"/>
                <w:color w:val="000000"/>
                <w:szCs w:val="21"/>
                <w:highlight w:val="none"/>
              </w:rPr>
              <w:t>高速公路项目土建工程施工合同段的项目经理职务</w:t>
            </w:r>
            <w:r>
              <w:rPr>
                <w:rFonts w:hint="eastAsia" w:ascii="宋体" w:hAnsi="宋体" w:cs="宋体"/>
                <w:color w:val="000000"/>
                <w:szCs w:val="21"/>
                <w:highlight w:val="none"/>
                <w:lang w:eastAsia="zh-CN"/>
              </w:rPr>
              <w:t>；</w:t>
            </w:r>
          </w:p>
        </w:tc>
        <w:tc>
          <w:tcPr>
            <w:tcW w:w="1573" w:type="dxa"/>
            <w:vMerge w:val="restart"/>
            <w:noWrap w:val="0"/>
            <w:vAlign w:val="center"/>
          </w:tcPr>
          <w:p w14:paraId="40762A2D">
            <w:pPr>
              <w:tabs>
                <w:tab w:val="left" w:pos="1778"/>
              </w:tabs>
              <w:jc w:val="both"/>
              <w:rPr>
                <w:rFonts w:hint="eastAsia" w:ascii="宋体" w:hAnsi="宋体" w:cs="宋体"/>
                <w:color w:val="000000"/>
                <w:szCs w:val="21"/>
                <w:highlight w:val="none"/>
              </w:rPr>
            </w:pPr>
            <w:r>
              <w:rPr>
                <w:rFonts w:hint="eastAsia" w:ascii="宋体" w:hAnsi="宋体" w:cs="宋体"/>
                <w:color w:val="000000"/>
                <w:szCs w:val="21"/>
                <w:highlight w:val="none"/>
              </w:rPr>
              <w:t>无在岗项目（指目前未在其他项目上任职，或虽在其他项目上任职但本项目中标后能够从该项目撤离）</w:t>
            </w:r>
          </w:p>
        </w:tc>
      </w:tr>
      <w:tr w14:paraId="3F49E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2" w:hRule="atLeast"/>
        </w:trPr>
        <w:tc>
          <w:tcPr>
            <w:tcW w:w="1055" w:type="dxa"/>
            <w:vMerge w:val="continue"/>
            <w:noWrap w:val="0"/>
            <w:vAlign w:val="center"/>
          </w:tcPr>
          <w:p w14:paraId="0A7F4718">
            <w:pPr>
              <w:tabs>
                <w:tab w:val="left" w:pos="1778"/>
              </w:tabs>
              <w:jc w:val="both"/>
              <w:rPr>
                <w:rFonts w:hint="eastAsia" w:ascii="宋体" w:hAnsi="宋体" w:cs="宋体"/>
                <w:color w:val="000000"/>
                <w:szCs w:val="21"/>
                <w:highlight w:val="none"/>
              </w:rPr>
            </w:pPr>
          </w:p>
        </w:tc>
        <w:tc>
          <w:tcPr>
            <w:tcW w:w="645" w:type="dxa"/>
            <w:noWrap w:val="0"/>
            <w:vAlign w:val="center"/>
          </w:tcPr>
          <w:p w14:paraId="48B69942">
            <w:pPr>
              <w:tabs>
                <w:tab w:val="left" w:pos="1778"/>
              </w:tabs>
              <w:jc w:val="both"/>
              <w:rPr>
                <w:rFonts w:hint="eastAsia" w:ascii="宋体" w:hAnsi="宋体" w:cs="宋体"/>
                <w:color w:val="000000"/>
                <w:szCs w:val="21"/>
                <w:highlight w:val="none"/>
              </w:rPr>
            </w:pPr>
            <w:r>
              <w:rPr>
                <w:rFonts w:hint="eastAsia" w:ascii="宋体" w:hAnsi="宋体" w:cs="宋体"/>
                <w:color w:val="000000"/>
                <w:szCs w:val="21"/>
                <w:highlight w:val="none"/>
              </w:rPr>
              <w:t>项目总工</w:t>
            </w:r>
          </w:p>
        </w:tc>
        <w:tc>
          <w:tcPr>
            <w:tcW w:w="540" w:type="dxa"/>
            <w:noWrap w:val="0"/>
            <w:vAlign w:val="center"/>
          </w:tcPr>
          <w:p w14:paraId="0D76D532">
            <w:pPr>
              <w:tabs>
                <w:tab w:val="left" w:pos="1778"/>
              </w:tabs>
              <w:jc w:val="both"/>
              <w:rPr>
                <w:rFonts w:hint="eastAsia" w:ascii="宋体" w:hAnsi="宋体" w:cs="宋体"/>
                <w:color w:val="000000"/>
                <w:szCs w:val="21"/>
                <w:highlight w:val="none"/>
              </w:rPr>
            </w:pPr>
            <w:r>
              <w:rPr>
                <w:rFonts w:hint="eastAsia" w:ascii="宋体" w:hAnsi="宋体" w:cs="宋体"/>
                <w:color w:val="000000"/>
                <w:szCs w:val="21"/>
                <w:highlight w:val="none"/>
              </w:rPr>
              <w:t>1</w:t>
            </w:r>
          </w:p>
        </w:tc>
        <w:tc>
          <w:tcPr>
            <w:tcW w:w="4826" w:type="dxa"/>
            <w:noWrap w:val="0"/>
            <w:vAlign w:val="center"/>
          </w:tcPr>
          <w:p w14:paraId="291DEAE8">
            <w:pPr>
              <w:jc w:val="both"/>
              <w:textAlignment w:val="top"/>
              <w:rPr>
                <w:rFonts w:hint="eastAsia" w:ascii="宋体" w:hAnsi="宋体" w:eastAsia="宋体" w:cs="宋体"/>
                <w:color w:val="000000"/>
                <w:szCs w:val="21"/>
                <w:highlight w:val="none"/>
                <w:lang w:val="en-US" w:eastAsia="zh-CN"/>
              </w:rPr>
            </w:pPr>
            <w:r>
              <w:rPr>
                <w:rFonts w:hint="eastAsia" w:ascii="宋体" w:hAnsi="宋体" w:cs="宋体"/>
                <w:color w:val="000000"/>
                <w:szCs w:val="21"/>
                <w:highlight w:val="none"/>
              </w:rPr>
              <w:t>具有公路工程相关专业高级或以上技术职称；持有省级或以上交通运输主管部门核发有效的B类安全生产考核合格证书；202</w:t>
            </w:r>
            <w:r>
              <w:rPr>
                <w:rFonts w:hint="eastAsia" w:ascii="宋体" w:hAnsi="宋体" w:cs="宋体"/>
                <w:color w:val="000000"/>
                <w:szCs w:val="21"/>
                <w:highlight w:val="none"/>
                <w:lang w:val="en-US" w:eastAsia="zh-CN"/>
              </w:rPr>
              <w:t>1</w:t>
            </w:r>
            <w:r>
              <w:rPr>
                <w:rFonts w:hint="eastAsia" w:ascii="宋体" w:hAnsi="宋体" w:cs="宋体"/>
                <w:color w:val="000000"/>
                <w:szCs w:val="21"/>
                <w:highlight w:val="none"/>
              </w:rPr>
              <w:t>年</w:t>
            </w:r>
            <w:r>
              <w:rPr>
                <w:rFonts w:hint="eastAsia" w:ascii="宋体" w:hAnsi="宋体" w:cs="宋体"/>
                <w:color w:val="000000"/>
                <w:szCs w:val="21"/>
                <w:highlight w:val="none"/>
                <w:lang w:val="en-US" w:eastAsia="zh-CN"/>
              </w:rPr>
              <w:t>1月1日</w:t>
            </w:r>
            <w:r>
              <w:rPr>
                <w:rFonts w:hint="eastAsia" w:ascii="宋体" w:hAnsi="宋体" w:cs="宋体"/>
                <w:color w:val="000000"/>
                <w:szCs w:val="21"/>
                <w:highlight w:val="none"/>
              </w:rPr>
              <w:t>（含）</w:t>
            </w:r>
            <w:r>
              <w:rPr>
                <w:rFonts w:hint="eastAsia" w:ascii="宋体" w:hAnsi="宋体" w:cs="宋体"/>
                <w:color w:val="000000"/>
                <w:szCs w:val="21"/>
                <w:highlight w:val="none"/>
                <w:lang w:val="en-US" w:eastAsia="zh-CN"/>
              </w:rPr>
              <w:t>至投标截止时间</w:t>
            </w:r>
            <w:r>
              <w:rPr>
                <w:rFonts w:hint="eastAsia" w:ascii="宋体" w:hAnsi="宋体" w:cs="宋体"/>
                <w:color w:val="000000"/>
                <w:szCs w:val="21"/>
                <w:highlight w:val="none"/>
              </w:rPr>
              <w:t>，至少担任过1个新建</w:t>
            </w:r>
            <w:r>
              <w:rPr>
                <w:rFonts w:hint="eastAsia" w:ascii="宋体" w:hAnsi="宋体" w:cs="宋体"/>
                <w:color w:val="000000"/>
                <w:szCs w:val="21"/>
                <w:highlight w:val="none"/>
                <w:lang w:val="en-US" w:eastAsia="zh-CN"/>
              </w:rPr>
              <w:t>或改扩建</w:t>
            </w:r>
            <w:r>
              <w:rPr>
                <w:rFonts w:hint="eastAsia" w:ascii="宋体" w:hAnsi="宋体" w:cs="宋体"/>
                <w:color w:val="000000"/>
                <w:szCs w:val="21"/>
                <w:highlight w:val="none"/>
              </w:rPr>
              <w:t>高速公路项目土建工程施工合同段的项目总工职务。</w:t>
            </w:r>
          </w:p>
        </w:tc>
        <w:tc>
          <w:tcPr>
            <w:tcW w:w="1573" w:type="dxa"/>
            <w:vMerge w:val="continue"/>
            <w:noWrap w:val="0"/>
            <w:vAlign w:val="center"/>
          </w:tcPr>
          <w:p w14:paraId="2973A19B">
            <w:pPr>
              <w:tabs>
                <w:tab w:val="left" w:pos="1778"/>
              </w:tabs>
              <w:jc w:val="both"/>
              <w:rPr>
                <w:rFonts w:hint="eastAsia" w:ascii="宋体" w:hAnsi="宋体" w:cs="宋体"/>
                <w:color w:val="000000"/>
                <w:szCs w:val="21"/>
                <w:highlight w:val="none"/>
              </w:rPr>
            </w:pPr>
          </w:p>
        </w:tc>
      </w:tr>
    </w:tbl>
    <w:p w14:paraId="4C49854E">
      <w:pPr>
        <w:spacing w:line="560" w:lineRule="exact"/>
        <w:ind w:firstLine="640" w:firstLineChars="200"/>
        <w:jc w:val="both"/>
        <w:rPr>
          <w:rStyle w:val="8"/>
          <w:rFonts w:hint="eastAsia" w:ascii="仿宋_GB2312" w:hAnsi="仿宋_GB2312" w:eastAsia="仿宋_GB2312" w:cs="仿宋_GB2312"/>
          <w:color w:val="000000"/>
          <w:sz w:val="32"/>
          <w:szCs w:val="32"/>
          <w:highlight w:val="none"/>
        </w:rPr>
      </w:pPr>
      <w:r>
        <w:rPr>
          <w:rStyle w:val="8"/>
          <w:rFonts w:hint="eastAsia" w:ascii="仿宋_GB2312" w:hAnsi="仿宋_GB2312" w:eastAsia="仿宋_GB2312" w:cs="仿宋_GB2312"/>
          <w:color w:val="000000"/>
          <w:sz w:val="32"/>
          <w:szCs w:val="32"/>
          <w:highlight w:val="none"/>
        </w:rPr>
        <w:t>（6）拟投入的其他管理人员和技术人员在投标时不需填报，但须按招标文件中规定的格式、内容和要求</w:t>
      </w:r>
      <w:r>
        <w:rPr>
          <w:rStyle w:val="8"/>
          <w:rFonts w:hint="eastAsia" w:ascii="仿宋_GB2312" w:hAnsi="仿宋_GB2312" w:eastAsia="仿宋_GB2312" w:cs="仿宋_GB2312"/>
          <w:color w:val="000000"/>
          <w:sz w:val="32"/>
          <w:szCs w:val="32"/>
          <w:highlight w:val="none"/>
          <w:lang w:eastAsia="zh-CN"/>
        </w:rPr>
        <w:t>作出</w:t>
      </w:r>
      <w:r>
        <w:rPr>
          <w:rStyle w:val="8"/>
          <w:rFonts w:hint="eastAsia" w:ascii="仿宋_GB2312" w:hAnsi="仿宋_GB2312" w:eastAsia="仿宋_GB2312" w:cs="仿宋_GB2312"/>
          <w:color w:val="000000"/>
          <w:sz w:val="32"/>
          <w:szCs w:val="32"/>
          <w:highlight w:val="none"/>
        </w:rPr>
        <w:t>相关承诺。具体的人员名单在合同谈判期间确定，但必须满足招标文件中规定的数量及资格要求，作为合同文件的组成部分及招标人进行履约检查的依据。</w:t>
      </w:r>
    </w:p>
    <w:p w14:paraId="0F04C7F6">
      <w:pPr>
        <w:spacing w:line="560" w:lineRule="exact"/>
        <w:ind w:firstLine="640" w:firstLineChars="200"/>
        <w:jc w:val="both"/>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（7）</w:t>
      </w:r>
      <w:r>
        <w:rPr>
          <w:rFonts w:hint="eastAsia" w:ascii="仿宋_GB2312" w:hAnsi="仿宋_GB2312" w:eastAsia="仿宋_GB2312" w:cs="仿宋_GB2312"/>
          <w:color w:val="000000"/>
          <w:kern w:val="1"/>
          <w:sz w:val="32"/>
          <w:szCs w:val="32"/>
          <w:highlight w:val="none"/>
        </w:rPr>
        <w:t>拟投入的主要机械设备、主要试验检测设备，在投标时不需填报，但须按招标文件中规定的格式、内容和要求</w:t>
      </w:r>
      <w:r>
        <w:rPr>
          <w:rFonts w:hint="eastAsia" w:ascii="仿宋_GB2312" w:hAnsi="仿宋_GB2312" w:eastAsia="仿宋_GB2312" w:cs="仿宋_GB2312"/>
          <w:color w:val="000000"/>
          <w:kern w:val="1"/>
          <w:sz w:val="32"/>
          <w:szCs w:val="32"/>
          <w:highlight w:val="none"/>
          <w:lang w:eastAsia="zh-CN"/>
        </w:rPr>
        <w:t>作出</w:t>
      </w:r>
      <w:r>
        <w:rPr>
          <w:rFonts w:hint="eastAsia" w:ascii="仿宋_GB2312" w:hAnsi="仿宋_GB2312" w:eastAsia="仿宋_GB2312" w:cs="仿宋_GB2312"/>
          <w:color w:val="000000"/>
          <w:kern w:val="1"/>
          <w:sz w:val="32"/>
          <w:szCs w:val="32"/>
          <w:highlight w:val="none"/>
        </w:rPr>
        <w:t>相关承诺。具体的</w:t>
      </w:r>
      <w:r>
        <w:rPr>
          <w:rFonts w:hint="eastAsia" w:ascii="仿宋_GB2312" w:hAnsi="仿宋_GB2312" w:eastAsia="仿宋_GB2312" w:cs="仿宋_GB2312"/>
          <w:color w:val="000000"/>
          <w:sz w:val="32"/>
          <w:szCs w:val="32"/>
          <w:highlight w:val="none"/>
        </w:rPr>
        <w:t>主要机械设备、</w:t>
      </w:r>
      <w:r>
        <w:rPr>
          <w:rFonts w:hint="eastAsia" w:ascii="仿宋_GB2312" w:hAnsi="仿宋_GB2312" w:eastAsia="仿宋_GB2312" w:cs="仿宋_GB2312"/>
          <w:color w:val="000000"/>
          <w:kern w:val="1"/>
          <w:sz w:val="32"/>
          <w:szCs w:val="32"/>
          <w:highlight w:val="none"/>
        </w:rPr>
        <w:t>主要试验检测设备清单在合同谈判期间确定，但必须满足招标文件中规定的数量及性能要求，</w:t>
      </w:r>
      <w:r>
        <w:rPr>
          <w:rFonts w:hint="eastAsia" w:ascii="仿宋_GB2312" w:hAnsi="仿宋_GB2312" w:eastAsia="仿宋_GB2312" w:cs="仿宋_GB2312"/>
          <w:color w:val="000000"/>
          <w:sz w:val="32"/>
          <w:szCs w:val="32"/>
          <w:highlight w:val="none"/>
        </w:rPr>
        <w:t>作为合同文件的组成部分及招标人进行履约检查的依据。</w:t>
      </w:r>
    </w:p>
    <w:p w14:paraId="31125224">
      <w:pPr>
        <w:spacing w:line="560" w:lineRule="exact"/>
        <w:ind w:firstLine="640" w:firstLineChars="200"/>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2.本次招标</w:t>
      </w:r>
      <w:r>
        <w:rPr>
          <w:rFonts w:hint="eastAsia" w:ascii="仿宋_GB2312" w:hAnsi="仿宋_GB2312" w:eastAsia="仿宋_GB2312" w:cs="仿宋_GB2312"/>
          <w:b/>
          <w:bCs/>
          <w:color w:val="000000"/>
          <w:kern w:val="1"/>
          <w:sz w:val="32"/>
          <w:szCs w:val="32"/>
          <w:highlight w:val="none"/>
        </w:rPr>
        <w:t>不接受</w:t>
      </w:r>
      <w:r>
        <w:rPr>
          <w:rFonts w:hint="eastAsia" w:ascii="仿宋_GB2312" w:hAnsi="仿宋_GB2312" w:eastAsia="仿宋_GB2312" w:cs="仿宋_GB2312"/>
          <w:color w:val="000000"/>
          <w:kern w:val="1"/>
          <w:sz w:val="32"/>
          <w:szCs w:val="32"/>
          <w:highlight w:val="none"/>
        </w:rPr>
        <w:t>联合体投标。</w:t>
      </w:r>
    </w:p>
    <w:p w14:paraId="6932855F">
      <w:pPr>
        <w:keepNext w:val="0"/>
        <w:keepLines w:val="0"/>
        <w:pageBreakBefore w:val="0"/>
        <w:widowControl/>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3.投标人应进入交通运输部“全国公路建设市场监督管理系统”中的公路工程施工资质企业名录，且投标人名称和资质与该名录中的相应企业名称和资质完全一致。</w:t>
      </w:r>
    </w:p>
    <w:p w14:paraId="259E6C2F">
      <w:pPr>
        <w:pStyle w:val="3"/>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napToGrid w:val="0"/>
          <w:color w:val="000000"/>
          <w:kern w:val="1"/>
          <w:sz w:val="32"/>
          <w:szCs w:val="32"/>
          <w:highlight w:val="none"/>
          <w:lang w:val="en-US" w:eastAsia="en-US" w:bidi="ar-SA"/>
        </w:rPr>
      </w:pPr>
      <w:r>
        <w:rPr>
          <w:rFonts w:hint="eastAsia" w:ascii="仿宋_GB2312" w:hAnsi="仿宋_GB2312" w:eastAsia="仿宋_GB2312" w:cs="仿宋_GB2312"/>
          <w:color w:val="000000"/>
          <w:kern w:val="1"/>
          <w:sz w:val="32"/>
          <w:szCs w:val="32"/>
          <w:highlight w:val="none"/>
          <w:lang w:val="en-US" w:eastAsia="zh-CN"/>
        </w:rPr>
        <w:t>4.</w:t>
      </w:r>
      <w:r>
        <w:rPr>
          <w:rFonts w:hint="eastAsia" w:ascii="仿宋_GB2312" w:hAnsi="仿宋_GB2312" w:eastAsia="仿宋_GB2312" w:cs="仿宋_GB2312"/>
          <w:snapToGrid w:val="0"/>
          <w:color w:val="000000"/>
          <w:kern w:val="1"/>
          <w:sz w:val="32"/>
          <w:szCs w:val="32"/>
          <w:highlight w:val="none"/>
          <w:lang w:val="en-US" w:eastAsia="en-US" w:bidi="ar-SA"/>
        </w:rPr>
        <w:t>每个投标人可同时参加</w:t>
      </w:r>
      <w:r>
        <w:rPr>
          <w:rFonts w:hint="eastAsia" w:ascii="仿宋_GB2312" w:hAnsi="仿宋_GB2312" w:eastAsia="仿宋_GB2312" w:cs="仿宋_GB2312"/>
          <w:snapToGrid w:val="0"/>
          <w:color w:val="000000"/>
          <w:kern w:val="1"/>
          <w:sz w:val="32"/>
          <w:szCs w:val="32"/>
          <w:highlight w:val="none"/>
          <w:lang w:val="en-US" w:eastAsia="zh-CN" w:bidi="ar-SA"/>
        </w:rPr>
        <w:t>ZQ-C03标段、A组和B组的招标</w:t>
      </w:r>
      <w:r>
        <w:rPr>
          <w:rFonts w:hint="eastAsia" w:ascii="仿宋_GB2312" w:hAnsi="仿宋_GB2312" w:eastAsia="仿宋_GB2312" w:cs="仿宋_GB2312"/>
          <w:snapToGrid w:val="0"/>
          <w:color w:val="000000"/>
          <w:kern w:val="1"/>
          <w:sz w:val="32"/>
          <w:szCs w:val="32"/>
          <w:highlight w:val="none"/>
          <w:lang w:val="en-US" w:eastAsia="en-US" w:bidi="ar-SA"/>
        </w:rPr>
        <w:t>，但只允许获得一个标段的中标资格。</w:t>
      </w:r>
    </w:p>
    <w:p w14:paraId="058048B1">
      <w:pPr>
        <w:keepNext w:val="0"/>
        <w:keepLines w:val="0"/>
        <w:pageBreakBefore w:val="0"/>
        <w:widowControl/>
        <w:tabs>
          <w:tab w:val="left" w:pos="1778"/>
        </w:tabs>
        <w:wordWrap/>
        <w:overflowPunct/>
        <w:topLinePunct w:val="0"/>
        <w:autoSpaceDE w:val="0"/>
        <w:autoSpaceDN w:val="0"/>
        <w:bidi w:val="0"/>
        <w:adjustRightInd w:val="0"/>
        <w:snapToGrid w:val="0"/>
        <w:spacing w:line="560" w:lineRule="exact"/>
        <w:ind w:firstLine="640" w:firstLineChars="200"/>
        <w:contextualSpacing/>
        <w:jc w:val="both"/>
        <w:textAlignment w:val="baseline"/>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szCs w:val="32"/>
          <w:highlight w:val="none"/>
        </w:rPr>
        <w:t>.单位负责人为同一人或者存在控股、管理关系的不同单位可以同时参加</w:t>
      </w:r>
      <w:r>
        <w:rPr>
          <w:rFonts w:hint="eastAsia" w:ascii="仿宋_GB2312" w:hAnsi="仿宋_GB2312" w:eastAsia="仿宋_GB2312" w:cs="仿宋_GB2312"/>
          <w:color w:val="000000"/>
          <w:sz w:val="32"/>
          <w:szCs w:val="32"/>
          <w:highlight w:val="none"/>
          <w:lang w:val="en-US" w:eastAsia="zh-CN"/>
        </w:rPr>
        <w:t>A组和B组的投标</w:t>
      </w:r>
      <w:r>
        <w:rPr>
          <w:rFonts w:hint="eastAsia" w:ascii="仿宋_GB2312" w:hAnsi="仿宋_GB2312" w:eastAsia="仿宋_GB2312" w:cs="仿宋_GB2312"/>
          <w:color w:val="000000"/>
          <w:sz w:val="32"/>
          <w:szCs w:val="32"/>
          <w:highlight w:val="none"/>
        </w:rPr>
        <w:t>，但其中通过第一个信封(商务及技术文件)评审的投标人数量不得超过组别内的标段数量。本次招标，若</w:t>
      </w:r>
      <w:r>
        <w:rPr>
          <w:rFonts w:hint="eastAsia" w:ascii="仿宋_GB2312" w:hAnsi="仿宋_GB2312" w:eastAsia="仿宋_GB2312" w:cs="仿宋_GB2312"/>
          <w:color w:val="000000"/>
          <w:sz w:val="32"/>
          <w:szCs w:val="32"/>
          <w:highlight w:val="none"/>
          <w:lang w:val="en-US" w:eastAsia="zh-CN"/>
        </w:rPr>
        <w:t>A</w:t>
      </w:r>
      <w:r>
        <w:rPr>
          <w:rFonts w:hint="eastAsia" w:ascii="仿宋_GB2312" w:hAnsi="仿宋_GB2312" w:eastAsia="仿宋_GB2312" w:cs="仿宋_GB2312"/>
          <w:color w:val="000000"/>
          <w:sz w:val="32"/>
          <w:szCs w:val="32"/>
          <w:highlight w:val="none"/>
        </w:rPr>
        <w:t>组内具有上述关联关系且满足通过商务及技术文件初步评审要求的投标人数量大于</w:t>
      </w:r>
      <w:r>
        <w:rPr>
          <w:rFonts w:hint="eastAsia" w:ascii="仿宋_GB2312" w:hAnsi="仿宋_GB2312" w:eastAsia="仿宋_GB2312" w:cs="仿宋_GB2312"/>
          <w:color w:val="000000"/>
          <w:sz w:val="32"/>
          <w:szCs w:val="32"/>
          <w:highlight w:val="none"/>
          <w:lang w:val="en-US" w:eastAsia="zh-CN"/>
        </w:rPr>
        <w:t>2</w:t>
      </w:r>
      <w:r>
        <w:rPr>
          <w:rFonts w:hint="eastAsia" w:ascii="仿宋_GB2312" w:hAnsi="仿宋_GB2312" w:eastAsia="仿宋_GB2312" w:cs="仿宋_GB2312"/>
          <w:color w:val="000000"/>
          <w:sz w:val="32"/>
          <w:szCs w:val="32"/>
          <w:highlight w:val="none"/>
        </w:rPr>
        <w:t>个，则按其填报的符合评审要求的</w:t>
      </w:r>
      <w:r>
        <w:rPr>
          <w:rFonts w:hint="eastAsia" w:ascii="仿宋_GB2312" w:hAnsi="仿宋_GB2312" w:eastAsia="仿宋_GB2312" w:cs="仿宋_GB2312"/>
          <w:color w:val="000000"/>
          <w:sz w:val="32"/>
          <w:szCs w:val="32"/>
          <w:highlight w:val="none"/>
          <w:lang w:val="en-US" w:eastAsia="zh-CN"/>
        </w:rPr>
        <w:t>新</w:t>
      </w:r>
      <w:r>
        <w:rPr>
          <w:rFonts w:hint="eastAsia" w:ascii="仿宋_GB2312" w:hAnsi="仿宋_GB2312" w:eastAsia="仿宋_GB2312" w:cs="仿宋_GB2312"/>
          <w:color w:val="000000"/>
          <w:sz w:val="32"/>
          <w:szCs w:val="32"/>
          <w:highlight w:val="none"/>
        </w:rPr>
        <w:t>建高速公路项目土建工程施工合同段数量由多到少进行排序，若</w:t>
      </w:r>
      <w:r>
        <w:rPr>
          <w:rFonts w:hint="eastAsia" w:ascii="仿宋_GB2312" w:hAnsi="仿宋_GB2312" w:eastAsia="仿宋_GB2312" w:cs="仿宋_GB2312"/>
          <w:color w:val="000000"/>
          <w:sz w:val="32"/>
          <w:szCs w:val="32"/>
          <w:highlight w:val="none"/>
          <w:lang w:val="en-US" w:eastAsia="zh-CN"/>
        </w:rPr>
        <w:t>新</w:t>
      </w:r>
      <w:r>
        <w:rPr>
          <w:rFonts w:hint="eastAsia" w:ascii="仿宋_GB2312" w:hAnsi="仿宋_GB2312" w:eastAsia="仿宋_GB2312" w:cs="仿宋_GB2312"/>
          <w:color w:val="000000"/>
          <w:sz w:val="32"/>
          <w:szCs w:val="32"/>
          <w:highlight w:val="none"/>
        </w:rPr>
        <w:t>建高速公路项目土建工程施工合同段数量相等时以符合评审要求的新建</w:t>
      </w:r>
      <w:r>
        <w:rPr>
          <w:rFonts w:hint="eastAsia" w:ascii="仿宋_GB2312" w:hAnsi="仿宋_GB2312" w:eastAsia="仿宋_GB2312" w:cs="仿宋_GB2312"/>
          <w:color w:val="000000"/>
          <w:sz w:val="32"/>
          <w:szCs w:val="32"/>
          <w:highlight w:val="none"/>
          <w:lang w:val="en-US" w:eastAsia="zh-CN"/>
        </w:rPr>
        <w:t>或改扩建</w:t>
      </w:r>
      <w:r>
        <w:rPr>
          <w:rFonts w:hint="eastAsia" w:ascii="仿宋_GB2312" w:hAnsi="仿宋_GB2312" w:eastAsia="仿宋_GB2312" w:cs="仿宋_GB2312"/>
          <w:color w:val="000000"/>
          <w:sz w:val="32"/>
          <w:szCs w:val="32"/>
          <w:highlight w:val="none"/>
        </w:rPr>
        <w:t>高速公路项目土建工程施工合同段数量由多到少进行排序，选择排序前</w:t>
      </w:r>
      <w:r>
        <w:rPr>
          <w:rFonts w:hint="eastAsia" w:ascii="仿宋_GB2312" w:hAnsi="仿宋_GB2312" w:eastAsia="仿宋_GB2312" w:cs="仿宋_GB2312"/>
          <w:color w:val="000000"/>
          <w:sz w:val="32"/>
          <w:szCs w:val="32"/>
          <w:highlight w:val="none"/>
          <w:lang w:val="en-US" w:eastAsia="zh-CN"/>
        </w:rPr>
        <w:t>2</w:t>
      </w:r>
      <w:r>
        <w:rPr>
          <w:rFonts w:hint="eastAsia" w:ascii="仿宋_GB2312" w:hAnsi="仿宋_GB2312" w:eastAsia="仿宋_GB2312" w:cs="仿宋_GB2312"/>
          <w:color w:val="000000"/>
          <w:sz w:val="32"/>
          <w:szCs w:val="32"/>
          <w:highlight w:val="none"/>
        </w:rPr>
        <w:t>名的投标人最终通过第一个信封(商务及技术文件)评审</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B</w:t>
      </w:r>
      <w:r>
        <w:rPr>
          <w:rFonts w:hint="eastAsia" w:ascii="仿宋_GB2312" w:hAnsi="仿宋_GB2312" w:eastAsia="仿宋_GB2312" w:cs="仿宋_GB2312"/>
          <w:color w:val="000000"/>
          <w:sz w:val="32"/>
          <w:szCs w:val="32"/>
          <w:highlight w:val="none"/>
          <w:lang w:eastAsia="zh-CN"/>
        </w:rPr>
        <w:t>组内具有上述关联关系且满足通过商务及技术文件初步评审要求的投标人数量大于</w:t>
      </w:r>
      <w:r>
        <w:rPr>
          <w:rFonts w:hint="eastAsia" w:ascii="仿宋_GB2312" w:hAnsi="仿宋_GB2312" w:eastAsia="仿宋_GB2312" w:cs="仿宋_GB2312"/>
          <w:color w:val="000000"/>
          <w:sz w:val="32"/>
          <w:szCs w:val="32"/>
          <w:highlight w:val="none"/>
          <w:lang w:val="en-US" w:eastAsia="zh-CN"/>
        </w:rPr>
        <w:t>3</w:t>
      </w:r>
      <w:r>
        <w:rPr>
          <w:rFonts w:hint="eastAsia" w:ascii="仿宋_GB2312" w:hAnsi="仿宋_GB2312" w:eastAsia="仿宋_GB2312" w:cs="仿宋_GB2312"/>
          <w:color w:val="000000"/>
          <w:sz w:val="32"/>
          <w:szCs w:val="32"/>
          <w:highlight w:val="none"/>
          <w:lang w:eastAsia="zh-CN"/>
        </w:rPr>
        <w:t>个，则按其填报的符合评审要求的新建高速公路项目土建工程施工合同段数量由多到少进行排序，若新建高速公路项目土建工程施工合同段数量相等时以符合评审要求的新建</w:t>
      </w:r>
      <w:r>
        <w:rPr>
          <w:rFonts w:hint="eastAsia" w:ascii="仿宋_GB2312" w:hAnsi="仿宋_GB2312" w:eastAsia="仿宋_GB2312" w:cs="仿宋_GB2312"/>
          <w:color w:val="000000"/>
          <w:sz w:val="32"/>
          <w:szCs w:val="32"/>
          <w:highlight w:val="none"/>
          <w:lang w:val="en-US" w:eastAsia="zh-CN"/>
        </w:rPr>
        <w:t>或改扩建</w:t>
      </w:r>
      <w:r>
        <w:rPr>
          <w:rFonts w:hint="eastAsia" w:ascii="仿宋_GB2312" w:hAnsi="仿宋_GB2312" w:eastAsia="仿宋_GB2312" w:cs="仿宋_GB2312"/>
          <w:color w:val="000000"/>
          <w:sz w:val="32"/>
          <w:szCs w:val="32"/>
          <w:highlight w:val="none"/>
          <w:lang w:eastAsia="zh-CN"/>
        </w:rPr>
        <w:t>高速公路项目土建工程施工合同段数量由多到少进行排序，选择排序前</w:t>
      </w:r>
      <w:r>
        <w:rPr>
          <w:rFonts w:hint="eastAsia" w:ascii="仿宋_GB2312" w:hAnsi="仿宋_GB2312" w:eastAsia="仿宋_GB2312" w:cs="仿宋_GB2312"/>
          <w:color w:val="000000"/>
          <w:sz w:val="32"/>
          <w:szCs w:val="32"/>
          <w:highlight w:val="none"/>
          <w:lang w:val="en-US" w:eastAsia="zh-CN"/>
        </w:rPr>
        <w:t>3</w:t>
      </w:r>
      <w:r>
        <w:rPr>
          <w:rFonts w:hint="eastAsia" w:ascii="仿宋_GB2312" w:hAnsi="仿宋_GB2312" w:eastAsia="仿宋_GB2312" w:cs="仿宋_GB2312"/>
          <w:color w:val="000000"/>
          <w:sz w:val="32"/>
          <w:szCs w:val="32"/>
          <w:highlight w:val="none"/>
          <w:lang w:eastAsia="zh-CN"/>
        </w:rPr>
        <w:t>名的投标人最终通过第一个信封(商务及技术文件)评审；</w:t>
      </w:r>
    </w:p>
    <w:p w14:paraId="7979844A">
      <w:pPr>
        <w:keepNext w:val="0"/>
        <w:keepLines w:val="0"/>
        <w:pageBreakBefore w:val="0"/>
        <w:widowControl w:val="0"/>
        <w:kinsoku/>
        <w:wordWrap/>
        <w:overflowPunct/>
        <w:topLinePunct w:val="0"/>
        <w:autoSpaceDE/>
        <w:autoSpaceDN/>
        <w:bidi w:val="0"/>
        <w:adjustRightInd/>
        <w:snapToGrid/>
        <w:spacing w:line="560" w:lineRule="exact"/>
        <w:ind w:firstLine="640" w:firstLineChars="200"/>
        <w:contextualSpacing/>
        <w:jc w:val="both"/>
        <w:textAlignment w:val="auto"/>
        <w:rPr>
          <w:rFonts w:hint="eastAsia" w:ascii="仿宋_GB2312" w:hAnsi="仿宋_GB2312" w:eastAsia="仿宋_GB2312" w:cs="仿宋_GB2312"/>
          <w:kern w:val="1"/>
          <w:sz w:val="32"/>
          <w:szCs w:val="32"/>
          <w:highlight w:val="none"/>
        </w:rPr>
      </w:pPr>
      <w:r>
        <w:rPr>
          <w:rFonts w:hint="eastAsia" w:ascii="仿宋_GB2312" w:hAnsi="仿宋_GB2312" w:eastAsia="仿宋_GB2312" w:cs="仿宋_GB2312"/>
          <w:kern w:val="1"/>
          <w:sz w:val="32"/>
          <w:szCs w:val="32"/>
          <w:highlight w:val="none"/>
        </w:rPr>
        <w:t>同一单位以及单位负责人为同一人或者存在控股、管理关系的不同单位，不能同时获得施工及施工监理标段的中标资格(具有监理与被监理关系)。如若出现，将优先保留其施工标段的中标资格，取消其施工监理标段的中标资格。</w:t>
      </w:r>
    </w:p>
    <w:p w14:paraId="616AD9F8">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与本项目施工监理单位具有关联关系（单位负责人为同一人或者存在控股、管理关系的不同单位）的单位不能参加本次A组的投标。</w:t>
      </w:r>
    </w:p>
    <w:p w14:paraId="26E431D1">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与本项目中心试验室单位具有关联关系（单位负责人为同一人或者存在控股、管理关系的不同单位）的单位不能参加本次投标。</w:t>
      </w:r>
    </w:p>
    <w:p w14:paraId="35B6E5B5">
      <w:pPr>
        <w:tabs>
          <w:tab w:val="left" w:pos="1778"/>
        </w:tabs>
        <w:spacing w:line="560" w:lineRule="exact"/>
        <w:ind w:firstLine="640" w:firstLineChars="200"/>
        <w:jc w:val="both"/>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val="en-US" w:eastAsia="zh-CN"/>
        </w:rPr>
        <w:t>6.</w:t>
      </w:r>
      <w:r>
        <w:rPr>
          <w:rFonts w:hint="eastAsia" w:ascii="仿宋_GB2312" w:hAnsi="仿宋_GB2312" w:eastAsia="仿宋_GB2312" w:cs="仿宋_GB2312"/>
          <w:color w:val="000000"/>
          <w:sz w:val="32"/>
          <w:szCs w:val="32"/>
          <w:highlight w:val="none"/>
        </w:rPr>
        <w:t>在“信用中国”网站中被列入失信被执行人名单的投标人，不得参加投标。</w:t>
      </w:r>
    </w:p>
    <w:p w14:paraId="2FB07252">
      <w:pPr>
        <w:spacing w:line="560" w:lineRule="exact"/>
        <w:ind w:firstLine="640" w:firstLineChars="200"/>
        <w:jc w:val="both"/>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val="en-US" w:eastAsia="zh-CN"/>
        </w:rPr>
        <w:t>7</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投标保证金：</w:t>
      </w:r>
      <w:r>
        <w:rPr>
          <w:rFonts w:hint="eastAsia" w:ascii="仿宋_GB2312" w:hAnsi="仿宋_GB2312" w:eastAsia="仿宋_GB2312" w:cs="仿宋_GB2312"/>
          <w:color w:val="000000"/>
          <w:sz w:val="32"/>
          <w:szCs w:val="32"/>
          <w:highlight w:val="none"/>
          <w:lang w:val="en-US" w:eastAsia="zh-CN"/>
        </w:rPr>
        <w:t>A组</w:t>
      </w:r>
      <w:r>
        <w:rPr>
          <w:rFonts w:hint="eastAsia" w:ascii="仿宋_GB2312" w:hAnsi="仿宋_GB2312" w:eastAsia="仿宋_GB2312" w:cs="仿宋_GB2312"/>
          <w:kern w:val="1"/>
          <w:sz w:val="32"/>
          <w:szCs w:val="32"/>
          <w:highlight w:val="none"/>
          <w:lang w:val="en-US" w:eastAsia="zh-CN"/>
        </w:rPr>
        <w:t>和B</w:t>
      </w:r>
      <w:r>
        <w:rPr>
          <w:rFonts w:hint="eastAsia" w:ascii="仿宋_GB2312" w:hAnsi="仿宋_GB2312" w:eastAsia="仿宋_GB2312" w:cs="仿宋_GB2312"/>
          <w:kern w:val="1"/>
          <w:sz w:val="32"/>
          <w:szCs w:val="32"/>
          <w:highlight w:val="none"/>
          <w:lang w:eastAsia="zh-CN"/>
        </w:rPr>
        <w:t>组</w:t>
      </w:r>
      <w:r>
        <w:rPr>
          <w:rFonts w:hint="eastAsia" w:ascii="仿宋_GB2312" w:hAnsi="仿宋_GB2312" w:eastAsia="仿宋_GB2312" w:cs="仿宋_GB2312"/>
          <w:kern w:val="1"/>
          <w:sz w:val="32"/>
          <w:szCs w:val="32"/>
          <w:highlight w:val="none"/>
          <w:lang w:val="en-US" w:eastAsia="zh-CN"/>
        </w:rPr>
        <w:t>每个</w:t>
      </w:r>
      <w:r>
        <w:rPr>
          <w:rFonts w:hint="eastAsia" w:ascii="仿宋_GB2312" w:hAnsi="仿宋_GB2312" w:eastAsia="仿宋_GB2312" w:cs="仿宋_GB2312"/>
          <w:color w:val="000000"/>
          <w:sz w:val="32"/>
          <w:szCs w:val="32"/>
          <w:highlight w:val="none"/>
        </w:rPr>
        <w:t>投标人50万元人民币；投标保证金形式：现金或银行保函。</w:t>
      </w:r>
    </w:p>
    <w:p w14:paraId="63151B6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sz w:val="32"/>
          <w:szCs w:val="32"/>
          <w:highlight w:val="none"/>
          <w:lang w:val="en-US" w:eastAsia="zh-CN"/>
        </w:rPr>
      </w:pPr>
      <w:r>
        <w:rPr>
          <w:rFonts w:hint="eastAsia" w:ascii="黑体" w:hAnsi="黑体" w:eastAsia="黑体" w:cs="黑体"/>
          <w:b w:val="0"/>
          <w:bCs/>
          <w:sz w:val="32"/>
          <w:szCs w:val="32"/>
          <w:highlight w:val="none"/>
          <w:lang w:val="en-US" w:eastAsia="zh-CN"/>
        </w:rPr>
        <w:t>三、评标办法</w:t>
      </w:r>
    </w:p>
    <w:p w14:paraId="37F16E1C">
      <w:pPr>
        <w:keepNext w:val="0"/>
        <w:keepLines w:val="0"/>
        <w:pageBreakBefore w:val="0"/>
        <w:widowControl w:val="0"/>
        <w:kinsoku/>
        <w:wordWrap/>
        <w:overflowPunct/>
        <w:topLinePunct w:val="0"/>
        <w:autoSpaceDE/>
        <w:autoSpaceDN/>
        <w:bidi w:val="0"/>
        <w:adjustRightInd/>
        <w:snapToGrid/>
        <w:spacing w:line="560" w:lineRule="exact"/>
        <w:jc w:val="both"/>
        <w:textAlignment w:val="auto"/>
        <w:rPr>
          <w:b/>
          <w:sz w:val="28"/>
          <w:szCs w:val="28"/>
          <w:highlight w:val="none"/>
        </w:rPr>
      </w:pPr>
      <w:r>
        <w:rPr>
          <w:rFonts w:hAnsi="宋体"/>
          <w:b/>
          <w:sz w:val="28"/>
          <w:szCs w:val="28"/>
          <w:highlight w:val="none"/>
        </w:rPr>
        <w:t>评标办法前附表</w:t>
      </w:r>
    </w:p>
    <w:tbl>
      <w:tblPr>
        <w:tblStyle w:val="10"/>
        <w:tblW w:w="907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22"/>
        <w:gridCol w:w="911"/>
        <w:gridCol w:w="6839"/>
      </w:tblGrid>
      <w:tr w14:paraId="222BF8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322" w:type="dxa"/>
            <w:tcBorders>
              <w:top w:val="single" w:color="000000" w:sz="12" w:space="0"/>
              <w:left w:val="single" w:color="000000" w:sz="12" w:space="0"/>
            </w:tcBorders>
            <w:vAlign w:val="center"/>
          </w:tcPr>
          <w:p w14:paraId="7D4C173B">
            <w:pPr>
              <w:pStyle w:val="9"/>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center"/>
              <w:textAlignment w:val="baseline"/>
              <w:rPr>
                <w:highlight w:val="none"/>
              </w:rPr>
            </w:pPr>
            <w:r>
              <w:rPr>
                <w:b/>
                <w:bCs/>
                <w:spacing w:val="-5"/>
                <w:highlight w:val="none"/>
              </w:rPr>
              <w:t>条款号</w:t>
            </w:r>
          </w:p>
        </w:tc>
        <w:tc>
          <w:tcPr>
            <w:tcW w:w="7750" w:type="dxa"/>
            <w:gridSpan w:val="2"/>
            <w:tcBorders>
              <w:top w:val="single" w:color="000000" w:sz="12" w:space="0"/>
              <w:right w:val="single" w:color="000000" w:sz="12" w:space="0"/>
            </w:tcBorders>
            <w:vAlign w:val="center"/>
          </w:tcPr>
          <w:p w14:paraId="3ADDF9EC">
            <w:pPr>
              <w:pStyle w:val="9"/>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center"/>
              <w:textAlignment w:val="baseline"/>
              <w:rPr>
                <w:highlight w:val="none"/>
              </w:rPr>
            </w:pPr>
            <w:r>
              <w:rPr>
                <w:b/>
                <w:bCs/>
                <w:spacing w:val="-3"/>
                <w:highlight w:val="none"/>
              </w:rPr>
              <w:t>评审因素与评审标准</w:t>
            </w:r>
          </w:p>
        </w:tc>
      </w:tr>
      <w:tr w14:paraId="267106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6" w:hRule="atLeast"/>
          <w:jc w:val="center"/>
        </w:trPr>
        <w:tc>
          <w:tcPr>
            <w:tcW w:w="1322" w:type="dxa"/>
            <w:tcBorders>
              <w:left w:val="single" w:color="000000" w:sz="12" w:space="0"/>
            </w:tcBorders>
            <w:vAlign w:val="center"/>
          </w:tcPr>
          <w:p w14:paraId="59F57CBF">
            <w:pPr>
              <w:pStyle w:val="9"/>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center"/>
              <w:textAlignment w:val="baseline"/>
              <w:rPr>
                <w:highlight w:val="none"/>
              </w:rPr>
            </w:pPr>
            <w:r>
              <w:rPr>
                <w:highlight w:val="none"/>
              </w:rPr>
              <w:t>1</w:t>
            </w:r>
            <w:r>
              <w:rPr>
                <w:rFonts w:hint="eastAsia"/>
                <w:highlight w:val="none"/>
                <w:lang w:val="en-US" w:eastAsia="zh-CN"/>
              </w:rPr>
              <w:t xml:space="preserve"> </w:t>
            </w:r>
            <w:r>
              <w:rPr>
                <w:spacing w:val="-2"/>
                <w:highlight w:val="none"/>
              </w:rPr>
              <w:t>评标办法</w:t>
            </w:r>
          </w:p>
        </w:tc>
        <w:tc>
          <w:tcPr>
            <w:tcW w:w="7750" w:type="dxa"/>
            <w:gridSpan w:val="2"/>
            <w:tcBorders>
              <w:right w:val="single" w:color="000000" w:sz="12" w:space="0"/>
            </w:tcBorders>
            <w:vAlign w:val="center"/>
          </w:tcPr>
          <w:p w14:paraId="668EB9FC">
            <w:pPr>
              <w:pStyle w:val="9"/>
              <w:keepNext w:val="0"/>
              <w:keepLines w:val="0"/>
              <w:pageBreakBefore w:val="0"/>
              <w:kinsoku w:val="0"/>
              <w:wordWrap/>
              <w:overflowPunct/>
              <w:topLinePunct w:val="0"/>
              <w:autoSpaceDE w:val="0"/>
              <w:autoSpaceDN w:val="0"/>
              <w:bidi w:val="0"/>
              <w:adjustRightInd w:val="0"/>
              <w:snapToGrid w:val="0"/>
              <w:spacing w:before="1" w:line="240" w:lineRule="auto"/>
              <w:ind w:left="102" w:right="92" w:firstLine="419"/>
              <w:jc w:val="both"/>
              <w:textAlignment w:val="baseline"/>
              <w:rPr>
                <w:rFonts w:hint="default" w:ascii="宋体" w:hAnsi="宋体" w:eastAsia="宋体" w:cs="宋体"/>
                <w:snapToGrid w:val="0"/>
                <w:color w:val="000000"/>
                <w:spacing w:val="-1"/>
                <w:kern w:val="0"/>
                <w:sz w:val="21"/>
                <w:szCs w:val="21"/>
                <w:highlight w:val="none"/>
                <w:lang w:val="en-US" w:eastAsia="zh-CN" w:bidi="ar-SA"/>
              </w:rPr>
            </w:pPr>
            <w:r>
              <w:rPr>
                <w:rFonts w:hint="default" w:ascii="宋体" w:hAnsi="宋体" w:eastAsia="宋体" w:cs="宋体"/>
                <w:snapToGrid w:val="0"/>
                <w:color w:val="000000"/>
                <w:spacing w:val="-1"/>
                <w:kern w:val="0"/>
                <w:sz w:val="21"/>
                <w:szCs w:val="21"/>
                <w:highlight w:val="none"/>
                <w:lang w:val="en-US" w:eastAsia="zh-CN" w:bidi="ar-SA"/>
              </w:rPr>
              <w:t>本次A组和B组采用按类分组、资格后审、随机组合开标、技术评分合理低价法评标。</w:t>
            </w:r>
          </w:p>
          <w:p w14:paraId="58E09AD1">
            <w:pPr>
              <w:pStyle w:val="9"/>
              <w:keepNext w:val="0"/>
              <w:keepLines w:val="0"/>
              <w:pageBreakBefore w:val="0"/>
              <w:widowControl/>
              <w:kinsoku/>
              <w:wordWrap/>
              <w:overflowPunct/>
              <w:topLinePunct w:val="0"/>
              <w:autoSpaceDE w:val="0"/>
              <w:autoSpaceDN w:val="0"/>
              <w:bidi w:val="0"/>
              <w:adjustRightInd w:val="0"/>
              <w:snapToGrid w:val="0"/>
              <w:spacing w:line="240" w:lineRule="auto"/>
              <w:ind w:left="0" w:right="0" w:firstLine="416" w:firstLineChars="200"/>
              <w:jc w:val="both"/>
              <w:textAlignment w:val="baseline"/>
              <w:rPr>
                <w:rFonts w:hint="default" w:ascii="宋体" w:hAnsi="宋体" w:eastAsia="宋体" w:cs="宋体"/>
                <w:snapToGrid w:val="0"/>
                <w:color w:val="000000"/>
                <w:spacing w:val="-1"/>
                <w:kern w:val="0"/>
                <w:sz w:val="21"/>
                <w:szCs w:val="21"/>
                <w:highlight w:val="none"/>
                <w:lang w:val="en-US" w:eastAsia="en-US" w:bidi="ar-SA"/>
              </w:rPr>
            </w:pPr>
            <w:r>
              <w:rPr>
                <w:rFonts w:hint="default" w:ascii="宋体" w:hAnsi="宋体" w:eastAsia="宋体" w:cs="宋体"/>
                <w:snapToGrid w:val="0"/>
                <w:color w:val="000000"/>
                <w:spacing w:val="-1"/>
                <w:kern w:val="0"/>
                <w:sz w:val="21"/>
                <w:szCs w:val="21"/>
                <w:highlight w:val="none"/>
                <w:lang w:val="en-US" w:eastAsia="zh-CN" w:bidi="ar-SA"/>
              </w:rPr>
              <w:t>评标委员会对满足招标文件实质性要求的投标文件第一个信封（商务及技术文件）的施工组织设计、主要管理人员、技术能力、履约信誉、业绩等因素进行评分，按照得分由高到低排序，对A组别排名前30名、B组别排名前45名投标人的第二个信封（报价文件）进行评审，但A组别内通过投标文件第一个信封（商务及技术文件）评审的投标人不得少于6个，B组别内通过投标文件第一个信封（商务及技术文件）评审的投标人不得少于9个。评标委员会按招标文件规定的评分标准对报价文件进行打分，并按报价文件得分由高到低顺序推荐中标候选人，但投标报价低于其成本的除外，每个标段推荐的中标候选人数量为3名。</w:t>
            </w:r>
          </w:p>
        </w:tc>
      </w:tr>
      <w:tr w14:paraId="1A0140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5" w:hRule="atLeast"/>
          <w:jc w:val="center"/>
        </w:trPr>
        <w:tc>
          <w:tcPr>
            <w:tcW w:w="1322" w:type="dxa"/>
            <w:tcBorders>
              <w:left w:val="single" w:color="000000" w:sz="12" w:space="0"/>
              <w:bottom w:val="single" w:color="000000" w:sz="12" w:space="0"/>
            </w:tcBorders>
            <w:vAlign w:val="center"/>
          </w:tcPr>
          <w:p w14:paraId="7B1F8BDF">
            <w:pPr>
              <w:pStyle w:val="9"/>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center"/>
              <w:textAlignment w:val="baseline"/>
              <w:rPr>
                <w:rFonts w:hint="default"/>
                <w:spacing w:val="-2"/>
                <w:highlight w:val="none"/>
                <w:lang w:val="en-US" w:eastAsia="zh-CN"/>
              </w:rPr>
            </w:pPr>
            <w:r>
              <w:rPr>
                <w:rFonts w:hint="eastAsia"/>
                <w:spacing w:val="-2"/>
                <w:highlight w:val="none"/>
                <w:lang w:val="en-US" w:eastAsia="zh-CN"/>
              </w:rPr>
              <w:t>条款号</w:t>
            </w:r>
          </w:p>
        </w:tc>
        <w:tc>
          <w:tcPr>
            <w:tcW w:w="911" w:type="dxa"/>
            <w:tcBorders>
              <w:bottom w:val="single" w:color="000000" w:sz="12" w:space="0"/>
            </w:tcBorders>
            <w:vAlign w:val="center"/>
          </w:tcPr>
          <w:p w14:paraId="5564EF34">
            <w:pPr>
              <w:pStyle w:val="9"/>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center"/>
              <w:textAlignment w:val="baseline"/>
              <w:rPr>
                <w:rFonts w:hint="eastAsia" w:eastAsia="宋体"/>
                <w:spacing w:val="-2"/>
                <w:highlight w:val="none"/>
                <w:lang w:val="en-US" w:eastAsia="zh-CN"/>
              </w:rPr>
            </w:pPr>
            <w:r>
              <w:rPr>
                <w:rFonts w:hint="eastAsia"/>
                <w:spacing w:val="-2"/>
                <w:highlight w:val="none"/>
                <w:lang w:val="en-US" w:eastAsia="zh-CN"/>
              </w:rPr>
              <w:t>条款名称</w:t>
            </w:r>
          </w:p>
        </w:tc>
        <w:tc>
          <w:tcPr>
            <w:tcW w:w="6839" w:type="dxa"/>
            <w:tcBorders>
              <w:bottom w:val="single" w:color="000000" w:sz="12" w:space="0"/>
              <w:right w:val="single" w:color="000000" w:sz="12" w:space="0"/>
            </w:tcBorders>
            <w:vAlign w:val="center"/>
          </w:tcPr>
          <w:p w14:paraId="790245D3">
            <w:pPr>
              <w:pStyle w:val="9"/>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center"/>
              <w:textAlignment w:val="baseline"/>
              <w:rPr>
                <w:rFonts w:hint="eastAsia"/>
                <w:spacing w:val="-2"/>
                <w:highlight w:val="none"/>
                <w:lang w:val="en-US" w:eastAsia="zh-CN"/>
              </w:rPr>
            </w:pPr>
            <w:r>
              <w:rPr>
                <w:rFonts w:hint="eastAsia"/>
                <w:spacing w:val="-2"/>
                <w:highlight w:val="none"/>
                <w:lang w:val="en-US" w:eastAsia="zh-CN"/>
              </w:rPr>
              <w:t>条款内容</w:t>
            </w:r>
          </w:p>
        </w:tc>
      </w:tr>
      <w:tr w14:paraId="69ECF5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322" w:type="dxa"/>
            <w:tcBorders>
              <w:left w:val="single" w:color="000000" w:sz="12" w:space="0"/>
              <w:bottom w:val="single" w:color="000000" w:sz="12" w:space="0"/>
            </w:tcBorders>
            <w:vAlign w:val="center"/>
          </w:tcPr>
          <w:p w14:paraId="74369829">
            <w:pPr>
              <w:pStyle w:val="9"/>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center"/>
              <w:textAlignment w:val="baseline"/>
              <w:rPr>
                <w:rFonts w:hint="eastAsia"/>
                <w:spacing w:val="-2"/>
                <w:highlight w:val="none"/>
                <w:lang w:val="en-US" w:eastAsia="zh-CN"/>
              </w:rPr>
            </w:pPr>
            <w:r>
              <w:rPr>
                <w:rFonts w:hint="eastAsia"/>
                <w:spacing w:val="-2"/>
                <w:highlight w:val="none"/>
                <w:lang w:val="en-US" w:eastAsia="zh-CN"/>
              </w:rPr>
              <w:t>2.1.1</w:t>
            </w:r>
          </w:p>
          <w:p w14:paraId="2EA19B85">
            <w:pPr>
              <w:pStyle w:val="9"/>
              <w:keepNext w:val="0"/>
              <w:keepLines w:val="0"/>
              <w:pageBreakBefore w:val="0"/>
              <w:kinsoku/>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default" w:eastAsia="宋体"/>
                <w:spacing w:val="-2"/>
                <w:highlight w:val="none"/>
                <w:lang w:val="en-US" w:eastAsia="zh-CN"/>
              </w:rPr>
            </w:pPr>
            <w:r>
              <w:rPr>
                <w:rFonts w:hint="eastAsia"/>
                <w:spacing w:val="-2"/>
                <w:highlight w:val="none"/>
                <w:lang w:val="en-US" w:eastAsia="zh-CN"/>
              </w:rPr>
              <w:t>2.1.3</w:t>
            </w:r>
          </w:p>
        </w:tc>
        <w:tc>
          <w:tcPr>
            <w:tcW w:w="911" w:type="dxa"/>
            <w:tcBorders>
              <w:bottom w:val="single" w:color="000000" w:sz="12" w:space="0"/>
            </w:tcBorders>
            <w:vAlign w:val="center"/>
          </w:tcPr>
          <w:p w14:paraId="0D043C09">
            <w:pPr>
              <w:pStyle w:val="9"/>
              <w:keepNext w:val="0"/>
              <w:keepLines w:val="0"/>
              <w:pageBreakBefore w:val="0"/>
              <w:kinsoku/>
              <w:wordWrap/>
              <w:overflowPunct/>
              <w:topLinePunct w:val="0"/>
              <w:autoSpaceDE w:val="0"/>
              <w:autoSpaceDN w:val="0"/>
              <w:bidi w:val="0"/>
              <w:adjustRightInd w:val="0"/>
              <w:snapToGrid w:val="0"/>
              <w:spacing w:line="240" w:lineRule="auto"/>
              <w:ind w:left="0" w:leftChars="0" w:right="0" w:firstLine="0" w:firstLineChars="0"/>
              <w:jc w:val="center"/>
              <w:textAlignment w:val="baseline"/>
              <w:rPr>
                <w:rFonts w:hint="eastAsia" w:eastAsia="宋体"/>
                <w:spacing w:val="-7"/>
                <w:highlight w:val="none"/>
                <w:lang w:val="en-US" w:eastAsia="zh-CN"/>
              </w:rPr>
            </w:pPr>
            <w:r>
              <w:rPr>
                <w:spacing w:val="-2"/>
                <w:highlight w:val="none"/>
              </w:rPr>
              <w:t>形式评审与</w:t>
            </w:r>
            <w:r>
              <w:rPr>
                <w:spacing w:val="-4"/>
                <w:highlight w:val="none"/>
              </w:rPr>
              <w:t>响应性评审</w:t>
            </w:r>
            <w:r>
              <w:rPr>
                <w:spacing w:val="-3"/>
                <w:highlight w:val="none"/>
              </w:rPr>
              <w:t>标准</w:t>
            </w:r>
          </w:p>
        </w:tc>
        <w:tc>
          <w:tcPr>
            <w:tcW w:w="6839" w:type="dxa"/>
            <w:tcBorders>
              <w:bottom w:val="single" w:color="000000" w:sz="12" w:space="0"/>
              <w:right w:val="single" w:color="000000" w:sz="12" w:space="0"/>
            </w:tcBorders>
            <w:vAlign w:val="center"/>
          </w:tcPr>
          <w:p w14:paraId="6C261146">
            <w:pPr>
              <w:pStyle w:val="4"/>
              <w:keepNext w:val="0"/>
              <w:keepLines w:val="0"/>
              <w:pageBreakBefore w:val="0"/>
              <w:kinsoku/>
              <w:wordWrap/>
              <w:overflowPunct/>
              <w:topLinePunct w:val="0"/>
              <w:autoSpaceDE w:val="0"/>
              <w:autoSpaceDN w:val="0"/>
              <w:bidi w:val="0"/>
              <w:adjustRightInd w:val="0"/>
              <w:snapToGrid w:val="0"/>
              <w:spacing w:after="0" w:line="240" w:lineRule="auto"/>
              <w:ind w:left="0" w:right="0" w:firstLine="0" w:firstLineChars="0"/>
              <w:jc w:val="both"/>
              <w:textAlignment w:val="baseline"/>
              <w:rPr>
                <w:rFonts w:ascii="宋体" w:hAnsi="宋体" w:eastAsia="宋体" w:cs="宋体"/>
                <w:b/>
                <w:bCs/>
                <w:snapToGrid w:val="0"/>
                <w:color w:val="000000"/>
                <w:spacing w:val="-3"/>
                <w:kern w:val="0"/>
                <w:sz w:val="21"/>
                <w:szCs w:val="21"/>
                <w:highlight w:val="none"/>
                <w:lang w:val="en-US" w:eastAsia="en-US" w:bidi="ar-SA"/>
              </w:rPr>
            </w:pPr>
            <w:r>
              <w:rPr>
                <w:rFonts w:hint="eastAsia" w:ascii="宋体" w:hAnsi="宋体" w:eastAsia="宋体" w:cs="宋体"/>
                <w:b/>
                <w:bCs/>
                <w:snapToGrid w:val="0"/>
                <w:color w:val="000000"/>
                <w:spacing w:val="-3"/>
                <w:kern w:val="0"/>
                <w:sz w:val="21"/>
                <w:szCs w:val="21"/>
                <w:highlight w:val="none"/>
                <w:lang w:val="en-US" w:eastAsia="en-US" w:bidi="ar-SA"/>
              </w:rPr>
              <w:t>第一个信封（商务及技术文件）评审标准：</w:t>
            </w:r>
          </w:p>
          <w:p w14:paraId="162AA231">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szCs w:val="21"/>
                <w:highlight w:val="none"/>
              </w:rPr>
            </w:pPr>
            <w:r>
              <w:rPr>
                <w:rFonts w:ascii="宋体" w:hAnsi="宋体"/>
                <w:szCs w:val="21"/>
                <w:highlight w:val="none"/>
              </w:rPr>
              <w:t>（1）投标文件按照招标文件规定的格式、内容填写，字迹清晰可辨：</w:t>
            </w:r>
          </w:p>
          <w:p w14:paraId="1F04058B">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szCs w:val="21"/>
                <w:highlight w:val="none"/>
              </w:rPr>
            </w:pPr>
            <w:r>
              <w:rPr>
                <w:rFonts w:ascii="宋体" w:hAnsi="宋体"/>
                <w:szCs w:val="21"/>
                <w:highlight w:val="none"/>
              </w:rPr>
              <w:t>a.投标函按招标文件规定填报了项目名称、</w:t>
            </w:r>
            <w:r>
              <w:rPr>
                <w:rFonts w:hint="eastAsia" w:ascii="宋体" w:hAnsi="宋体" w:eastAsia="宋体"/>
                <w:szCs w:val="21"/>
                <w:highlight w:val="none"/>
                <w:lang w:val="en-US" w:eastAsia="zh-CN"/>
              </w:rPr>
              <w:t>标段号、</w:t>
            </w:r>
            <w:r>
              <w:rPr>
                <w:rFonts w:ascii="宋体" w:hAnsi="宋体"/>
                <w:szCs w:val="21"/>
                <w:highlight w:val="none"/>
              </w:rPr>
              <w:t>补遗书编号</w:t>
            </w:r>
            <w:r>
              <w:rPr>
                <w:rFonts w:hint="eastAsia" w:ascii="宋体" w:hAnsi="宋体"/>
                <w:szCs w:val="21"/>
                <w:highlight w:val="none"/>
              </w:rPr>
              <w:t>（如有）</w:t>
            </w:r>
            <w:r>
              <w:rPr>
                <w:rFonts w:ascii="宋体" w:hAnsi="宋体"/>
                <w:szCs w:val="21"/>
                <w:highlight w:val="none"/>
              </w:rPr>
              <w:t>、工期、工程质量要求及安全目标；</w:t>
            </w:r>
          </w:p>
          <w:p w14:paraId="6B9EC812">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szCs w:val="21"/>
                <w:highlight w:val="none"/>
              </w:rPr>
            </w:pPr>
            <w:r>
              <w:rPr>
                <w:rFonts w:ascii="宋体" w:hAnsi="宋体"/>
                <w:szCs w:val="21"/>
                <w:highlight w:val="none"/>
              </w:rPr>
              <w:t>b.投标函附录的所有数据均符合招标文件规定；</w:t>
            </w:r>
          </w:p>
          <w:p w14:paraId="16BF9DC5">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szCs w:val="21"/>
                <w:highlight w:val="none"/>
              </w:rPr>
            </w:pPr>
            <w:r>
              <w:rPr>
                <w:rFonts w:ascii="宋体" w:hAnsi="宋体"/>
                <w:szCs w:val="21"/>
                <w:highlight w:val="none"/>
              </w:rPr>
              <w:t>c.投标文件组成齐全完整，</w:t>
            </w:r>
            <w:r>
              <w:rPr>
                <w:rFonts w:hint="eastAsia" w:ascii="宋体" w:hAnsi="宋体"/>
                <w:szCs w:val="21"/>
                <w:highlight w:val="none"/>
              </w:rPr>
              <w:t>提供的相关资料符合招标文件规定，</w:t>
            </w:r>
            <w:r>
              <w:rPr>
                <w:rFonts w:ascii="宋体" w:hAnsi="宋体"/>
                <w:szCs w:val="21"/>
                <w:highlight w:val="none"/>
              </w:rPr>
              <w:t>内容均按规定填写。</w:t>
            </w:r>
          </w:p>
          <w:p w14:paraId="720B12DC">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szCs w:val="21"/>
                <w:highlight w:val="none"/>
              </w:rPr>
            </w:pPr>
            <w:r>
              <w:rPr>
                <w:rFonts w:ascii="宋体" w:hAnsi="宋体"/>
                <w:szCs w:val="21"/>
                <w:highlight w:val="none"/>
              </w:rPr>
              <w:t>（2）</w:t>
            </w:r>
            <w:r>
              <w:rPr>
                <w:rFonts w:ascii="宋体" w:hAnsi="宋体"/>
                <w:highlight w:val="none"/>
              </w:rPr>
              <w:t>投标文件上法定代表人或其委托代理人的签字、投标人的单位章盖章齐全，符合招标文件规定。</w:t>
            </w:r>
          </w:p>
          <w:p w14:paraId="73A8C59B">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szCs w:val="21"/>
                <w:highlight w:val="none"/>
              </w:rPr>
            </w:pPr>
            <w:r>
              <w:rPr>
                <w:rFonts w:ascii="宋体" w:hAnsi="宋体"/>
                <w:szCs w:val="21"/>
                <w:highlight w:val="none"/>
              </w:rPr>
              <w:t>（3）投标人按照招标文件规定提供了投标保证金：</w:t>
            </w:r>
          </w:p>
          <w:p w14:paraId="153D9145">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highlight w:val="none"/>
              </w:rPr>
            </w:pPr>
            <w:r>
              <w:rPr>
                <w:rFonts w:ascii="宋体" w:hAnsi="宋体"/>
                <w:szCs w:val="21"/>
                <w:highlight w:val="none"/>
              </w:rPr>
              <w:t>a.</w:t>
            </w:r>
            <w:r>
              <w:rPr>
                <w:rFonts w:ascii="宋体" w:hAnsi="宋体"/>
                <w:highlight w:val="none"/>
              </w:rPr>
              <w:t>投标保证金金额符合招标文件规定的金额，且投标保证金有效期不少于投标有效期；</w:t>
            </w:r>
          </w:p>
          <w:p w14:paraId="548EB8AB">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highlight w:val="none"/>
              </w:rPr>
            </w:pPr>
            <w:r>
              <w:rPr>
                <w:rFonts w:ascii="宋体" w:hAnsi="宋体"/>
                <w:highlight w:val="none"/>
              </w:rPr>
              <w:t>b.若投标保证金采用现金形式提交，投标人应在递交投标文件截止时间之前，将投标保证金由投标人的基本账户转入招标人指定账户；</w:t>
            </w:r>
          </w:p>
          <w:p w14:paraId="2C0F7330">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highlight w:val="none"/>
              </w:rPr>
            </w:pPr>
            <w:r>
              <w:rPr>
                <w:rFonts w:ascii="宋体" w:hAnsi="宋体"/>
                <w:highlight w:val="none"/>
              </w:rPr>
              <w:t>c.若投标保证金采用银行保函形式提交，银行保函的格式、开具保函的银行均满足招标文件要求，且在递交投标文件截止时间之前向招标人提交了银行保函</w:t>
            </w:r>
            <w:r>
              <w:rPr>
                <w:rFonts w:hint="eastAsia" w:ascii="宋体" w:hAnsi="宋体"/>
                <w:highlight w:val="none"/>
              </w:rPr>
              <w:t>和开具保函权限说明（如有）的</w:t>
            </w:r>
            <w:r>
              <w:rPr>
                <w:rFonts w:ascii="宋体" w:hAnsi="宋体"/>
                <w:highlight w:val="none"/>
              </w:rPr>
              <w:t>原件。</w:t>
            </w:r>
          </w:p>
          <w:p w14:paraId="36B7F236">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highlight w:val="none"/>
              </w:rPr>
            </w:pPr>
            <w:r>
              <w:rPr>
                <w:rFonts w:hint="eastAsia" w:ascii="宋体" w:hAnsi="宋体"/>
                <w:highlight w:val="none"/>
              </w:rPr>
              <w:t>d.投标保证金递交符合招标文件投标人须知前附表第1</w:t>
            </w:r>
            <w:r>
              <w:rPr>
                <w:rFonts w:ascii="宋体" w:hAnsi="宋体"/>
                <w:highlight w:val="none"/>
              </w:rPr>
              <w:t>0</w:t>
            </w:r>
            <w:r>
              <w:rPr>
                <w:rFonts w:hint="eastAsia" w:ascii="宋体" w:hAnsi="宋体"/>
                <w:highlight w:val="none"/>
              </w:rPr>
              <w:t>.</w:t>
            </w:r>
            <w:r>
              <w:rPr>
                <w:rFonts w:ascii="宋体" w:hAnsi="宋体"/>
                <w:highlight w:val="none"/>
              </w:rPr>
              <w:t>8</w:t>
            </w:r>
            <w:r>
              <w:rPr>
                <w:rFonts w:hint="eastAsia" w:ascii="宋体" w:hAnsi="宋体"/>
                <w:highlight w:val="none"/>
              </w:rPr>
              <w:t>款相关要求。</w:t>
            </w:r>
          </w:p>
          <w:p w14:paraId="7B24F70F">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highlight w:val="none"/>
              </w:rPr>
            </w:pPr>
            <w:r>
              <w:rPr>
                <w:rFonts w:ascii="宋体" w:hAnsi="宋体"/>
                <w:highlight w:val="none"/>
              </w:rPr>
              <w:t>（4）投标人法定代表人授权委托代理人签署投标文件的，须提交授权委托书，且授权人和被授权人均在授权委托书上签名，未使用印章、签名章或其他电子制版签名代替。</w:t>
            </w:r>
          </w:p>
          <w:p w14:paraId="0B2E6E27">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highlight w:val="none"/>
              </w:rPr>
            </w:pPr>
            <w:r>
              <w:rPr>
                <w:rFonts w:ascii="宋体" w:hAnsi="宋体"/>
                <w:highlight w:val="none"/>
              </w:rPr>
              <w:t>（5）投标人法定代表人亲自签署投标文件的，提供了法定代表人身份证明，且法定代表人在法定代表人身份证明上签名，未使用印章、签名章或其他电子制版签名代替。</w:t>
            </w:r>
          </w:p>
          <w:p w14:paraId="7F932101">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szCs w:val="21"/>
                <w:highlight w:val="none"/>
              </w:rPr>
            </w:pPr>
            <w:r>
              <w:rPr>
                <w:rFonts w:ascii="宋体" w:hAnsi="宋体"/>
                <w:highlight w:val="none"/>
              </w:rPr>
              <w:t>（6）投标人未以联合体形式投标。</w:t>
            </w:r>
          </w:p>
          <w:p w14:paraId="2403AB95">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szCs w:val="21"/>
                <w:highlight w:val="none"/>
              </w:rPr>
            </w:pPr>
            <w:r>
              <w:rPr>
                <w:rFonts w:ascii="宋体" w:hAnsi="宋体"/>
                <w:szCs w:val="21"/>
                <w:highlight w:val="none"/>
              </w:rPr>
              <w:t>（7）</w:t>
            </w:r>
            <w:r>
              <w:rPr>
                <w:rFonts w:ascii="宋体" w:hAnsi="宋体"/>
                <w:highlight w:val="none"/>
              </w:rPr>
              <w:t>投标人如有分包计划，符合招标文件第二章“投标人须知”第1.11款规定，且按招标文件第九章“投标文件格式”的要求填写了“拟分包项目情况表”。</w:t>
            </w:r>
          </w:p>
          <w:p w14:paraId="79B0F7ED">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szCs w:val="21"/>
                <w:highlight w:val="none"/>
              </w:rPr>
            </w:pPr>
            <w:r>
              <w:rPr>
                <w:rFonts w:ascii="宋体" w:hAnsi="宋体"/>
                <w:szCs w:val="21"/>
                <w:highlight w:val="none"/>
              </w:rPr>
              <w:t>（8）</w:t>
            </w:r>
            <w:r>
              <w:rPr>
                <w:rFonts w:ascii="宋体" w:hAnsi="宋体"/>
                <w:highlight w:val="none"/>
              </w:rPr>
              <w:t>同一投标人未提交两个以上不同的投标文件。</w:t>
            </w:r>
          </w:p>
          <w:p w14:paraId="6DBBE9C9">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szCs w:val="21"/>
                <w:highlight w:val="none"/>
              </w:rPr>
            </w:pPr>
            <w:r>
              <w:rPr>
                <w:rFonts w:ascii="宋体" w:hAnsi="宋体"/>
                <w:szCs w:val="21"/>
                <w:highlight w:val="none"/>
              </w:rPr>
              <w:t>（9）投标文件中未出现有关投标报价的</w:t>
            </w:r>
            <w:r>
              <w:rPr>
                <w:rFonts w:hint="eastAsia" w:ascii="宋体" w:hAnsi="宋体"/>
                <w:szCs w:val="21"/>
                <w:highlight w:val="none"/>
              </w:rPr>
              <w:t>内容</w:t>
            </w:r>
            <w:r>
              <w:rPr>
                <w:rFonts w:ascii="宋体" w:hAnsi="宋体"/>
                <w:szCs w:val="21"/>
                <w:highlight w:val="none"/>
              </w:rPr>
              <w:t>。</w:t>
            </w:r>
          </w:p>
          <w:p w14:paraId="21B9BA39">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highlight w:val="none"/>
              </w:rPr>
            </w:pPr>
            <w:r>
              <w:rPr>
                <w:rFonts w:ascii="宋体" w:hAnsi="宋体"/>
                <w:szCs w:val="21"/>
                <w:highlight w:val="none"/>
              </w:rPr>
              <w:t>（10）</w:t>
            </w:r>
            <w:r>
              <w:rPr>
                <w:rFonts w:ascii="宋体" w:hAnsi="宋体"/>
                <w:highlight w:val="none"/>
              </w:rPr>
              <w:t>投标文件载明的招标项目完成期限未超过招标文件规定的时限。</w:t>
            </w:r>
          </w:p>
          <w:p w14:paraId="4B159D6B">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szCs w:val="21"/>
                <w:highlight w:val="none"/>
              </w:rPr>
            </w:pPr>
            <w:r>
              <w:rPr>
                <w:rFonts w:ascii="宋体" w:hAnsi="宋体"/>
                <w:highlight w:val="none"/>
              </w:rPr>
              <w:t>（11）投标文件对招标文件的实质性要求和条件</w:t>
            </w:r>
            <w:r>
              <w:rPr>
                <w:rFonts w:hint="eastAsia" w:ascii="宋体" w:hAnsi="宋体"/>
                <w:highlight w:val="none"/>
              </w:rPr>
              <w:t>作</w:t>
            </w:r>
            <w:r>
              <w:rPr>
                <w:rFonts w:ascii="宋体" w:hAnsi="宋体"/>
                <w:highlight w:val="none"/>
              </w:rPr>
              <w:t>出响应。</w:t>
            </w:r>
          </w:p>
          <w:p w14:paraId="0DB6687B">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szCs w:val="21"/>
                <w:highlight w:val="none"/>
              </w:rPr>
            </w:pPr>
            <w:r>
              <w:rPr>
                <w:rFonts w:ascii="宋体" w:hAnsi="宋体"/>
                <w:szCs w:val="21"/>
                <w:highlight w:val="none"/>
              </w:rPr>
              <w:t>（12）权利义务符合招标文件规定：</w:t>
            </w:r>
          </w:p>
          <w:p w14:paraId="644A893B">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szCs w:val="21"/>
                <w:highlight w:val="none"/>
              </w:rPr>
            </w:pPr>
            <w:r>
              <w:rPr>
                <w:rFonts w:ascii="宋体" w:hAnsi="宋体"/>
                <w:szCs w:val="21"/>
                <w:highlight w:val="none"/>
              </w:rPr>
              <w:t>a.投标人应接受招标文件规定的风险划分原则，未提出新的风险划分办法；</w:t>
            </w:r>
          </w:p>
          <w:p w14:paraId="7A3C6F34">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szCs w:val="21"/>
                <w:highlight w:val="none"/>
              </w:rPr>
            </w:pPr>
            <w:r>
              <w:rPr>
                <w:rFonts w:ascii="宋体" w:hAnsi="宋体"/>
                <w:szCs w:val="21"/>
                <w:highlight w:val="none"/>
              </w:rPr>
              <w:t>b.投标人未增加发包人的责任范围，或减少投标人义务；</w:t>
            </w:r>
          </w:p>
          <w:p w14:paraId="6D9DCEC3">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szCs w:val="21"/>
                <w:highlight w:val="none"/>
              </w:rPr>
            </w:pPr>
            <w:r>
              <w:rPr>
                <w:rFonts w:ascii="宋体" w:hAnsi="宋体"/>
                <w:szCs w:val="21"/>
                <w:highlight w:val="none"/>
              </w:rPr>
              <w:t>c.投标人未提出不同的工程验收、计量、支付办法；</w:t>
            </w:r>
          </w:p>
          <w:p w14:paraId="7049A138">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szCs w:val="21"/>
                <w:highlight w:val="none"/>
              </w:rPr>
            </w:pPr>
            <w:r>
              <w:rPr>
                <w:rFonts w:ascii="宋体" w:hAnsi="宋体"/>
                <w:szCs w:val="21"/>
                <w:highlight w:val="none"/>
              </w:rPr>
              <w:t>d.投标人对合同纠纷、事故处理办法未提出异议；</w:t>
            </w:r>
          </w:p>
          <w:p w14:paraId="2373274F">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szCs w:val="21"/>
                <w:highlight w:val="none"/>
              </w:rPr>
            </w:pPr>
            <w:r>
              <w:rPr>
                <w:rFonts w:ascii="宋体" w:hAnsi="宋体"/>
                <w:szCs w:val="21"/>
                <w:highlight w:val="none"/>
              </w:rPr>
              <w:t>e.投标人在投标活动中无欺诈行为；</w:t>
            </w:r>
          </w:p>
          <w:p w14:paraId="5B6E8F56">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szCs w:val="21"/>
                <w:highlight w:val="none"/>
              </w:rPr>
            </w:pPr>
            <w:r>
              <w:rPr>
                <w:rFonts w:ascii="宋体" w:hAnsi="宋体"/>
                <w:szCs w:val="21"/>
                <w:highlight w:val="none"/>
              </w:rPr>
              <w:t>f.投标人未对合同条款有重要保留</w:t>
            </w:r>
            <w:r>
              <w:rPr>
                <w:rFonts w:hint="eastAsia" w:ascii="宋体" w:hAnsi="宋体"/>
                <w:szCs w:val="21"/>
                <w:highlight w:val="none"/>
              </w:rPr>
              <w:t>；</w:t>
            </w:r>
          </w:p>
          <w:p w14:paraId="3291E92A">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szCs w:val="21"/>
                <w:highlight w:val="none"/>
              </w:rPr>
            </w:pPr>
            <w:r>
              <w:rPr>
                <w:rFonts w:hint="eastAsia" w:ascii="宋体" w:hAnsi="宋体"/>
                <w:szCs w:val="21"/>
                <w:highlight w:val="none"/>
              </w:rPr>
              <w:t>g.投标文件中未附有招标人不能接受的其他条件。</w:t>
            </w:r>
          </w:p>
          <w:p w14:paraId="126BC6D9">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highlight w:val="none"/>
              </w:rPr>
            </w:pPr>
            <w:r>
              <w:rPr>
                <w:rFonts w:ascii="宋体" w:hAnsi="宋体"/>
                <w:szCs w:val="21"/>
                <w:highlight w:val="none"/>
              </w:rPr>
              <w:t>（13）</w:t>
            </w:r>
            <w:r>
              <w:rPr>
                <w:rFonts w:ascii="宋体" w:hAnsi="宋体"/>
                <w:highlight w:val="none"/>
              </w:rPr>
              <w:t>投标文件正、副本份数符合招标文件第二章“投标人须知”第3.7.4项规定。</w:t>
            </w:r>
          </w:p>
          <w:p w14:paraId="476A177B">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szCs w:val="21"/>
                <w:highlight w:val="none"/>
              </w:rPr>
            </w:pPr>
            <w:r>
              <w:rPr>
                <w:rFonts w:hint="eastAsia" w:ascii="宋体" w:hAnsi="宋体"/>
                <w:szCs w:val="21"/>
                <w:highlight w:val="none"/>
              </w:rPr>
              <w:t>（14）投标文件各层封套、投标函标明的项目名称、组别、招标人及投标人名称一致。</w:t>
            </w:r>
          </w:p>
          <w:p w14:paraId="22DAEDD4">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szCs w:val="21"/>
                <w:highlight w:val="none"/>
              </w:rPr>
            </w:pPr>
            <w:r>
              <w:rPr>
                <w:rFonts w:hint="eastAsia" w:ascii="宋体" w:hAnsi="宋体"/>
                <w:szCs w:val="21"/>
                <w:highlight w:val="none"/>
              </w:rPr>
              <w:t>（15）</w:t>
            </w:r>
            <w:r>
              <w:rPr>
                <w:rFonts w:ascii="宋体" w:hAnsi="宋体"/>
                <w:szCs w:val="21"/>
                <w:highlight w:val="none"/>
              </w:rPr>
              <w:t>不同投标人的投标文件未相互混装</w:t>
            </w:r>
            <w:r>
              <w:rPr>
                <w:rFonts w:hint="eastAsia" w:ascii="宋体" w:hAnsi="宋体"/>
                <w:szCs w:val="21"/>
                <w:highlight w:val="none"/>
              </w:rPr>
              <w:t>。</w:t>
            </w:r>
          </w:p>
          <w:p w14:paraId="4BB9FD42">
            <w:pPr>
              <w:pStyle w:val="4"/>
              <w:keepNext w:val="0"/>
              <w:keepLines w:val="0"/>
              <w:pageBreakBefore w:val="0"/>
              <w:shd w:val="clear"/>
              <w:kinsoku/>
              <w:wordWrap/>
              <w:overflowPunct/>
              <w:topLinePunct w:val="0"/>
              <w:autoSpaceDE w:val="0"/>
              <w:autoSpaceDN w:val="0"/>
              <w:bidi w:val="0"/>
              <w:adjustRightInd w:val="0"/>
              <w:snapToGrid w:val="0"/>
              <w:spacing w:after="0" w:line="240" w:lineRule="auto"/>
              <w:ind w:left="0" w:right="0" w:firstLine="0" w:firstLineChars="0"/>
              <w:jc w:val="both"/>
              <w:textAlignment w:val="baseline"/>
              <w:rPr>
                <w:rFonts w:hint="default" w:cs="宋体"/>
                <w:snapToGrid w:val="0"/>
                <w:color w:val="000000"/>
                <w:spacing w:val="-3"/>
                <w:kern w:val="0"/>
                <w:sz w:val="21"/>
                <w:szCs w:val="21"/>
                <w:highlight w:val="none"/>
                <w:lang w:val="en-US" w:eastAsia="zh-CN" w:bidi="ar-SA"/>
              </w:rPr>
            </w:pPr>
            <w:r>
              <w:rPr>
                <w:rFonts w:hint="eastAsia" w:ascii="宋体" w:hAnsi="宋体" w:eastAsia="宋体" w:cs="宋体"/>
                <w:snapToGrid w:val="0"/>
                <w:color w:val="000000"/>
                <w:spacing w:val="-3"/>
                <w:kern w:val="0"/>
                <w:sz w:val="21"/>
                <w:szCs w:val="21"/>
                <w:highlight w:val="none"/>
                <w:lang w:val="en-US" w:eastAsia="zh-CN" w:bidi="ar-SA"/>
              </w:rPr>
              <w:t>（</w:t>
            </w:r>
            <w:r>
              <w:rPr>
                <w:rFonts w:hint="eastAsia" w:cs="宋体"/>
                <w:snapToGrid w:val="0"/>
                <w:color w:val="000000"/>
                <w:spacing w:val="-3"/>
                <w:kern w:val="0"/>
                <w:sz w:val="21"/>
                <w:szCs w:val="21"/>
                <w:highlight w:val="none"/>
                <w:lang w:val="en-US" w:eastAsia="zh-CN" w:bidi="ar-SA"/>
              </w:rPr>
              <w:t>16</w:t>
            </w:r>
            <w:r>
              <w:rPr>
                <w:rFonts w:hint="eastAsia" w:ascii="宋体" w:hAnsi="宋体" w:eastAsia="宋体" w:cs="宋体"/>
                <w:snapToGrid w:val="0"/>
                <w:color w:val="000000"/>
                <w:spacing w:val="-3"/>
                <w:kern w:val="0"/>
                <w:sz w:val="21"/>
                <w:szCs w:val="21"/>
                <w:highlight w:val="none"/>
                <w:lang w:val="en-US" w:eastAsia="zh-CN" w:bidi="ar-SA"/>
              </w:rPr>
              <w:t>）技术文件采用无标识形式编制。</w:t>
            </w:r>
          </w:p>
          <w:p w14:paraId="2DA3EE9B">
            <w:pPr>
              <w:pStyle w:val="4"/>
              <w:keepNext w:val="0"/>
              <w:keepLines w:val="0"/>
              <w:pageBreakBefore w:val="0"/>
              <w:kinsoku/>
              <w:wordWrap/>
              <w:overflowPunct/>
              <w:topLinePunct w:val="0"/>
              <w:autoSpaceDE w:val="0"/>
              <w:autoSpaceDN w:val="0"/>
              <w:bidi w:val="0"/>
              <w:adjustRightInd w:val="0"/>
              <w:snapToGrid w:val="0"/>
              <w:spacing w:after="0" w:line="240" w:lineRule="auto"/>
              <w:ind w:left="0" w:right="0" w:firstLine="0" w:firstLineChars="0"/>
              <w:jc w:val="both"/>
              <w:textAlignment w:val="baseline"/>
              <w:rPr>
                <w:rFonts w:ascii="宋体" w:hAnsi="宋体" w:eastAsia="宋体" w:cs="宋体"/>
                <w:b/>
                <w:bCs/>
                <w:snapToGrid w:val="0"/>
                <w:color w:val="000000"/>
                <w:spacing w:val="-3"/>
                <w:kern w:val="0"/>
                <w:sz w:val="21"/>
                <w:szCs w:val="21"/>
                <w:highlight w:val="none"/>
                <w:lang w:val="en-US" w:eastAsia="en-US" w:bidi="ar-SA"/>
              </w:rPr>
            </w:pPr>
          </w:p>
          <w:p w14:paraId="08ED2D1B">
            <w:pPr>
              <w:pStyle w:val="4"/>
              <w:keepNext w:val="0"/>
              <w:keepLines w:val="0"/>
              <w:pageBreakBefore w:val="0"/>
              <w:kinsoku/>
              <w:wordWrap/>
              <w:overflowPunct/>
              <w:topLinePunct w:val="0"/>
              <w:autoSpaceDE w:val="0"/>
              <w:autoSpaceDN w:val="0"/>
              <w:bidi w:val="0"/>
              <w:adjustRightInd w:val="0"/>
              <w:snapToGrid w:val="0"/>
              <w:spacing w:after="0" w:line="240" w:lineRule="auto"/>
              <w:ind w:left="0" w:right="0" w:firstLine="0" w:firstLineChars="0"/>
              <w:jc w:val="both"/>
              <w:textAlignment w:val="baseline"/>
              <w:rPr>
                <w:rFonts w:ascii="宋体" w:hAnsi="宋体" w:eastAsia="宋体" w:cs="宋体"/>
                <w:b/>
                <w:bCs/>
                <w:snapToGrid w:val="0"/>
                <w:color w:val="000000"/>
                <w:spacing w:val="-3"/>
                <w:kern w:val="0"/>
                <w:sz w:val="21"/>
                <w:szCs w:val="21"/>
                <w:highlight w:val="none"/>
                <w:lang w:val="en-US" w:eastAsia="en-US" w:bidi="ar-SA"/>
              </w:rPr>
            </w:pPr>
            <w:r>
              <w:rPr>
                <w:rFonts w:ascii="宋体" w:hAnsi="宋体" w:eastAsia="宋体" w:cs="宋体"/>
                <w:b/>
                <w:bCs/>
                <w:snapToGrid w:val="0"/>
                <w:color w:val="000000"/>
                <w:spacing w:val="-3"/>
                <w:kern w:val="0"/>
                <w:sz w:val="21"/>
                <w:szCs w:val="21"/>
                <w:highlight w:val="none"/>
                <w:lang w:val="en-US" w:eastAsia="en-US" w:bidi="ar-SA"/>
              </w:rPr>
              <w:t>第二个信封（报价文件）评审标准：</w:t>
            </w:r>
          </w:p>
          <w:p w14:paraId="11F1CCBB">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szCs w:val="21"/>
                <w:highlight w:val="none"/>
              </w:rPr>
            </w:pPr>
            <w:r>
              <w:rPr>
                <w:rFonts w:ascii="宋体" w:hAnsi="宋体"/>
                <w:szCs w:val="21"/>
                <w:highlight w:val="none"/>
              </w:rPr>
              <w:t>（1）投标文件按照招标文件规定的格式、内容填写，字迹清晰可辨：</w:t>
            </w:r>
          </w:p>
          <w:p w14:paraId="05C49172">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szCs w:val="21"/>
                <w:highlight w:val="none"/>
              </w:rPr>
            </w:pPr>
            <w:r>
              <w:rPr>
                <w:rFonts w:ascii="宋体" w:hAnsi="宋体"/>
                <w:szCs w:val="21"/>
                <w:highlight w:val="none"/>
              </w:rPr>
              <w:t>a.投标函按招标文件规定填报了项目名称、标段号、补遗书编号（如有）、投标价（包括大写金额和小写金额）；</w:t>
            </w:r>
          </w:p>
          <w:p w14:paraId="34B68353">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szCs w:val="21"/>
                <w:highlight w:val="none"/>
              </w:rPr>
            </w:pPr>
            <w:r>
              <w:rPr>
                <w:rFonts w:ascii="宋体" w:hAnsi="宋体"/>
                <w:szCs w:val="21"/>
                <w:highlight w:val="none"/>
              </w:rPr>
              <w:t>b.已标价工程量清单说明文字与招标文件规定一致，未进行实质性修改和删减；</w:t>
            </w:r>
          </w:p>
          <w:p w14:paraId="4C0B3EAE">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szCs w:val="21"/>
                <w:highlight w:val="none"/>
              </w:rPr>
            </w:pPr>
            <w:r>
              <w:rPr>
                <w:rFonts w:ascii="宋体" w:hAnsi="宋体"/>
                <w:szCs w:val="21"/>
                <w:highlight w:val="none"/>
              </w:rPr>
              <w:t>c.投标文件组成齐全完整，</w:t>
            </w:r>
            <w:r>
              <w:rPr>
                <w:rFonts w:hint="eastAsia" w:ascii="宋体" w:hAnsi="宋体"/>
                <w:szCs w:val="21"/>
                <w:highlight w:val="none"/>
              </w:rPr>
              <w:t>提供的相关资料符合招标文件规定，</w:t>
            </w:r>
            <w:r>
              <w:rPr>
                <w:rFonts w:ascii="宋体" w:hAnsi="宋体"/>
                <w:szCs w:val="21"/>
                <w:highlight w:val="none"/>
              </w:rPr>
              <w:t>内容均按规定填写。</w:t>
            </w:r>
          </w:p>
          <w:p w14:paraId="012D3457">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szCs w:val="21"/>
                <w:highlight w:val="none"/>
              </w:rPr>
            </w:pPr>
            <w:r>
              <w:rPr>
                <w:rFonts w:ascii="宋体" w:hAnsi="宋体"/>
                <w:szCs w:val="21"/>
                <w:highlight w:val="none"/>
              </w:rPr>
              <w:t>（2）投标文件上法定代表人或其授权代理人的签字、投标人的单位章盖章齐全，符合招标文件规定。</w:t>
            </w:r>
          </w:p>
          <w:p w14:paraId="786E52A8">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szCs w:val="21"/>
                <w:highlight w:val="none"/>
              </w:rPr>
            </w:pPr>
            <w:r>
              <w:rPr>
                <w:rFonts w:ascii="宋体" w:hAnsi="宋体"/>
                <w:szCs w:val="21"/>
                <w:highlight w:val="none"/>
              </w:rPr>
              <w:t>（3）投标报价未超过招标文件设定的最高投标限价。</w:t>
            </w:r>
          </w:p>
          <w:p w14:paraId="426A85AC">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szCs w:val="21"/>
                <w:highlight w:val="none"/>
              </w:rPr>
            </w:pPr>
            <w:r>
              <w:rPr>
                <w:rFonts w:ascii="宋体" w:hAnsi="宋体"/>
                <w:szCs w:val="21"/>
                <w:highlight w:val="none"/>
              </w:rPr>
              <w:t>（4）投标报价</w:t>
            </w:r>
            <w:r>
              <w:rPr>
                <w:rFonts w:hint="eastAsia" w:ascii="宋体" w:hAnsi="宋体"/>
                <w:szCs w:val="21"/>
                <w:highlight w:val="none"/>
              </w:rPr>
              <w:t>的</w:t>
            </w:r>
            <w:r>
              <w:rPr>
                <w:rFonts w:ascii="宋体" w:hAnsi="宋体"/>
                <w:szCs w:val="21"/>
                <w:highlight w:val="none"/>
              </w:rPr>
              <w:t>大写金额能够确定具体数值。</w:t>
            </w:r>
          </w:p>
          <w:p w14:paraId="0F840E07">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szCs w:val="21"/>
                <w:highlight w:val="none"/>
              </w:rPr>
            </w:pPr>
            <w:r>
              <w:rPr>
                <w:rFonts w:ascii="宋体" w:hAnsi="宋体"/>
                <w:szCs w:val="21"/>
                <w:highlight w:val="none"/>
              </w:rPr>
              <w:t>（5）同一投标人未提交两个以上不同的投标报价。</w:t>
            </w:r>
          </w:p>
          <w:p w14:paraId="31F62C34">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szCs w:val="21"/>
                <w:highlight w:val="none"/>
              </w:rPr>
            </w:pPr>
            <w:r>
              <w:rPr>
                <w:rFonts w:hint="eastAsia" w:ascii="宋体" w:hAnsi="宋体"/>
                <w:szCs w:val="21"/>
                <w:highlight w:val="none"/>
              </w:rPr>
              <w:t>（6）投标人未提交调价函。</w:t>
            </w:r>
          </w:p>
          <w:p w14:paraId="0549C98E">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szCs w:val="21"/>
                <w:highlight w:val="none"/>
              </w:rPr>
            </w:pPr>
            <w:r>
              <w:rPr>
                <w:rFonts w:ascii="宋体" w:hAnsi="宋体"/>
                <w:szCs w:val="21"/>
                <w:highlight w:val="none"/>
              </w:rPr>
              <w:t>（</w:t>
            </w:r>
            <w:r>
              <w:rPr>
                <w:rFonts w:hint="eastAsia" w:ascii="宋体" w:hAnsi="宋体"/>
                <w:szCs w:val="21"/>
                <w:highlight w:val="none"/>
              </w:rPr>
              <w:t>7</w:t>
            </w:r>
            <w:r>
              <w:rPr>
                <w:rFonts w:ascii="宋体" w:hAnsi="宋体"/>
                <w:szCs w:val="21"/>
                <w:highlight w:val="none"/>
              </w:rPr>
              <w:t>）递交的</w:t>
            </w:r>
            <w:r>
              <w:rPr>
                <w:rFonts w:hint="eastAsia" w:ascii="宋体" w:hAnsi="宋体"/>
                <w:szCs w:val="21"/>
                <w:highlight w:val="none"/>
              </w:rPr>
              <w:t>投标文件</w:t>
            </w:r>
            <w:r>
              <w:rPr>
                <w:rFonts w:ascii="宋体" w:hAnsi="宋体"/>
                <w:szCs w:val="21"/>
                <w:highlight w:val="none"/>
              </w:rPr>
              <w:t>的标段数量</w:t>
            </w:r>
            <w:r>
              <w:rPr>
                <w:rFonts w:hint="eastAsia" w:ascii="宋体" w:hAnsi="宋体"/>
                <w:szCs w:val="21"/>
                <w:highlight w:val="none"/>
              </w:rPr>
              <w:t>符合</w:t>
            </w:r>
            <w:r>
              <w:rPr>
                <w:rFonts w:ascii="宋体" w:hAnsi="宋体"/>
                <w:szCs w:val="21"/>
                <w:highlight w:val="none"/>
              </w:rPr>
              <w:t>招标文件</w:t>
            </w:r>
            <w:r>
              <w:rPr>
                <w:rFonts w:hint="eastAsia" w:ascii="宋体" w:hAnsi="宋体"/>
                <w:szCs w:val="21"/>
                <w:highlight w:val="none"/>
              </w:rPr>
              <w:t>规定</w:t>
            </w:r>
            <w:r>
              <w:rPr>
                <w:rFonts w:ascii="宋体" w:hAnsi="宋体"/>
                <w:szCs w:val="21"/>
                <w:highlight w:val="none"/>
              </w:rPr>
              <w:t>。</w:t>
            </w:r>
          </w:p>
          <w:p w14:paraId="7A724F05">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szCs w:val="21"/>
                <w:highlight w:val="none"/>
              </w:rPr>
            </w:pPr>
            <w:r>
              <w:rPr>
                <w:rFonts w:ascii="宋体" w:hAnsi="宋体"/>
                <w:szCs w:val="21"/>
                <w:highlight w:val="none"/>
              </w:rPr>
              <w:t>（</w:t>
            </w:r>
            <w:r>
              <w:rPr>
                <w:rFonts w:hint="eastAsia" w:ascii="宋体" w:hAnsi="宋体"/>
                <w:szCs w:val="21"/>
                <w:highlight w:val="none"/>
              </w:rPr>
              <w:t>8</w:t>
            </w:r>
            <w:r>
              <w:rPr>
                <w:rFonts w:ascii="宋体" w:hAnsi="宋体"/>
                <w:szCs w:val="21"/>
                <w:highlight w:val="none"/>
              </w:rPr>
              <w:t>）</w:t>
            </w:r>
            <w:r>
              <w:rPr>
                <w:rFonts w:ascii="宋体" w:hAnsi="宋体"/>
                <w:highlight w:val="none"/>
              </w:rPr>
              <w:t>投标文件正、副本份数符合招标文件第二章“投标人须知”第3.7.4项规定。</w:t>
            </w:r>
          </w:p>
          <w:p w14:paraId="00DCB6A8">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highlight w:val="none"/>
              </w:rPr>
            </w:pPr>
            <w:r>
              <w:rPr>
                <w:rFonts w:ascii="宋体" w:hAnsi="宋体"/>
                <w:szCs w:val="21"/>
                <w:highlight w:val="none"/>
              </w:rPr>
              <w:t>（</w:t>
            </w:r>
            <w:r>
              <w:rPr>
                <w:rFonts w:hint="eastAsia" w:ascii="宋体" w:hAnsi="宋体"/>
                <w:szCs w:val="21"/>
                <w:highlight w:val="none"/>
              </w:rPr>
              <w:t>9</w:t>
            </w:r>
            <w:r>
              <w:rPr>
                <w:rFonts w:ascii="宋体" w:hAnsi="宋体"/>
                <w:szCs w:val="21"/>
                <w:highlight w:val="none"/>
              </w:rPr>
              <w:t>）</w:t>
            </w:r>
            <w:r>
              <w:rPr>
                <w:rFonts w:hint="eastAsia" w:ascii="宋体" w:hAnsi="宋体"/>
                <w:szCs w:val="21"/>
                <w:highlight w:val="none"/>
              </w:rPr>
              <w:t>投标文件各层封套、投标函标明的项目名称、标段号、招标人及投标人名称一致；</w:t>
            </w:r>
          </w:p>
          <w:p w14:paraId="154F1CDF">
            <w:pPr>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both"/>
              <w:textAlignment w:val="baseline"/>
              <w:rPr>
                <w:rFonts w:ascii="宋体" w:hAnsi="宋体"/>
                <w:szCs w:val="21"/>
                <w:highlight w:val="none"/>
              </w:rPr>
            </w:pPr>
            <w:r>
              <w:rPr>
                <w:rFonts w:hint="eastAsia" w:ascii="宋体" w:hAnsi="宋体"/>
                <w:szCs w:val="21"/>
                <w:highlight w:val="none"/>
              </w:rPr>
              <w:t>（10）</w:t>
            </w:r>
            <w:r>
              <w:rPr>
                <w:rFonts w:ascii="宋体" w:hAnsi="宋体"/>
                <w:szCs w:val="21"/>
                <w:highlight w:val="none"/>
              </w:rPr>
              <w:t>不同投标人的投标文件未相互混装</w:t>
            </w:r>
            <w:r>
              <w:rPr>
                <w:rFonts w:hint="eastAsia" w:ascii="宋体" w:hAnsi="宋体"/>
                <w:szCs w:val="21"/>
                <w:highlight w:val="none"/>
              </w:rPr>
              <w:t>。</w:t>
            </w:r>
          </w:p>
          <w:p w14:paraId="3DD85839">
            <w:pPr>
              <w:pStyle w:val="4"/>
              <w:keepNext w:val="0"/>
              <w:keepLines w:val="0"/>
              <w:pageBreakBefore w:val="0"/>
              <w:kinsoku/>
              <w:wordWrap/>
              <w:overflowPunct/>
              <w:topLinePunct w:val="0"/>
              <w:autoSpaceDE w:val="0"/>
              <w:autoSpaceDN w:val="0"/>
              <w:bidi w:val="0"/>
              <w:adjustRightInd w:val="0"/>
              <w:snapToGrid w:val="0"/>
              <w:spacing w:after="0" w:line="240" w:lineRule="auto"/>
              <w:ind w:left="0" w:right="0" w:firstLine="0" w:firstLineChars="0"/>
              <w:jc w:val="both"/>
              <w:textAlignment w:val="baseline"/>
              <w:rPr>
                <w:rFonts w:hint="eastAsia" w:ascii="宋体" w:hAnsi="宋体" w:eastAsia="宋体" w:cs="宋体"/>
                <w:snapToGrid w:val="0"/>
                <w:color w:val="000000"/>
                <w:spacing w:val="-3"/>
                <w:kern w:val="0"/>
                <w:sz w:val="21"/>
                <w:szCs w:val="21"/>
                <w:highlight w:val="none"/>
                <w:lang w:val="en-US" w:eastAsia="en-US" w:bidi="ar-SA"/>
              </w:rPr>
            </w:pPr>
            <w:r>
              <w:rPr>
                <w:rFonts w:hint="eastAsia" w:cs="宋体"/>
                <w:snapToGrid w:val="0"/>
                <w:color w:val="000000"/>
                <w:spacing w:val="-3"/>
                <w:kern w:val="0"/>
                <w:sz w:val="21"/>
                <w:szCs w:val="21"/>
                <w:highlight w:val="none"/>
                <w:lang w:val="en-US" w:eastAsia="zh-CN" w:bidi="ar-SA"/>
              </w:rPr>
              <w:t>（11）投标人若填写工程量固化清单,填写完毕的工程量固化清单未对工程量固化清单电子文件中的数据、格式和运算定义进行修改:工程量固化清单中的投标报价和投标函大写金额报价一致。相关子目报价符合招标文件规定。</w:t>
            </w:r>
          </w:p>
        </w:tc>
      </w:tr>
      <w:tr w14:paraId="0350EB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6" w:hRule="atLeast"/>
          <w:jc w:val="center"/>
        </w:trPr>
        <w:tc>
          <w:tcPr>
            <w:tcW w:w="1322" w:type="dxa"/>
            <w:tcBorders>
              <w:left w:val="single" w:color="000000" w:sz="12" w:space="0"/>
              <w:bottom w:val="single" w:color="000000" w:sz="12" w:space="0"/>
            </w:tcBorders>
            <w:vAlign w:val="center"/>
          </w:tcPr>
          <w:p w14:paraId="466141F5">
            <w:pPr>
              <w:pStyle w:val="9"/>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center"/>
              <w:textAlignment w:val="baseline"/>
              <w:rPr>
                <w:rFonts w:hint="default"/>
                <w:spacing w:val="-4"/>
                <w:highlight w:val="none"/>
                <w:lang w:val="en-US" w:eastAsia="zh-CN"/>
              </w:rPr>
            </w:pPr>
            <w:r>
              <w:rPr>
                <w:rFonts w:hint="eastAsia"/>
                <w:spacing w:val="-4"/>
                <w:highlight w:val="none"/>
                <w:lang w:val="en-US" w:eastAsia="zh-CN"/>
              </w:rPr>
              <w:t>2.1.2</w:t>
            </w:r>
          </w:p>
        </w:tc>
        <w:tc>
          <w:tcPr>
            <w:tcW w:w="911" w:type="dxa"/>
            <w:tcBorders>
              <w:bottom w:val="single" w:color="000000" w:sz="12" w:space="0"/>
            </w:tcBorders>
            <w:vAlign w:val="center"/>
          </w:tcPr>
          <w:p w14:paraId="66E2BAB0">
            <w:pPr>
              <w:pStyle w:val="9"/>
              <w:keepNext w:val="0"/>
              <w:keepLines w:val="0"/>
              <w:pageBreakBefore w:val="0"/>
              <w:kinsoku/>
              <w:wordWrap/>
              <w:overflowPunct/>
              <w:topLinePunct w:val="0"/>
              <w:autoSpaceDE w:val="0"/>
              <w:autoSpaceDN w:val="0"/>
              <w:bidi w:val="0"/>
              <w:adjustRightInd w:val="0"/>
              <w:snapToGrid w:val="0"/>
              <w:spacing w:line="240" w:lineRule="auto"/>
              <w:ind w:left="0" w:right="0" w:firstLine="0" w:firstLineChars="0"/>
              <w:jc w:val="center"/>
              <w:textAlignment w:val="baseline"/>
              <w:rPr>
                <w:rFonts w:hint="eastAsia"/>
                <w:spacing w:val="-4"/>
                <w:highlight w:val="none"/>
                <w:lang w:val="en-US" w:eastAsia="zh-CN"/>
              </w:rPr>
            </w:pPr>
            <w:r>
              <w:rPr>
                <w:rFonts w:hint="eastAsia"/>
                <w:spacing w:val="-4"/>
                <w:highlight w:val="none"/>
                <w:lang w:val="en-US" w:eastAsia="zh-CN"/>
              </w:rPr>
              <w:t>资格评审标准</w:t>
            </w:r>
          </w:p>
        </w:tc>
        <w:tc>
          <w:tcPr>
            <w:tcW w:w="6839" w:type="dxa"/>
            <w:tcBorders>
              <w:bottom w:val="single" w:color="000000" w:sz="12" w:space="0"/>
              <w:right w:val="single" w:color="000000" w:sz="12" w:space="0"/>
            </w:tcBorders>
            <w:vAlign w:val="center"/>
          </w:tcPr>
          <w:p w14:paraId="544918FB">
            <w:pPr>
              <w:pStyle w:val="4"/>
              <w:keepNext w:val="0"/>
              <w:keepLines w:val="0"/>
              <w:pageBreakBefore w:val="0"/>
              <w:kinsoku/>
              <w:wordWrap/>
              <w:overflowPunct/>
              <w:topLinePunct w:val="0"/>
              <w:autoSpaceDE w:val="0"/>
              <w:autoSpaceDN w:val="0"/>
              <w:bidi w:val="0"/>
              <w:adjustRightInd w:val="0"/>
              <w:snapToGrid w:val="0"/>
              <w:spacing w:after="0" w:line="240" w:lineRule="auto"/>
              <w:ind w:left="0" w:right="0" w:firstLine="0" w:firstLineChars="0"/>
              <w:jc w:val="both"/>
              <w:textAlignment w:val="baseline"/>
              <w:rPr>
                <w:rFonts w:hint="eastAsia" w:ascii="宋体" w:hAnsi="宋体" w:eastAsia="宋体" w:cs="宋体"/>
                <w:snapToGrid w:val="0"/>
                <w:color w:val="000000"/>
                <w:spacing w:val="-3"/>
                <w:kern w:val="0"/>
                <w:sz w:val="21"/>
                <w:szCs w:val="21"/>
                <w:highlight w:val="none"/>
                <w:lang w:val="zh-TW" w:eastAsia="en-US" w:bidi="ar-SA"/>
              </w:rPr>
            </w:pPr>
            <w:r>
              <w:rPr>
                <w:rFonts w:hint="eastAsia" w:ascii="宋体" w:hAnsi="宋体" w:eastAsia="宋体" w:cs="宋体"/>
                <w:snapToGrid w:val="0"/>
                <w:color w:val="000000"/>
                <w:spacing w:val="-3"/>
                <w:kern w:val="0"/>
                <w:sz w:val="21"/>
                <w:szCs w:val="21"/>
                <w:highlight w:val="none"/>
                <w:lang w:val="zh-TW" w:eastAsia="en-US" w:bidi="ar-SA"/>
              </w:rPr>
              <w:t>(1)投标人具备有效的营业执照、组织机构代码证、资质证书、安全生产</w:t>
            </w:r>
            <w:r>
              <w:rPr>
                <w:rFonts w:hint="eastAsia" w:cs="宋体"/>
                <w:snapToGrid w:val="0"/>
                <w:color w:val="000000"/>
                <w:spacing w:val="-3"/>
                <w:kern w:val="0"/>
                <w:sz w:val="21"/>
                <w:szCs w:val="21"/>
                <w:highlight w:val="none"/>
                <w:lang w:val="zh-TW" w:eastAsia="zh-CN" w:bidi="ar-SA"/>
              </w:rPr>
              <w:t>许可证</w:t>
            </w:r>
            <w:r>
              <w:rPr>
                <w:rFonts w:hint="eastAsia" w:ascii="宋体" w:hAnsi="宋体" w:eastAsia="宋体" w:cs="宋体"/>
                <w:snapToGrid w:val="0"/>
                <w:color w:val="000000"/>
                <w:spacing w:val="-3"/>
                <w:kern w:val="0"/>
                <w:sz w:val="21"/>
                <w:szCs w:val="21"/>
                <w:highlight w:val="none"/>
                <w:lang w:val="zh-TW" w:eastAsia="en-US" w:bidi="ar-SA"/>
              </w:rPr>
              <w:t>和基本账户开户许可证。</w:t>
            </w:r>
          </w:p>
          <w:p w14:paraId="527297A6">
            <w:pPr>
              <w:pStyle w:val="4"/>
              <w:keepNext w:val="0"/>
              <w:keepLines w:val="0"/>
              <w:pageBreakBefore w:val="0"/>
              <w:kinsoku/>
              <w:wordWrap/>
              <w:overflowPunct/>
              <w:topLinePunct w:val="0"/>
              <w:autoSpaceDE w:val="0"/>
              <w:autoSpaceDN w:val="0"/>
              <w:bidi w:val="0"/>
              <w:adjustRightInd w:val="0"/>
              <w:snapToGrid w:val="0"/>
              <w:spacing w:after="0" w:line="240" w:lineRule="auto"/>
              <w:ind w:left="0" w:right="0" w:firstLine="0" w:firstLineChars="0"/>
              <w:jc w:val="both"/>
              <w:textAlignment w:val="baseline"/>
              <w:rPr>
                <w:rFonts w:hint="eastAsia" w:ascii="宋体" w:hAnsi="宋体" w:eastAsia="宋体" w:cs="宋体"/>
                <w:snapToGrid w:val="0"/>
                <w:color w:val="000000"/>
                <w:spacing w:val="-3"/>
                <w:kern w:val="0"/>
                <w:sz w:val="21"/>
                <w:szCs w:val="21"/>
                <w:highlight w:val="none"/>
                <w:lang w:val="zh-TW" w:eastAsia="en-US" w:bidi="ar-SA"/>
              </w:rPr>
            </w:pPr>
            <w:r>
              <w:rPr>
                <w:rFonts w:hint="eastAsia" w:ascii="宋体" w:hAnsi="宋体" w:eastAsia="宋体" w:cs="宋体"/>
                <w:snapToGrid w:val="0"/>
                <w:color w:val="000000"/>
                <w:spacing w:val="-3"/>
                <w:kern w:val="0"/>
                <w:sz w:val="21"/>
                <w:szCs w:val="21"/>
                <w:highlight w:val="none"/>
                <w:lang w:val="zh-TW" w:eastAsia="en-US" w:bidi="ar-SA"/>
              </w:rPr>
              <w:t>(2)投标人的资质等级符合招标文件规定</w:t>
            </w:r>
          </w:p>
          <w:p w14:paraId="23C1E28E">
            <w:pPr>
              <w:pStyle w:val="4"/>
              <w:keepNext w:val="0"/>
              <w:keepLines w:val="0"/>
              <w:pageBreakBefore w:val="0"/>
              <w:kinsoku/>
              <w:wordWrap/>
              <w:overflowPunct/>
              <w:topLinePunct w:val="0"/>
              <w:autoSpaceDE w:val="0"/>
              <w:autoSpaceDN w:val="0"/>
              <w:bidi w:val="0"/>
              <w:adjustRightInd w:val="0"/>
              <w:snapToGrid w:val="0"/>
              <w:spacing w:after="0" w:line="240" w:lineRule="auto"/>
              <w:ind w:left="0" w:right="0" w:firstLine="0" w:firstLineChars="0"/>
              <w:jc w:val="both"/>
              <w:textAlignment w:val="baseline"/>
              <w:rPr>
                <w:rFonts w:hint="eastAsia" w:ascii="宋体" w:hAnsi="宋体" w:eastAsia="宋体" w:cs="宋体"/>
                <w:snapToGrid w:val="0"/>
                <w:color w:val="000000"/>
                <w:spacing w:val="-3"/>
                <w:kern w:val="0"/>
                <w:sz w:val="21"/>
                <w:szCs w:val="21"/>
                <w:highlight w:val="none"/>
                <w:lang w:val="zh-TW" w:eastAsia="en-US" w:bidi="ar-SA"/>
              </w:rPr>
            </w:pPr>
            <w:r>
              <w:rPr>
                <w:rFonts w:hint="eastAsia" w:ascii="宋体" w:hAnsi="宋体" w:eastAsia="宋体" w:cs="宋体"/>
                <w:snapToGrid w:val="0"/>
                <w:color w:val="000000"/>
                <w:spacing w:val="-3"/>
                <w:kern w:val="0"/>
                <w:sz w:val="21"/>
                <w:szCs w:val="21"/>
                <w:highlight w:val="none"/>
                <w:lang w:val="zh-TW" w:eastAsia="en-US" w:bidi="ar-SA"/>
              </w:rPr>
              <w:t>(3)投标人的财务状况符合招标文件规定。</w:t>
            </w:r>
          </w:p>
          <w:p w14:paraId="42A265CE">
            <w:pPr>
              <w:pStyle w:val="4"/>
              <w:keepNext w:val="0"/>
              <w:keepLines w:val="0"/>
              <w:pageBreakBefore w:val="0"/>
              <w:kinsoku/>
              <w:wordWrap/>
              <w:overflowPunct/>
              <w:topLinePunct w:val="0"/>
              <w:autoSpaceDE w:val="0"/>
              <w:autoSpaceDN w:val="0"/>
              <w:bidi w:val="0"/>
              <w:adjustRightInd w:val="0"/>
              <w:snapToGrid w:val="0"/>
              <w:spacing w:after="0" w:line="240" w:lineRule="auto"/>
              <w:ind w:left="0" w:right="0" w:firstLine="0" w:firstLineChars="0"/>
              <w:jc w:val="both"/>
              <w:textAlignment w:val="baseline"/>
              <w:rPr>
                <w:rFonts w:hint="eastAsia" w:ascii="宋体" w:hAnsi="宋体" w:eastAsia="宋体" w:cs="宋体"/>
                <w:snapToGrid w:val="0"/>
                <w:color w:val="000000"/>
                <w:spacing w:val="-3"/>
                <w:kern w:val="0"/>
                <w:sz w:val="21"/>
                <w:szCs w:val="21"/>
                <w:highlight w:val="none"/>
                <w:lang w:val="zh-TW" w:eastAsia="en-US" w:bidi="ar-SA"/>
              </w:rPr>
            </w:pPr>
            <w:r>
              <w:rPr>
                <w:rFonts w:hint="eastAsia" w:ascii="宋体" w:hAnsi="宋体" w:eastAsia="宋体" w:cs="宋体"/>
                <w:snapToGrid w:val="0"/>
                <w:color w:val="000000"/>
                <w:spacing w:val="-3"/>
                <w:kern w:val="0"/>
                <w:sz w:val="21"/>
                <w:szCs w:val="21"/>
                <w:highlight w:val="none"/>
                <w:lang w:val="zh-TW" w:eastAsia="en-US" w:bidi="ar-SA"/>
              </w:rPr>
              <w:t>(4)投标人的类似项目业绩符合招标文件规定。</w:t>
            </w:r>
          </w:p>
          <w:p w14:paraId="717ADF0B">
            <w:pPr>
              <w:pStyle w:val="4"/>
              <w:keepNext w:val="0"/>
              <w:keepLines w:val="0"/>
              <w:pageBreakBefore w:val="0"/>
              <w:kinsoku/>
              <w:wordWrap/>
              <w:overflowPunct/>
              <w:topLinePunct w:val="0"/>
              <w:autoSpaceDE w:val="0"/>
              <w:autoSpaceDN w:val="0"/>
              <w:bidi w:val="0"/>
              <w:adjustRightInd w:val="0"/>
              <w:snapToGrid w:val="0"/>
              <w:spacing w:after="0" w:line="240" w:lineRule="auto"/>
              <w:ind w:left="0" w:right="0" w:firstLine="0" w:firstLineChars="0"/>
              <w:jc w:val="both"/>
              <w:textAlignment w:val="baseline"/>
              <w:rPr>
                <w:rFonts w:hint="eastAsia" w:ascii="宋体" w:hAnsi="宋体" w:eastAsia="宋体" w:cs="宋体"/>
                <w:snapToGrid w:val="0"/>
                <w:color w:val="000000"/>
                <w:spacing w:val="-3"/>
                <w:kern w:val="0"/>
                <w:sz w:val="21"/>
                <w:szCs w:val="21"/>
                <w:highlight w:val="none"/>
                <w:lang w:val="zh-TW" w:eastAsia="en-US" w:bidi="ar-SA"/>
              </w:rPr>
            </w:pPr>
            <w:r>
              <w:rPr>
                <w:rFonts w:hint="eastAsia" w:ascii="宋体" w:hAnsi="宋体" w:eastAsia="宋体" w:cs="宋体"/>
                <w:snapToGrid w:val="0"/>
                <w:color w:val="000000"/>
                <w:spacing w:val="-3"/>
                <w:kern w:val="0"/>
                <w:sz w:val="21"/>
                <w:szCs w:val="21"/>
                <w:highlight w:val="none"/>
                <w:lang w:val="zh-TW" w:eastAsia="en-US" w:bidi="ar-SA"/>
              </w:rPr>
              <w:t>(5)投标人的信誉符合招标文件规定</w:t>
            </w:r>
          </w:p>
          <w:p w14:paraId="0AEEFEC0">
            <w:pPr>
              <w:pStyle w:val="4"/>
              <w:keepNext w:val="0"/>
              <w:keepLines w:val="0"/>
              <w:pageBreakBefore w:val="0"/>
              <w:kinsoku/>
              <w:wordWrap/>
              <w:overflowPunct/>
              <w:topLinePunct w:val="0"/>
              <w:autoSpaceDE w:val="0"/>
              <w:autoSpaceDN w:val="0"/>
              <w:bidi w:val="0"/>
              <w:adjustRightInd w:val="0"/>
              <w:snapToGrid w:val="0"/>
              <w:spacing w:after="0" w:line="240" w:lineRule="auto"/>
              <w:ind w:left="0" w:right="0" w:firstLine="0" w:firstLineChars="0"/>
              <w:jc w:val="both"/>
              <w:textAlignment w:val="baseline"/>
              <w:rPr>
                <w:rFonts w:hint="eastAsia" w:ascii="宋体" w:hAnsi="宋体" w:eastAsia="宋体" w:cs="宋体"/>
                <w:snapToGrid w:val="0"/>
                <w:color w:val="000000"/>
                <w:spacing w:val="-3"/>
                <w:kern w:val="0"/>
                <w:sz w:val="21"/>
                <w:szCs w:val="21"/>
                <w:highlight w:val="none"/>
                <w:lang w:val="zh-TW" w:eastAsia="en-US" w:bidi="ar-SA"/>
              </w:rPr>
            </w:pPr>
            <w:r>
              <w:rPr>
                <w:rFonts w:hint="eastAsia" w:ascii="宋体" w:hAnsi="宋体" w:eastAsia="宋体" w:cs="宋体"/>
                <w:snapToGrid w:val="0"/>
                <w:color w:val="000000"/>
                <w:spacing w:val="-3"/>
                <w:kern w:val="0"/>
                <w:sz w:val="21"/>
                <w:szCs w:val="21"/>
                <w:highlight w:val="none"/>
                <w:lang w:val="zh-TW" w:eastAsia="en-US" w:bidi="ar-SA"/>
              </w:rPr>
              <w:t>(6)投标人的项目经理和项目总工资格、在岗情况符合招标文件规定</w:t>
            </w:r>
          </w:p>
          <w:p w14:paraId="7B1BCF01">
            <w:pPr>
              <w:pStyle w:val="4"/>
              <w:keepNext w:val="0"/>
              <w:keepLines w:val="0"/>
              <w:pageBreakBefore w:val="0"/>
              <w:kinsoku/>
              <w:wordWrap/>
              <w:overflowPunct/>
              <w:topLinePunct w:val="0"/>
              <w:autoSpaceDE w:val="0"/>
              <w:autoSpaceDN w:val="0"/>
              <w:bidi w:val="0"/>
              <w:adjustRightInd w:val="0"/>
              <w:snapToGrid w:val="0"/>
              <w:spacing w:after="0" w:line="240" w:lineRule="auto"/>
              <w:ind w:left="0" w:right="0" w:firstLine="0" w:firstLineChars="0"/>
              <w:jc w:val="both"/>
              <w:textAlignment w:val="baseline"/>
              <w:rPr>
                <w:rFonts w:hint="eastAsia" w:ascii="宋体" w:hAnsi="宋体" w:eastAsia="宋体" w:cs="宋体"/>
                <w:snapToGrid w:val="0"/>
                <w:color w:val="000000"/>
                <w:spacing w:val="-3"/>
                <w:kern w:val="0"/>
                <w:sz w:val="21"/>
                <w:szCs w:val="21"/>
                <w:highlight w:val="none"/>
                <w:lang w:val="zh-TW" w:eastAsia="en-US" w:bidi="ar-SA"/>
              </w:rPr>
            </w:pPr>
            <w:r>
              <w:rPr>
                <w:rFonts w:hint="eastAsia" w:ascii="宋体" w:hAnsi="宋体" w:eastAsia="宋体" w:cs="宋体"/>
                <w:snapToGrid w:val="0"/>
                <w:color w:val="000000"/>
                <w:spacing w:val="-3"/>
                <w:kern w:val="0"/>
                <w:sz w:val="21"/>
                <w:szCs w:val="21"/>
                <w:highlight w:val="none"/>
                <w:lang w:val="zh-TW" w:eastAsia="en-US" w:bidi="ar-SA"/>
              </w:rPr>
              <w:t>(7)投标人的其他要求符合招标文件规定。</w:t>
            </w:r>
          </w:p>
          <w:p w14:paraId="7DC6C3F1">
            <w:pPr>
              <w:pStyle w:val="4"/>
              <w:keepNext w:val="0"/>
              <w:keepLines w:val="0"/>
              <w:pageBreakBefore w:val="0"/>
              <w:kinsoku/>
              <w:wordWrap/>
              <w:overflowPunct/>
              <w:topLinePunct w:val="0"/>
              <w:autoSpaceDE w:val="0"/>
              <w:autoSpaceDN w:val="0"/>
              <w:bidi w:val="0"/>
              <w:adjustRightInd w:val="0"/>
              <w:snapToGrid w:val="0"/>
              <w:spacing w:after="0" w:line="240" w:lineRule="auto"/>
              <w:ind w:left="0" w:right="0" w:firstLine="0" w:firstLineChars="0"/>
              <w:jc w:val="both"/>
              <w:textAlignment w:val="baseline"/>
              <w:rPr>
                <w:rFonts w:hint="eastAsia" w:ascii="宋体" w:hAnsi="宋体" w:eastAsia="宋体" w:cs="宋体"/>
                <w:snapToGrid w:val="0"/>
                <w:color w:val="000000"/>
                <w:spacing w:val="-3"/>
                <w:kern w:val="0"/>
                <w:sz w:val="21"/>
                <w:szCs w:val="21"/>
                <w:highlight w:val="none"/>
                <w:lang w:val="zh-TW" w:eastAsia="en-US" w:bidi="ar-SA"/>
              </w:rPr>
            </w:pPr>
            <w:r>
              <w:rPr>
                <w:rFonts w:hint="eastAsia" w:ascii="宋体" w:hAnsi="宋体" w:eastAsia="宋体" w:cs="宋体"/>
                <w:snapToGrid w:val="0"/>
                <w:color w:val="000000"/>
                <w:spacing w:val="-3"/>
                <w:kern w:val="0"/>
                <w:sz w:val="21"/>
                <w:szCs w:val="21"/>
                <w:highlight w:val="none"/>
                <w:lang w:val="zh-TW" w:eastAsia="en-US" w:bidi="ar-SA"/>
              </w:rPr>
              <w:t>(8)投标人不存在第二章“投标人须知”第1.4.3项或第1.4.4项规定的任何</w:t>
            </w:r>
            <w:r>
              <w:rPr>
                <w:rFonts w:hint="eastAsia" w:cs="宋体"/>
                <w:snapToGrid w:val="0"/>
                <w:color w:val="000000"/>
                <w:spacing w:val="-3"/>
                <w:kern w:val="0"/>
                <w:sz w:val="21"/>
                <w:szCs w:val="21"/>
                <w:highlight w:val="none"/>
                <w:lang w:val="en-US" w:eastAsia="zh-CN" w:bidi="ar-SA"/>
              </w:rPr>
              <w:t>一</w:t>
            </w:r>
            <w:r>
              <w:rPr>
                <w:rFonts w:hint="eastAsia" w:ascii="宋体" w:hAnsi="宋体" w:eastAsia="宋体" w:cs="宋体"/>
                <w:snapToGrid w:val="0"/>
                <w:color w:val="000000"/>
                <w:spacing w:val="-3"/>
                <w:kern w:val="0"/>
                <w:sz w:val="21"/>
                <w:szCs w:val="21"/>
                <w:highlight w:val="none"/>
                <w:lang w:val="zh-TW" w:eastAsia="en-US" w:bidi="ar-SA"/>
              </w:rPr>
              <w:t>种情形。</w:t>
            </w:r>
          </w:p>
          <w:p w14:paraId="3CA302FE">
            <w:pPr>
              <w:pStyle w:val="4"/>
              <w:keepNext w:val="0"/>
              <w:keepLines w:val="0"/>
              <w:pageBreakBefore w:val="0"/>
              <w:kinsoku/>
              <w:wordWrap/>
              <w:overflowPunct/>
              <w:topLinePunct w:val="0"/>
              <w:autoSpaceDE w:val="0"/>
              <w:autoSpaceDN w:val="0"/>
              <w:bidi w:val="0"/>
              <w:adjustRightInd w:val="0"/>
              <w:snapToGrid w:val="0"/>
              <w:spacing w:after="0" w:line="240" w:lineRule="auto"/>
              <w:ind w:left="0" w:right="0" w:firstLine="0" w:firstLineChars="0"/>
              <w:jc w:val="both"/>
              <w:textAlignment w:val="baseline"/>
              <w:rPr>
                <w:rFonts w:hint="eastAsia" w:ascii="宋体" w:hAnsi="宋体" w:eastAsia="宋体" w:cs="宋体"/>
                <w:snapToGrid w:val="0"/>
                <w:color w:val="000000"/>
                <w:spacing w:val="-3"/>
                <w:kern w:val="0"/>
                <w:sz w:val="21"/>
                <w:szCs w:val="21"/>
                <w:highlight w:val="none"/>
                <w:lang w:val="en-US" w:eastAsia="zh-CN" w:bidi="ar-SA"/>
              </w:rPr>
            </w:pPr>
            <w:r>
              <w:rPr>
                <w:rFonts w:hint="eastAsia" w:ascii="宋体" w:hAnsi="宋体" w:eastAsia="宋体" w:cs="宋体"/>
                <w:snapToGrid w:val="0"/>
                <w:color w:val="000000"/>
                <w:spacing w:val="-3"/>
                <w:kern w:val="0"/>
                <w:sz w:val="21"/>
                <w:szCs w:val="21"/>
                <w:highlight w:val="none"/>
                <w:lang w:val="zh-TW" w:eastAsia="en-US" w:bidi="ar-SA"/>
              </w:rPr>
              <w:t>(9)投标人符合第二章“投标人须知"第1.4.5项规定。</w:t>
            </w:r>
          </w:p>
        </w:tc>
      </w:tr>
    </w:tbl>
    <w:p w14:paraId="5BB6248A">
      <w:pPr>
        <w:pStyle w:val="3"/>
        <w:jc w:val="both"/>
        <w:rPr>
          <w:rFonts w:ascii="宋体" w:hAnsi="宋体" w:cs="宋体"/>
          <w:color w:val="auto"/>
          <w:highlight w:val="none"/>
        </w:rPr>
      </w:pPr>
    </w:p>
    <w:p w14:paraId="5443026F">
      <w:pPr>
        <w:spacing w:line="560" w:lineRule="exact"/>
        <w:ind w:firstLine="643" w:firstLineChars="200"/>
        <w:contextualSpacing/>
        <w:jc w:val="both"/>
        <w:rPr>
          <w:rFonts w:hint="eastAsia" w:ascii="仿宋_GB2312" w:hAnsi="仿宋_GB2312" w:eastAsia="仿宋_GB2312" w:cs="仿宋_GB2312"/>
          <w:b/>
          <w:bCs/>
          <w:color w:val="000000"/>
          <w:kern w:val="1"/>
          <w:sz w:val="32"/>
          <w:szCs w:val="32"/>
          <w:highlight w:val="none"/>
        </w:rPr>
      </w:pPr>
      <w:r>
        <w:rPr>
          <w:rFonts w:hint="eastAsia" w:ascii="仿宋_GB2312" w:hAnsi="仿宋_GB2312" w:eastAsia="仿宋_GB2312" w:cs="仿宋_GB2312"/>
          <w:b/>
          <w:bCs/>
          <w:color w:val="000000"/>
          <w:kern w:val="1"/>
          <w:sz w:val="32"/>
          <w:szCs w:val="32"/>
          <w:highlight w:val="none"/>
        </w:rPr>
        <w:t>（</w:t>
      </w:r>
      <w:r>
        <w:rPr>
          <w:rFonts w:hint="eastAsia" w:ascii="仿宋_GB2312" w:hAnsi="仿宋_GB2312" w:eastAsia="仿宋_GB2312" w:cs="仿宋_GB2312"/>
          <w:b/>
          <w:bCs/>
          <w:color w:val="000000"/>
          <w:kern w:val="1"/>
          <w:sz w:val="32"/>
          <w:szCs w:val="32"/>
          <w:highlight w:val="none"/>
          <w:lang w:val="en-US" w:eastAsia="zh-CN"/>
        </w:rPr>
        <w:t>一</w:t>
      </w:r>
      <w:r>
        <w:rPr>
          <w:rFonts w:hint="eastAsia" w:ascii="仿宋_GB2312" w:hAnsi="仿宋_GB2312" w:eastAsia="仿宋_GB2312" w:cs="仿宋_GB2312"/>
          <w:b/>
          <w:bCs/>
          <w:color w:val="000000"/>
          <w:kern w:val="1"/>
          <w:sz w:val="32"/>
          <w:szCs w:val="32"/>
          <w:highlight w:val="none"/>
        </w:rPr>
        <w:t>）评标办法</w:t>
      </w:r>
    </w:p>
    <w:p w14:paraId="14A6466B">
      <w:pPr>
        <w:spacing w:line="560" w:lineRule="exact"/>
        <w:ind w:firstLine="640" w:firstLineChars="200"/>
        <w:contextualSpacing/>
        <w:jc w:val="both"/>
        <w:rPr>
          <w:rFonts w:hint="eastAsia" w:ascii="仿宋_GB2312" w:hAnsi="仿宋_GB2312" w:eastAsia="仿宋_GB2312" w:cs="仿宋_GB2312"/>
          <w:b/>
          <w:bCs/>
          <w:color w:val="000000"/>
          <w:kern w:val="1"/>
          <w:sz w:val="32"/>
          <w:szCs w:val="32"/>
          <w:highlight w:val="none"/>
        </w:rPr>
      </w:pPr>
      <w:r>
        <w:rPr>
          <w:rFonts w:hint="eastAsia" w:ascii="仿宋_GB2312" w:hAnsi="仿宋_GB2312" w:eastAsia="仿宋_GB2312" w:cs="仿宋_GB2312"/>
          <w:color w:val="000000"/>
          <w:kern w:val="1"/>
          <w:sz w:val="32"/>
          <w:szCs w:val="32"/>
          <w:highlight w:val="none"/>
          <w:lang w:val="en-US" w:eastAsia="zh-CN"/>
        </w:rPr>
        <w:t>本次评标</w:t>
      </w:r>
      <w:r>
        <w:rPr>
          <w:rFonts w:hint="eastAsia" w:ascii="仿宋_GB2312" w:hAnsi="仿宋_GB2312" w:eastAsia="仿宋_GB2312" w:cs="仿宋_GB2312"/>
          <w:kern w:val="1"/>
          <w:sz w:val="32"/>
          <w:szCs w:val="32"/>
          <w:highlight w:val="none"/>
          <w:lang w:val="en-US" w:eastAsia="zh-CN"/>
        </w:rPr>
        <w:t>A组和</w:t>
      </w:r>
      <w:r>
        <w:rPr>
          <w:rFonts w:hint="eastAsia" w:ascii="仿宋_GB2312" w:hAnsi="仿宋_GB2312" w:eastAsia="仿宋_GB2312" w:cs="仿宋_GB2312"/>
          <w:color w:val="000000"/>
          <w:sz w:val="32"/>
          <w:szCs w:val="32"/>
          <w:highlight w:val="none"/>
          <w:lang w:val="en-US" w:eastAsia="zh-CN"/>
        </w:rPr>
        <w:t>B</w:t>
      </w:r>
      <w:r>
        <w:rPr>
          <w:rFonts w:hint="eastAsia" w:ascii="仿宋_GB2312" w:hAnsi="仿宋_GB2312" w:eastAsia="仿宋_GB2312" w:cs="仿宋_GB2312"/>
          <w:color w:val="000000"/>
          <w:sz w:val="32"/>
          <w:szCs w:val="32"/>
          <w:highlight w:val="none"/>
          <w:lang w:eastAsia="zh-CN"/>
        </w:rPr>
        <w:t>组</w:t>
      </w:r>
      <w:r>
        <w:rPr>
          <w:rFonts w:hint="eastAsia" w:ascii="仿宋_GB2312" w:hAnsi="仿宋_GB2312" w:eastAsia="仿宋_GB2312" w:cs="仿宋_GB2312"/>
          <w:kern w:val="1"/>
          <w:sz w:val="32"/>
          <w:szCs w:val="32"/>
          <w:highlight w:val="none"/>
          <w:lang w:val="en-US" w:eastAsia="zh-CN"/>
        </w:rPr>
        <w:t>采用</w:t>
      </w:r>
      <w:r>
        <w:rPr>
          <w:rFonts w:hint="eastAsia" w:ascii="仿宋_GB2312" w:hAnsi="仿宋_GB2312" w:eastAsia="仿宋_GB2312" w:cs="仿宋_GB2312"/>
          <w:b/>
          <w:bCs/>
          <w:kern w:val="1"/>
          <w:sz w:val="32"/>
          <w:szCs w:val="32"/>
          <w:highlight w:val="none"/>
          <w:lang w:val="en-US" w:eastAsia="zh-CN"/>
        </w:rPr>
        <w:t>按类分组、资格后审、随机组合开标、技术评分合理低价法评标</w:t>
      </w:r>
      <w:r>
        <w:rPr>
          <w:rFonts w:hint="eastAsia" w:ascii="仿宋_GB2312" w:hAnsi="仿宋_GB2312" w:eastAsia="仿宋_GB2312" w:cs="仿宋_GB2312"/>
          <w:kern w:val="1"/>
          <w:sz w:val="32"/>
          <w:szCs w:val="32"/>
          <w:highlight w:val="none"/>
          <w:lang w:val="en-US" w:eastAsia="zh-CN"/>
        </w:rPr>
        <w:t>。</w:t>
      </w:r>
    </w:p>
    <w:p w14:paraId="77418AAD">
      <w:pPr>
        <w:spacing w:line="560" w:lineRule="exact"/>
        <w:ind w:firstLine="640" w:firstLineChars="200"/>
        <w:contextualSpacing/>
        <w:jc w:val="both"/>
        <w:rPr>
          <w:rFonts w:hint="eastAsia" w:ascii="仿宋_GB2312" w:hAnsi="仿宋_GB2312" w:eastAsia="仿宋_GB2312" w:cs="仿宋_GB2312"/>
          <w:color w:val="auto"/>
          <w:kern w:val="1"/>
          <w:sz w:val="32"/>
          <w:szCs w:val="32"/>
          <w:highlight w:val="none"/>
        </w:rPr>
      </w:pPr>
      <w:r>
        <w:rPr>
          <w:rFonts w:hint="eastAsia" w:ascii="仿宋_GB2312" w:hAnsi="仿宋_GB2312" w:eastAsia="仿宋_GB2312" w:cs="仿宋_GB2312"/>
          <w:color w:val="auto"/>
          <w:kern w:val="1"/>
          <w:sz w:val="32"/>
          <w:szCs w:val="32"/>
          <w:highlight w:val="none"/>
        </w:rPr>
        <w:t>评标委员会对满足招标文件实质性要求的投标文件</w:t>
      </w:r>
      <w:r>
        <w:rPr>
          <w:rFonts w:hint="eastAsia" w:ascii="仿宋_GB2312" w:hAnsi="仿宋_GB2312" w:eastAsia="仿宋_GB2312" w:cs="仿宋_GB2312"/>
          <w:color w:val="auto"/>
          <w:kern w:val="1"/>
          <w:sz w:val="32"/>
          <w:szCs w:val="32"/>
          <w:highlight w:val="none"/>
          <w:lang w:val="en-US" w:eastAsia="zh-CN"/>
        </w:rPr>
        <w:t>第一个信封（商务及技术文件）</w:t>
      </w:r>
      <w:r>
        <w:rPr>
          <w:rFonts w:hint="eastAsia" w:ascii="仿宋_GB2312" w:hAnsi="仿宋_GB2312" w:eastAsia="仿宋_GB2312" w:cs="仿宋_GB2312"/>
          <w:color w:val="auto"/>
          <w:kern w:val="1"/>
          <w:sz w:val="32"/>
          <w:szCs w:val="32"/>
          <w:highlight w:val="none"/>
        </w:rPr>
        <w:t>的施工组织设计、主要管理人员、技术能力、履约信誉、业绩等因素进行评分，按照得分由高到低排序，</w:t>
      </w:r>
      <w:r>
        <w:rPr>
          <w:rFonts w:hint="eastAsia" w:ascii="仿宋_GB2312" w:hAnsi="仿宋_GB2312" w:eastAsia="仿宋_GB2312" w:cs="仿宋_GB2312"/>
          <w:b/>
          <w:bCs/>
          <w:color w:val="auto"/>
          <w:kern w:val="1"/>
          <w:sz w:val="32"/>
          <w:szCs w:val="32"/>
          <w:highlight w:val="none"/>
        </w:rPr>
        <w:t>对</w:t>
      </w:r>
      <w:r>
        <w:rPr>
          <w:rFonts w:hint="eastAsia" w:ascii="仿宋_GB2312" w:hAnsi="仿宋_GB2312" w:eastAsia="仿宋_GB2312" w:cs="仿宋_GB2312"/>
          <w:b/>
          <w:bCs/>
          <w:color w:val="auto"/>
          <w:kern w:val="1"/>
          <w:sz w:val="32"/>
          <w:szCs w:val="32"/>
          <w:highlight w:val="none"/>
          <w:lang w:val="en-US" w:eastAsia="zh-CN"/>
        </w:rPr>
        <w:t>A组别</w:t>
      </w:r>
      <w:r>
        <w:rPr>
          <w:rFonts w:hint="eastAsia" w:ascii="仿宋_GB2312" w:hAnsi="仿宋_GB2312" w:eastAsia="仿宋_GB2312" w:cs="仿宋_GB2312"/>
          <w:b/>
          <w:bCs/>
          <w:color w:val="auto"/>
          <w:kern w:val="1"/>
          <w:sz w:val="32"/>
          <w:szCs w:val="32"/>
          <w:highlight w:val="none"/>
        </w:rPr>
        <w:t>排名前</w:t>
      </w:r>
      <w:r>
        <w:rPr>
          <w:rFonts w:hint="eastAsia" w:ascii="仿宋_GB2312" w:hAnsi="仿宋_GB2312" w:eastAsia="仿宋_GB2312" w:cs="仿宋_GB2312"/>
          <w:b/>
          <w:bCs/>
          <w:color w:val="auto"/>
          <w:kern w:val="1"/>
          <w:sz w:val="32"/>
          <w:szCs w:val="32"/>
          <w:highlight w:val="none"/>
          <w:lang w:val="en-US" w:eastAsia="zh-CN"/>
        </w:rPr>
        <w:t>30</w:t>
      </w:r>
      <w:r>
        <w:rPr>
          <w:rFonts w:hint="eastAsia" w:ascii="仿宋_GB2312" w:hAnsi="仿宋_GB2312" w:eastAsia="仿宋_GB2312" w:cs="仿宋_GB2312"/>
          <w:b/>
          <w:bCs/>
          <w:color w:val="auto"/>
          <w:kern w:val="1"/>
          <w:sz w:val="32"/>
          <w:szCs w:val="32"/>
          <w:highlight w:val="none"/>
        </w:rPr>
        <w:t>名</w:t>
      </w:r>
      <w:r>
        <w:rPr>
          <w:rFonts w:hint="eastAsia" w:ascii="仿宋_GB2312" w:hAnsi="仿宋_GB2312" w:eastAsia="仿宋_GB2312" w:cs="仿宋_GB2312"/>
          <w:b/>
          <w:bCs/>
          <w:color w:val="auto"/>
          <w:kern w:val="1"/>
          <w:sz w:val="32"/>
          <w:szCs w:val="32"/>
          <w:highlight w:val="none"/>
          <w:lang w:eastAsia="zh-CN"/>
        </w:rPr>
        <w:t>、</w:t>
      </w:r>
      <w:r>
        <w:rPr>
          <w:rFonts w:hint="eastAsia" w:ascii="仿宋_GB2312" w:hAnsi="仿宋_GB2312" w:eastAsia="仿宋_GB2312" w:cs="仿宋_GB2312"/>
          <w:b/>
          <w:bCs/>
          <w:color w:val="auto"/>
          <w:kern w:val="1"/>
          <w:sz w:val="32"/>
          <w:szCs w:val="32"/>
          <w:highlight w:val="none"/>
          <w:lang w:val="en-US" w:eastAsia="zh-CN"/>
        </w:rPr>
        <w:t>B</w:t>
      </w:r>
      <w:r>
        <w:rPr>
          <w:rFonts w:hint="eastAsia" w:ascii="仿宋_GB2312" w:hAnsi="仿宋_GB2312" w:eastAsia="仿宋_GB2312" w:cs="仿宋_GB2312"/>
          <w:b/>
          <w:bCs/>
          <w:color w:val="auto"/>
          <w:kern w:val="1"/>
          <w:sz w:val="32"/>
          <w:szCs w:val="32"/>
          <w:highlight w:val="none"/>
        </w:rPr>
        <w:t>组别排名前</w:t>
      </w:r>
      <w:r>
        <w:rPr>
          <w:rFonts w:hint="eastAsia" w:ascii="仿宋_GB2312" w:hAnsi="仿宋_GB2312" w:eastAsia="仿宋_GB2312" w:cs="仿宋_GB2312"/>
          <w:b/>
          <w:bCs/>
          <w:color w:val="auto"/>
          <w:kern w:val="1"/>
          <w:sz w:val="32"/>
          <w:szCs w:val="32"/>
          <w:highlight w:val="none"/>
          <w:lang w:val="en-US" w:eastAsia="zh-CN"/>
        </w:rPr>
        <w:t>45</w:t>
      </w:r>
      <w:r>
        <w:rPr>
          <w:rFonts w:hint="eastAsia" w:ascii="仿宋_GB2312" w:hAnsi="仿宋_GB2312" w:eastAsia="仿宋_GB2312" w:cs="仿宋_GB2312"/>
          <w:b/>
          <w:bCs/>
          <w:color w:val="auto"/>
          <w:kern w:val="1"/>
          <w:sz w:val="32"/>
          <w:szCs w:val="32"/>
          <w:highlight w:val="none"/>
        </w:rPr>
        <w:t>名投标人的</w:t>
      </w:r>
      <w:r>
        <w:rPr>
          <w:rFonts w:hint="eastAsia" w:ascii="仿宋_GB2312" w:hAnsi="仿宋_GB2312" w:eastAsia="仿宋_GB2312" w:cs="仿宋_GB2312"/>
          <w:b/>
          <w:bCs/>
          <w:color w:val="auto"/>
          <w:kern w:val="1"/>
          <w:sz w:val="32"/>
          <w:szCs w:val="32"/>
          <w:highlight w:val="none"/>
          <w:lang w:val="en-US" w:eastAsia="zh-CN"/>
        </w:rPr>
        <w:t>第二个信封（</w:t>
      </w:r>
      <w:r>
        <w:rPr>
          <w:rFonts w:hint="eastAsia" w:ascii="仿宋_GB2312" w:hAnsi="仿宋_GB2312" w:eastAsia="仿宋_GB2312" w:cs="仿宋_GB2312"/>
          <w:b/>
          <w:bCs/>
          <w:color w:val="auto"/>
          <w:kern w:val="1"/>
          <w:sz w:val="32"/>
          <w:szCs w:val="32"/>
          <w:highlight w:val="none"/>
        </w:rPr>
        <w:t>报价文件</w:t>
      </w:r>
      <w:r>
        <w:rPr>
          <w:rFonts w:hint="eastAsia" w:ascii="仿宋_GB2312" w:hAnsi="仿宋_GB2312" w:eastAsia="仿宋_GB2312" w:cs="仿宋_GB2312"/>
          <w:b/>
          <w:bCs/>
          <w:color w:val="auto"/>
          <w:kern w:val="1"/>
          <w:sz w:val="32"/>
          <w:szCs w:val="32"/>
          <w:highlight w:val="none"/>
          <w:lang w:val="en-US" w:eastAsia="zh-CN"/>
        </w:rPr>
        <w:t>）</w:t>
      </w:r>
      <w:r>
        <w:rPr>
          <w:rFonts w:hint="eastAsia" w:ascii="仿宋_GB2312" w:hAnsi="仿宋_GB2312" w:eastAsia="仿宋_GB2312" w:cs="仿宋_GB2312"/>
          <w:b/>
          <w:bCs/>
          <w:color w:val="auto"/>
          <w:kern w:val="1"/>
          <w:sz w:val="32"/>
          <w:szCs w:val="32"/>
          <w:highlight w:val="none"/>
        </w:rPr>
        <w:t>进行评审</w:t>
      </w:r>
      <w:r>
        <w:rPr>
          <w:rFonts w:hint="eastAsia" w:ascii="仿宋_GB2312" w:hAnsi="仿宋_GB2312" w:eastAsia="仿宋_GB2312" w:cs="仿宋_GB2312"/>
          <w:color w:val="auto"/>
          <w:kern w:val="1"/>
          <w:sz w:val="32"/>
          <w:szCs w:val="32"/>
          <w:highlight w:val="none"/>
        </w:rPr>
        <w:t>，</w:t>
      </w:r>
      <w:r>
        <w:rPr>
          <w:rFonts w:hint="eastAsia" w:ascii="仿宋_GB2312" w:hAnsi="仿宋_GB2312" w:eastAsia="仿宋_GB2312" w:cs="仿宋_GB2312"/>
          <w:color w:val="auto"/>
          <w:kern w:val="1"/>
          <w:sz w:val="32"/>
          <w:szCs w:val="32"/>
          <w:highlight w:val="none"/>
          <w:lang w:val="en-US" w:eastAsia="zh-CN"/>
        </w:rPr>
        <w:t>但</w:t>
      </w:r>
      <w:r>
        <w:rPr>
          <w:rFonts w:hint="eastAsia" w:ascii="仿宋_GB2312" w:hAnsi="仿宋_GB2312" w:eastAsia="仿宋_GB2312" w:cs="仿宋_GB2312"/>
          <w:b/>
          <w:bCs/>
          <w:color w:val="auto"/>
          <w:kern w:val="1"/>
          <w:sz w:val="32"/>
          <w:szCs w:val="32"/>
          <w:highlight w:val="none"/>
          <w:lang w:val="en-US" w:eastAsia="zh-CN"/>
        </w:rPr>
        <w:t>A组别内通过</w:t>
      </w:r>
      <w:r>
        <w:rPr>
          <w:rFonts w:hint="eastAsia" w:ascii="仿宋_GB2312" w:hAnsi="仿宋_GB2312" w:eastAsia="仿宋_GB2312" w:cs="仿宋_GB2312"/>
          <w:color w:val="auto"/>
          <w:kern w:val="1"/>
          <w:sz w:val="32"/>
          <w:szCs w:val="32"/>
          <w:highlight w:val="none"/>
        </w:rPr>
        <w:t>投标文件</w:t>
      </w:r>
      <w:r>
        <w:rPr>
          <w:rFonts w:hint="eastAsia" w:ascii="仿宋_GB2312" w:hAnsi="仿宋_GB2312" w:eastAsia="仿宋_GB2312" w:cs="仿宋_GB2312"/>
          <w:color w:val="auto"/>
          <w:kern w:val="1"/>
          <w:sz w:val="32"/>
          <w:szCs w:val="32"/>
          <w:highlight w:val="none"/>
          <w:lang w:val="en-US" w:eastAsia="zh-CN"/>
        </w:rPr>
        <w:t>第一个信封（商务及技术文件）评审的投标人不得少于6个，</w:t>
      </w:r>
      <w:r>
        <w:rPr>
          <w:rFonts w:hint="eastAsia" w:ascii="仿宋_GB2312" w:hAnsi="仿宋_GB2312" w:eastAsia="仿宋_GB2312" w:cs="仿宋_GB2312"/>
          <w:b/>
          <w:bCs/>
          <w:color w:val="auto"/>
          <w:kern w:val="1"/>
          <w:sz w:val="32"/>
          <w:szCs w:val="32"/>
          <w:highlight w:val="none"/>
          <w:lang w:val="en-US" w:eastAsia="zh-CN"/>
        </w:rPr>
        <w:t>B组别内通过</w:t>
      </w:r>
      <w:r>
        <w:rPr>
          <w:rFonts w:hint="eastAsia" w:ascii="仿宋_GB2312" w:hAnsi="仿宋_GB2312" w:eastAsia="仿宋_GB2312" w:cs="仿宋_GB2312"/>
          <w:color w:val="auto"/>
          <w:kern w:val="1"/>
          <w:sz w:val="32"/>
          <w:szCs w:val="32"/>
          <w:highlight w:val="none"/>
        </w:rPr>
        <w:t>投标文件</w:t>
      </w:r>
      <w:r>
        <w:rPr>
          <w:rFonts w:hint="eastAsia" w:ascii="仿宋_GB2312" w:hAnsi="仿宋_GB2312" w:eastAsia="仿宋_GB2312" w:cs="仿宋_GB2312"/>
          <w:color w:val="auto"/>
          <w:kern w:val="1"/>
          <w:sz w:val="32"/>
          <w:szCs w:val="32"/>
          <w:highlight w:val="none"/>
          <w:lang w:val="en-US" w:eastAsia="zh-CN"/>
        </w:rPr>
        <w:t>第一个信封（商务及技术文件）评审的投标人不得少于9个</w:t>
      </w:r>
      <w:r>
        <w:rPr>
          <w:rFonts w:hint="eastAsia" w:ascii="仿宋_GB2312" w:hAnsi="仿宋_GB2312" w:eastAsia="仿宋_GB2312" w:cs="仿宋_GB2312"/>
          <w:b/>
          <w:bCs/>
          <w:color w:val="000000"/>
          <w:kern w:val="1"/>
          <w:sz w:val="32"/>
          <w:szCs w:val="32"/>
          <w:highlight w:val="none"/>
        </w:rPr>
        <w:t>。</w:t>
      </w:r>
      <w:r>
        <w:rPr>
          <w:rFonts w:hint="eastAsia" w:ascii="仿宋_GB2312" w:hAnsi="仿宋_GB2312" w:eastAsia="仿宋_GB2312" w:cs="仿宋_GB2312"/>
          <w:color w:val="auto"/>
          <w:kern w:val="1"/>
          <w:sz w:val="32"/>
          <w:szCs w:val="32"/>
          <w:highlight w:val="none"/>
        </w:rPr>
        <w:t>评标委员会</w:t>
      </w:r>
      <w:r>
        <w:rPr>
          <w:rFonts w:hint="eastAsia" w:ascii="仿宋_GB2312" w:hAnsi="仿宋_GB2312" w:eastAsia="仿宋_GB2312" w:cs="仿宋_GB2312"/>
          <w:color w:val="000000"/>
          <w:kern w:val="1"/>
          <w:sz w:val="32"/>
          <w:szCs w:val="32"/>
          <w:highlight w:val="none"/>
        </w:rPr>
        <w:t>按招标文件规定的评分标准</w:t>
      </w:r>
      <w:r>
        <w:rPr>
          <w:rFonts w:hint="eastAsia" w:ascii="仿宋_GB2312" w:hAnsi="仿宋_GB2312" w:eastAsia="仿宋_GB2312" w:cs="仿宋_GB2312"/>
          <w:color w:val="000000"/>
          <w:kern w:val="1"/>
          <w:sz w:val="32"/>
          <w:szCs w:val="32"/>
          <w:highlight w:val="none"/>
          <w:lang w:val="en-US" w:eastAsia="zh-CN"/>
        </w:rPr>
        <w:t>对</w:t>
      </w:r>
      <w:r>
        <w:rPr>
          <w:rFonts w:hint="eastAsia" w:ascii="仿宋_GB2312" w:hAnsi="仿宋_GB2312" w:eastAsia="仿宋_GB2312" w:cs="仿宋_GB2312"/>
          <w:b/>
          <w:bCs/>
          <w:color w:val="000000"/>
          <w:kern w:val="1"/>
          <w:sz w:val="32"/>
          <w:szCs w:val="32"/>
          <w:highlight w:val="none"/>
          <w:lang w:val="en-US" w:eastAsia="zh-CN"/>
        </w:rPr>
        <w:t>报价文件</w:t>
      </w:r>
      <w:r>
        <w:rPr>
          <w:rFonts w:hint="eastAsia" w:ascii="仿宋_GB2312" w:hAnsi="仿宋_GB2312" w:eastAsia="仿宋_GB2312" w:cs="仿宋_GB2312"/>
          <w:color w:val="000000"/>
          <w:kern w:val="1"/>
          <w:sz w:val="32"/>
          <w:szCs w:val="32"/>
          <w:highlight w:val="none"/>
        </w:rPr>
        <w:t>进行打分，并按</w:t>
      </w:r>
      <w:r>
        <w:rPr>
          <w:rFonts w:hint="eastAsia" w:ascii="仿宋_GB2312" w:hAnsi="仿宋_GB2312" w:eastAsia="仿宋_GB2312" w:cs="仿宋_GB2312"/>
          <w:color w:val="000000"/>
          <w:kern w:val="1"/>
          <w:sz w:val="32"/>
          <w:szCs w:val="32"/>
          <w:highlight w:val="none"/>
          <w:lang w:val="en-US" w:eastAsia="zh-CN"/>
        </w:rPr>
        <w:t>报价文件</w:t>
      </w:r>
      <w:r>
        <w:rPr>
          <w:rFonts w:hint="eastAsia" w:ascii="仿宋_GB2312" w:hAnsi="仿宋_GB2312" w:eastAsia="仿宋_GB2312" w:cs="仿宋_GB2312"/>
          <w:color w:val="000000"/>
          <w:kern w:val="1"/>
          <w:sz w:val="32"/>
          <w:szCs w:val="32"/>
          <w:highlight w:val="none"/>
        </w:rPr>
        <w:t>得分由高到低顺序推荐中标候选人，</w:t>
      </w:r>
      <w:r>
        <w:rPr>
          <w:rFonts w:hint="eastAsia" w:ascii="仿宋_GB2312" w:hAnsi="仿宋_GB2312" w:eastAsia="仿宋_GB2312" w:cs="仿宋_GB2312"/>
          <w:color w:val="auto"/>
          <w:kern w:val="1"/>
          <w:sz w:val="32"/>
          <w:szCs w:val="32"/>
          <w:highlight w:val="none"/>
        </w:rPr>
        <w:t>但投标报价低于其成本的除外，</w:t>
      </w:r>
      <w:r>
        <w:rPr>
          <w:rFonts w:hint="eastAsia" w:ascii="仿宋_GB2312" w:hAnsi="仿宋_GB2312" w:eastAsia="仿宋_GB2312" w:cs="仿宋_GB2312"/>
          <w:color w:val="auto"/>
          <w:kern w:val="1"/>
          <w:sz w:val="32"/>
          <w:szCs w:val="32"/>
          <w:highlight w:val="none"/>
          <w:lang w:val="en-US" w:eastAsia="zh-CN"/>
        </w:rPr>
        <w:t>每个标段</w:t>
      </w:r>
      <w:r>
        <w:rPr>
          <w:rFonts w:hint="eastAsia" w:ascii="仿宋_GB2312" w:hAnsi="仿宋_GB2312" w:eastAsia="仿宋_GB2312" w:cs="仿宋_GB2312"/>
          <w:color w:val="auto"/>
          <w:kern w:val="1"/>
          <w:sz w:val="32"/>
          <w:szCs w:val="32"/>
          <w:highlight w:val="none"/>
        </w:rPr>
        <w:t>推荐的中标候选人数量为3名。</w:t>
      </w:r>
    </w:p>
    <w:p w14:paraId="0B2BE29B">
      <w:pPr>
        <w:spacing w:line="560" w:lineRule="exact"/>
        <w:ind w:firstLine="643" w:firstLineChars="200"/>
        <w:contextualSpacing/>
        <w:jc w:val="both"/>
        <w:rPr>
          <w:rFonts w:hint="eastAsia" w:ascii="仿宋_GB2312" w:hAnsi="仿宋_GB2312" w:eastAsia="仿宋_GB2312" w:cs="仿宋_GB2312"/>
          <w:b/>
          <w:bCs/>
          <w:color w:val="000000"/>
          <w:kern w:val="1"/>
          <w:sz w:val="32"/>
          <w:szCs w:val="32"/>
          <w:highlight w:val="none"/>
        </w:rPr>
      </w:pPr>
      <w:r>
        <w:rPr>
          <w:rFonts w:hint="eastAsia" w:ascii="仿宋_GB2312" w:hAnsi="仿宋_GB2312" w:eastAsia="仿宋_GB2312" w:cs="仿宋_GB2312"/>
          <w:b/>
          <w:bCs/>
          <w:color w:val="000000"/>
          <w:kern w:val="1"/>
          <w:sz w:val="32"/>
          <w:szCs w:val="32"/>
          <w:highlight w:val="none"/>
        </w:rPr>
        <w:t>（</w:t>
      </w:r>
      <w:r>
        <w:rPr>
          <w:rFonts w:hint="eastAsia" w:ascii="仿宋_GB2312" w:hAnsi="仿宋_GB2312" w:eastAsia="仿宋_GB2312" w:cs="仿宋_GB2312"/>
          <w:b/>
          <w:bCs/>
          <w:color w:val="000000"/>
          <w:kern w:val="1"/>
          <w:sz w:val="32"/>
          <w:szCs w:val="32"/>
          <w:highlight w:val="none"/>
          <w:lang w:val="en-US" w:eastAsia="zh-CN"/>
        </w:rPr>
        <w:t>二</w:t>
      </w:r>
      <w:r>
        <w:rPr>
          <w:rFonts w:hint="eastAsia" w:ascii="仿宋_GB2312" w:hAnsi="仿宋_GB2312" w:eastAsia="仿宋_GB2312" w:cs="仿宋_GB2312"/>
          <w:b/>
          <w:bCs/>
          <w:color w:val="000000"/>
          <w:kern w:val="1"/>
          <w:sz w:val="32"/>
          <w:szCs w:val="32"/>
          <w:highlight w:val="none"/>
        </w:rPr>
        <w:t>）评标程序</w:t>
      </w:r>
    </w:p>
    <w:p w14:paraId="4EBA790C">
      <w:pPr>
        <w:spacing w:line="360" w:lineRule="auto"/>
        <w:ind w:firstLine="640" w:firstLineChars="200"/>
        <w:contextualSpacing/>
        <w:jc w:val="both"/>
        <w:rPr>
          <w:rFonts w:hint="eastAsia" w:ascii="仿宋_GB2312" w:hAnsi="仿宋_GB2312" w:eastAsia="仿宋_GB2312" w:cs="仿宋_GB2312"/>
          <w:color w:val="auto"/>
          <w:kern w:val="1"/>
          <w:sz w:val="32"/>
          <w:szCs w:val="32"/>
          <w:highlight w:val="none"/>
        </w:rPr>
      </w:pPr>
      <w:r>
        <w:rPr>
          <w:rFonts w:hint="eastAsia" w:ascii="仿宋_GB2312" w:hAnsi="仿宋_GB2312" w:eastAsia="仿宋_GB2312" w:cs="仿宋_GB2312"/>
          <w:color w:val="auto"/>
          <w:kern w:val="1"/>
          <w:sz w:val="32"/>
          <w:szCs w:val="32"/>
          <w:highlight w:val="none"/>
        </w:rPr>
        <w:t>1.</w:t>
      </w:r>
      <w:bookmarkStart w:id="0" w:name="_Hlk184546038"/>
      <w:r>
        <w:rPr>
          <w:rFonts w:hint="eastAsia" w:ascii="仿宋_GB2312" w:hAnsi="仿宋_GB2312" w:eastAsia="仿宋_GB2312" w:cs="仿宋_GB2312"/>
          <w:color w:val="auto"/>
          <w:kern w:val="1"/>
          <w:sz w:val="32"/>
          <w:szCs w:val="32"/>
          <w:highlight w:val="none"/>
        </w:rPr>
        <w:t>本次招标采用电子招标投标，投标文件采用双信封形式，</w:t>
      </w:r>
      <w:bookmarkEnd w:id="0"/>
      <w:r>
        <w:rPr>
          <w:rFonts w:hint="eastAsia" w:ascii="仿宋_GB2312" w:hAnsi="仿宋_GB2312" w:eastAsia="仿宋_GB2312" w:cs="仿宋_GB2312"/>
          <w:color w:val="auto"/>
          <w:kern w:val="1"/>
          <w:sz w:val="32"/>
          <w:szCs w:val="32"/>
          <w:highlight w:val="none"/>
        </w:rPr>
        <w:t>其中要求</w:t>
      </w:r>
      <w:r>
        <w:rPr>
          <w:rFonts w:hint="eastAsia" w:ascii="仿宋_GB2312" w:hAnsi="仿宋_GB2312" w:eastAsia="仿宋_GB2312" w:cs="仿宋_GB2312"/>
          <w:b/>
          <w:bCs/>
          <w:color w:val="auto"/>
          <w:kern w:val="1"/>
          <w:sz w:val="32"/>
          <w:szCs w:val="32"/>
          <w:highlight w:val="none"/>
        </w:rPr>
        <w:t>技术文件采用无标识形式编制</w:t>
      </w:r>
      <w:r>
        <w:rPr>
          <w:rFonts w:hint="eastAsia" w:ascii="仿宋_GB2312" w:hAnsi="仿宋_GB2312" w:eastAsia="仿宋_GB2312" w:cs="仿宋_GB2312"/>
          <w:color w:val="auto"/>
          <w:kern w:val="1"/>
          <w:sz w:val="32"/>
          <w:szCs w:val="32"/>
          <w:highlight w:val="none"/>
        </w:rPr>
        <w:t>。招标人按招标文件规定对投标文件第一个信封（商务及技术文件）进行公开开标。</w:t>
      </w:r>
    </w:p>
    <w:p w14:paraId="20E741ED">
      <w:pPr>
        <w:spacing w:line="360" w:lineRule="auto"/>
        <w:ind w:firstLine="640" w:firstLineChars="200"/>
        <w:contextualSpacing/>
        <w:jc w:val="both"/>
        <w:rPr>
          <w:rFonts w:hint="eastAsia" w:ascii="仿宋_GB2312" w:hAnsi="仿宋_GB2312" w:eastAsia="仿宋_GB2312" w:cs="仿宋_GB2312"/>
          <w:color w:val="auto"/>
          <w:kern w:val="1"/>
          <w:sz w:val="32"/>
          <w:szCs w:val="32"/>
          <w:highlight w:val="none"/>
        </w:rPr>
      </w:pPr>
      <w:r>
        <w:rPr>
          <w:rFonts w:hint="eastAsia" w:ascii="仿宋_GB2312" w:hAnsi="仿宋_GB2312" w:eastAsia="仿宋_GB2312" w:cs="仿宋_GB2312"/>
          <w:color w:val="auto"/>
          <w:kern w:val="1"/>
          <w:sz w:val="32"/>
          <w:szCs w:val="32"/>
          <w:highlight w:val="none"/>
        </w:rPr>
        <w:t>2.评标委员会按照招标文件规定的评审标准对投标文件第一个信封（商务及技术文件）进行初步评审，包括形式评审、资格评审及响应性评审，有一项不符合评审标准的，评标委员会将否决其投标。</w:t>
      </w:r>
    </w:p>
    <w:p w14:paraId="21BD7334">
      <w:pPr>
        <w:spacing w:line="360" w:lineRule="auto"/>
        <w:ind w:firstLine="640" w:firstLineChars="200"/>
        <w:contextualSpacing/>
        <w:jc w:val="both"/>
        <w:rPr>
          <w:rFonts w:hint="eastAsia" w:ascii="仿宋_GB2312" w:hAnsi="仿宋_GB2312" w:eastAsia="仿宋_GB2312" w:cs="仿宋_GB2312"/>
          <w:color w:val="auto"/>
          <w:kern w:val="1"/>
          <w:sz w:val="32"/>
          <w:szCs w:val="32"/>
          <w:highlight w:val="none"/>
        </w:rPr>
      </w:pPr>
      <w:r>
        <w:rPr>
          <w:rFonts w:hint="eastAsia" w:ascii="仿宋_GB2312" w:hAnsi="仿宋_GB2312" w:eastAsia="仿宋_GB2312" w:cs="仿宋_GB2312"/>
          <w:color w:val="auto"/>
          <w:kern w:val="1"/>
          <w:sz w:val="32"/>
          <w:szCs w:val="32"/>
          <w:highlight w:val="none"/>
        </w:rPr>
        <w:t>3.评标委员会对通过初步评审的投标文件第一个信封（商务及技术文件）进行详细评审，按招标文件规定的评分因素、分值和评分标准进行评分，并计算出各投标人的商务和技术得分。评标委员会按照投标人的商务和技术得分由高到低排序，</w:t>
      </w:r>
      <w:r>
        <w:rPr>
          <w:rFonts w:hint="eastAsia" w:ascii="仿宋_GB2312" w:hAnsi="仿宋_GB2312" w:eastAsia="仿宋_GB2312" w:cs="仿宋_GB2312"/>
          <w:b/>
          <w:bCs/>
          <w:color w:val="auto"/>
          <w:kern w:val="1"/>
          <w:sz w:val="32"/>
          <w:szCs w:val="32"/>
          <w:highlight w:val="none"/>
        </w:rPr>
        <w:t>对</w:t>
      </w:r>
      <w:r>
        <w:rPr>
          <w:rFonts w:hint="eastAsia" w:ascii="仿宋_GB2312" w:hAnsi="仿宋_GB2312" w:eastAsia="仿宋_GB2312" w:cs="仿宋_GB2312"/>
          <w:b/>
          <w:bCs/>
          <w:color w:val="auto"/>
          <w:kern w:val="1"/>
          <w:sz w:val="32"/>
          <w:szCs w:val="32"/>
          <w:highlight w:val="none"/>
          <w:lang w:val="en-US" w:eastAsia="zh-CN"/>
        </w:rPr>
        <w:t>A组别</w:t>
      </w:r>
      <w:r>
        <w:rPr>
          <w:rFonts w:hint="eastAsia" w:ascii="仿宋_GB2312" w:hAnsi="仿宋_GB2312" w:eastAsia="仿宋_GB2312" w:cs="仿宋_GB2312"/>
          <w:b/>
          <w:bCs/>
          <w:color w:val="auto"/>
          <w:kern w:val="1"/>
          <w:sz w:val="32"/>
          <w:szCs w:val="32"/>
          <w:highlight w:val="none"/>
        </w:rPr>
        <w:t>排名前</w:t>
      </w:r>
      <w:r>
        <w:rPr>
          <w:rFonts w:hint="eastAsia" w:ascii="仿宋_GB2312" w:hAnsi="仿宋_GB2312" w:eastAsia="仿宋_GB2312" w:cs="仿宋_GB2312"/>
          <w:b/>
          <w:bCs/>
          <w:color w:val="auto"/>
          <w:kern w:val="1"/>
          <w:sz w:val="32"/>
          <w:szCs w:val="32"/>
          <w:highlight w:val="none"/>
          <w:lang w:val="en-US" w:eastAsia="zh-CN"/>
        </w:rPr>
        <w:t>30</w:t>
      </w:r>
      <w:r>
        <w:rPr>
          <w:rFonts w:hint="eastAsia" w:ascii="仿宋_GB2312" w:hAnsi="仿宋_GB2312" w:eastAsia="仿宋_GB2312" w:cs="仿宋_GB2312"/>
          <w:b/>
          <w:bCs/>
          <w:color w:val="auto"/>
          <w:kern w:val="1"/>
          <w:sz w:val="32"/>
          <w:szCs w:val="32"/>
          <w:highlight w:val="none"/>
        </w:rPr>
        <w:t>名</w:t>
      </w:r>
      <w:r>
        <w:rPr>
          <w:rFonts w:hint="eastAsia" w:ascii="仿宋_GB2312" w:hAnsi="仿宋_GB2312" w:eastAsia="仿宋_GB2312" w:cs="仿宋_GB2312"/>
          <w:b/>
          <w:bCs/>
          <w:color w:val="auto"/>
          <w:kern w:val="1"/>
          <w:sz w:val="32"/>
          <w:szCs w:val="32"/>
          <w:highlight w:val="none"/>
          <w:lang w:eastAsia="zh-CN"/>
        </w:rPr>
        <w:t>、</w:t>
      </w:r>
      <w:r>
        <w:rPr>
          <w:rFonts w:hint="eastAsia" w:ascii="仿宋_GB2312" w:hAnsi="仿宋_GB2312" w:eastAsia="仿宋_GB2312" w:cs="仿宋_GB2312"/>
          <w:b/>
          <w:bCs/>
          <w:color w:val="auto"/>
          <w:kern w:val="1"/>
          <w:sz w:val="32"/>
          <w:szCs w:val="32"/>
          <w:highlight w:val="none"/>
          <w:lang w:val="en-US" w:eastAsia="zh-CN"/>
        </w:rPr>
        <w:t>B组别</w:t>
      </w:r>
      <w:r>
        <w:rPr>
          <w:rFonts w:hint="eastAsia" w:ascii="仿宋_GB2312" w:hAnsi="仿宋_GB2312" w:eastAsia="仿宋_GB2312" w:cs="仿宋_GB2312"/>
          <w:b/>
          <w:bCs/>
          <w:color w:val="auto"/>
          <w:kern w:val="1"/>
          <w:sz w:val="32"/>
          <w:szCs w:val="32"/>
          <w:highlight w:val="none"/>
        </w:rPr>
        <w:t>排名前</w:t>
      </w:r>
      <w:r>
        <w:rPr>
          <w:rFonts w:hint="eastAsia" w:ascii="仿宋_GB2312" w:hAnsi="仿宋_GB2312" w:eastAsia="仿宋_GB2312" w:cs="仿宋_GB2312"/>
          <w:b/>
          <w:bCs/>
          <w:color w:val="auto"/>
          <w:kern w:val="1"/>
          <w:sz w:val="32"/>
          <w:szCs w:val="32"/>
          <w:highlight w:val="none"/>
          <w:lang w:val="en-US" w:eastAsia="zh-CN"/>
        </w:rPr>
        <w:t>45</w:t>
      </w:r>
      <w:r>
        <w:rPr>
          <w:rFonts w:hint="eastAsia" w:ascii="仿宋_GB2312" w:hAnsi="仿宋_GB2312" w:eastAsia="仿宋_GB2312" w:cs="仿宋_GB2312"/>
          <w:b/>
          <w:bCs/>
          <w:color w:val="auto"/>
          <w:kern w:val="1"/>
          <w:sz w:val="32"/>
          <w:szCs w:val="32"/>
          <w:highlight w:val="none"/>
        </w:rPr>
        <w:t>名</w:t>
      </w:r>
      <w:r>
        <w:rPr>
          <w:rFonts w:hint="eastAsia" w:ascii="仿宋_GB2312" w:hAnsi="仿宋_GB2312" w:eastAsia="仿宋_GB2312" w:cs="仿宋_GB2312"/>
          <w:color w:val="auto"/>
          <w:kern w:val="1"/>
          <w:sz w:val="32"/>
          <w:szCs w:val="32"/>
          <w:highlight w:val="none"/>
        </w:rPr>
        <w:t>的投标人通过投标文件第一个信封（商务及技术文件）详细评审。商务和技术得分相等时，评标委员会依次按以下优先顺序进行排序：</w:t>
      </w:r>
    </w:p>
    <w:p w14:paraId="72A5CE98">
      <w:pPr>
        <w:spacing w:line="360" w:lineRule="auto"/>
        <w:ind w:firstLine="640" w:firstLineChars="200"/>
        <w:contextualSpacing/>
        <w:jc w:val="both"/>
        <w:rPr>
          <w:rFonts w:hint="eastAsia" w:ascii="仿宋_GB2312" w:hAnsi="仿宋_GB2312" w:eastAsia="仿宋_GB2312" w:cs="仿宋_GB2312"/>
          <w:color w:val="auto"/>
          <w:kern w:val="1"/>
          <w:sz w:val="32"/>
          <w:szCs w:val="32"/>
          <w:highlight w:val="none"/>
        </w:rPr>
      </w:pPr>
      <w:r>
        <w:rPr>
          <w:rFonts w:hint="eastAsia" w:ascii="仿宋_GB2312" w:hAnsi="仿宋_GB2312" w:eastAsia="仿宋_GB2312" w:cs="仿宋_GB2312"/>
          <w:color w:val="auto"/>
          <w:kern w:val="1"/>
          <w:sz w:val="32"/>
          <w:szCs w:val="32"/>
          <w:highlight w:val="none"/>
        </w:rPr>
        <w:t>（1）根据《</w:t>
      </w:r>
      <w:r>
        <w:rPr>
          <w:rFonts w:hint="eastAsia" w:ascii="仿宋_GB2312" w:hAnsi="仿宋_GB2312" w:eastAsia="仿宋_GB2312" w:cs="仿宋_GB2312"/>
          <w:color w:val="auto"/>
          <w:kern w:val="1"/>
          <w:sz w:val="32"/>
          <w:szCs w:val="32"/>
          <w:highlight w:val="none"/>
          <w:lang w:val="en-US" w:eastAsia="zh-CN"/>
        </w:rPr>
        <w:t>陕西省交通运输厅关于2025年度陕西省公路建设从业企业信用评价结果应用的通知</w:t>
      </w:r>
      <w:r>
        <w:rPr>
          <w:rFonts w:hint="eastAsia" w:ascii="仿宋_GB2312" w:hAnsi="仿宋_GB2312" w:eastAsia="仿宋_GB2312" w:cs="仿宋_GB2312"/>
          <w:color w:val="auto"/>
          <w:kern w:val="1"/>
          <w:sz w:val="32"/>
          <w:szCs w:val="32"/>
          <w:highlight w:val="none"/>
        </w:rPr>
        <w:t>》中，信用等级较高的投标人优先；</w:t>
      </w:r>
    </w:p>
    <w:p w14:paraId="0795E1D8">
      <w:pPr>
        <w:spacing w:line="360" w:lineRule="auto"/>
        <w:ind w:firstLine="640" w:firstLineChars="200"/>
        <w:contextualSpacing/>
        <w:jc w:val="both"/>
        <w:rPr>
          <w:rFonts w:hint="eastAsia" w:ascii="仿宋_GB2312" w:hAnsi="仿宋_GB2312" w:eastAsia="仿宋_GB2312" w:cs="仿宋_GB2312"/>
          <w:color w:val="auto"/>
          <w:kern w:val="1"/>
          <w:sz w:val="32"/>
          <w:szCs w:val="32"/>
          <w:highlight w:val="none"/>
        </w:rPr>
      </w:pPr>
      <w:r>
        <w:rPr>
          <w:rFonts w:hint="eastAsia" w:ascii="仿宋_GB2312" w:hAnsi="仿宋_GB2312" w:eastAsia="仿宋_GB2312" w:cs="仿宋_GB2312"/>
          <w:color w:val="auto"/>
          <w:kern w:val="1"/>
          <w:sz w:val="32"/>
          <w:szCs w:val="32"/>
          <w:highlight w:val="none"/>
        </w:rPr>
        <w:t>（2）施工组织</w:t>
      </w:r>
      <w:r>
        <w:rPr>
          <w:rFonts w:hint="eastAsia" w:ascii="仿宋_GB2312" w:hAnsi="仿宋_GB2312" w:eastAsia="仿宋_GB2312" w:cs="仿宋_GB2312"/>
          <w:color w:val="auto"/>
          <w:kern w:val="1"/>
          <w:sz w:val="32"/>
          <w:szCs w:val="32"/>
          <w:highlight w:val="none"/>
          <w:lang w:val="en-US" w:eastAsia="zh-CN"/>
        </w:rPr>
        <w:t>设计得分高的优先</w:t>
      </w:r>
      <w:r>
        <w:rPr>
          <w:rFonts w:hint="eastAsia" w:ascii="仿宋_GB2312" w:hAnsi="仿宋_GB2312" w:eastAsia="仿宋_GB2312" w:cs="仿宋_GB2312"/>
          <w:color w:val="auto"/>
          <w:kern w:val="1"/>
          <w:sz w:val="32"/>
          <w:szCs w:val="32"/>
          <w:highlight w:val="none"/>
        </w:rPr>
        <w:t>。</w:t>
      </w:r>
    </w:p>
    <w:p w14:paraId="57DB6B14">
      <w:pPr>
        <w:spacing w:line="360" w:lineRule="auto"/>
        <w:ind w:firstLine="640" w:firstLineChars="200"/>
        <w:contextualSpacing/>
        <w:jc w:val="both"/>
        <w:rPr>
          <w:rFonts w:hint="default" w:ascii="仿宋_GB2312" w:hAnsi="仿宋_GB2312" w:eastAsia="仿宋_GB2312" w:cs="仿宋_GB2312"/>
          <w:color w:val="auto"/>
          <w:kern w:val="1"/>
          <w:sz w:val="32"/>
          <w:szCs w:val="32"/>
          <w:highlight w:val="none"/>
          <w:lang w:val="en-US" w:eastAsia="zh-CN"/>
        </w:rPr>
      </w:pPr>
      <w:r>
        <w:rPr>
          <w:rFonts w:hint="eastAsia" w:ascii="仿宋_GB2312" w:hAnsi="仿宋_GB2312" w:eastAsia="仿宋_GB2312" w:cs="仿宋_GB2312"/>
          <w:color w:val="auto"/>
          <w:kern w:val="1"/>
          <w:sz w:val="32"/>
          <w:szCs w:val="32"/>
          <w:highlight w:val="none"/>
          <w:lang w:eastAsia="zh-CN"/>
        </w:rPr>
        <w:t>（</w:t>
      </w:r>
      <w:r>
        <w:rPr>
          <w:rFonts w:hint="eastAsia" w:ascii="仿宋_GB2312" w:hAnsi="仿宋_GB2312" w:eastAsia="仿宋_GB2312" w:cs="仿宋_GB2312"/>
          <w:color w:val="auto"/>
          <w:kern w:val="1"/>
          <w:sz w:val="32"/>
          <w:szCs w:val="32"/>
          <w:highlight w:val="none"/>
          <w:lang w:val="en-US" w:eastAsia="zh-CN"/>
        </w:rPr>
        <w:t>3</w:t>
      </w:r>
      <w:r>
        <w:rPr>
          <w:rFonts w:hint="eastAsia" w:ascii="仿宋_GB2312" w:hAnsi="仿宋_GB2312" w:eastAsia="仿宋_GB2312" w:cs="仿宋_GB2312"/>
          <w:color w:val="auto"/>
          <w:kern w:val="1"/>
          <w:sz w:val="32"/>
          <w:szCs w:val="32"/>
          <w:highlight w:val="none"/>
          <w:lang w:eastAsia="zh-CN"/>
        </w:rPr>
        <w:t>）</w:t>
      </w:r>
      <w:r>
        <w:rPr>
          <w:rFonts w:hint="eastAsia" w:ascii="仿宋_GB2312" w:hAnsi="仿宋_GB2312" w:eastAsia="仿宋_GB2312" w:cs="仿宋_GB2312"/>
          <w:color w:val="auto"/>
          <w:kern w:val="1"/>
          <w:sz w:val="32"/>
          <w:szCs w:val="32"/>
          <w:highlight w:val="none"/>
          <w:lang w:val="en-US" w:eastAsia="zh-CN"/>
        </w:rPr>
        <w:t>满足投标文件业绩要求的合同段数量多的优先。</w:t>
      </w:r>
    </w:p>
    <w:p w14:paraId="36DFDB3C">
      <w:pPr>
        <w:spacing w:line="360" w:lineRule="auto"/>
        <w:ind w:firstLine="640" w:firstLineChars="200"/>
        <w:contextualSpacing/>
        <w:jc w:val="both"/>
        <w:rPr>
          <w:rFonts w:hint="eastAsia" w:ascii="仿宋_GB2312" w:hAnsi="仿宋_GB2312" w:eastAsia="仿宋_GB2312" w:cs="仿宋_GB2312"/>
          <w:color w:val="auto"/>
          <w:kern w:val="1"/>
          <w:sz w:val="32"/>
          <w:szCs w:val="32"/>
          <w:highlight w:val="none"/>
        </w:rPr>
      </w:pPr>
      <w:r>
        <w:rPr>
          <w:rFonts w:hint="eastAsia" w:ascii="仿宋_GB2312" w:hAnsi="仿宋_GB2312" w:eastAsia="仿宋_GB2312" w:cs="仿宋_GB2312"/>
          <w:color w:val="auto"/>
          <w:kern w:val="1"/>
          <w:sz w:val="32"/>
          <w:szCs w:val="32"/>
          <w:highlight w:val="none"/>
          <w:lang w:val="en-US" w:eastAsia="zh-CN"/>
        </w:rPr>
        <w:t>A</w:t>
      </w:r>
      <w:r>
        <w:rPr>
          <w:rFonts w:hint="eastAsia" w:ascii="仿宋_GB2312" w:hAnsi="仿宋_GB2312" w:eastAsia="仿宋_GB2312" w:cs="仿宋_GB2312"/>
          <w:b/>
          <w:bCs/>
          <w:color w:val="auto"/>
          <w:kern w:val="1"/>
          <w:sz w:val="32"/>
          <w:szCs w:val="32"/>
          <w:highlight w:val="none"/>
          <w:lang w:val="en-US" w:eastAsia="zh-CN"/>
        </w:rPr>
        <w:t>组别</w:t>
      </w:r>
      <w:r>
        <w:rPr>
          <w:rFonts w:hint="eastAsia" w:ascii="仿宋_GB2312" w:hAnsi="仿宋_GB2312" w:eastAsia="仿宋_GB2312" w:cs="仿宋_GB2312"/>
          <w:color w:val="auto"/>
          <w:kern w:val="1"/>
          <w:sz w:val="32"/>
          <w:szCs w:val="32"/>
          <w:highlight w:val="none"/>
        </w:rPr>
        <w:t>通过投标文件第一个信封（商务及技术文件）初步评审的投标人不少于</w:t>
      </w:r>
      <w:r>
        <w:rPr>
          <w:rFonts w:hint="eastAsia" w:ascii="仿宋_GB2312" w:hAnsi="仿宋_GB2312" w:eastAsia="仿宋_GB2312" w:cs="仿宋_GB2312"/>
          <w:color w:val="auto"/>
          <w:kern w:val="1"/>
          <w:sz w:val="32"/>
          <w:szCs w:val="32"/>
          <w:highlight w:val="none"/>
          <w:lang w:val="en-US" w:eastAsia="zh-CN"/>
        </w:rPr>
        <w:t>6</w:t>
      </w:r>
      <w:r>
        <w:rPr>
          <w:rFonts w:hint="eastAsia" w:ascii="仿宋_GB2312" w:hAnsi="仿宋_GB2312" w:eastAsia="仿宋_GB2312" w:cs="仿宋_GB2312"/>
          <w:color w:val="auto"/>
          <w:kern w:val="1"/>
          <w:sz w:val="32"/>
          <w:szCs w:val="32"/>
          <w:highlight w:val="none"/>
        </w:rPr>
        <w:t>名且未超过</w:t>
      </w:r>
      <w:r>
        <w:rPr>
          <w:rFonts w:hint="eastAsia" w:ascii="仿宋_GB2312" w:hAnsi="仿宋_GB2312" w:eastAsia="仿宋_GB2312" w:cs="仿宋_GB2312"/>
          <w:color w:val="auto"/>
          <w:kern w:val="1"/>
          <w:sz w:val="32"/>
          <w:szCs w:val="32"/>
          <w:highlight w:val="none"/>
          <w:lang w:val="en-US" w:eastAsia="zh-CN"/>
        </w:rPr>
        <w:t>30</w:t>
      </w:r>
      <w:r>
        <w:rPr>
          <w:rFonts w:hint="eastAsia" w:ascii="仿宋_GB2312" w:hAnsi="仿宋_GB2312" w:eastAsia="仿宋_GB2312" w:cs="仿宋_GB2312"/>
          <w:color w:val="auto"/>
          <w:kern w:val="1"/>
          <w:sz w:val="32"/>
          <w:szCs w:val="32"/>
          <w:highlight w:val="none"/>
        </w:rPr>
        <w:t>名时，均直接通过投标文件第一个信封（商务及技术文件）详细评审</w:t>
      </w:r>
      <w:r>
        <w:rPr>
          <w:rFonts w:hint="eastAsia" w:ascii="仿宋_GB2312" w:hAnsi="仿宋_GB2312" w:eastAsia="仿宋_GB2312" w:cs="仿宋_GB2312"/>
          <w:color w:val="auto"/>
          <w:kern w:val="1"/>
          <w:sz w:val="32"/>
          <w:szCs w:val="32"/>
          <w:highlight w:val="none"/>
          <w:lang w:eastAsia="zh-CN"/>
        </w:rPr>
        <w:t>；</w:t>
      </w:r>
      <w:r>
        <w:rPr>
          <w:rFonts w:hint="eastAsia" w:ascii="仿宋_GB2312" w:hAnsi="仿宋_GB2312" w:eastAsia="仿宋_GB2312" w:cs="仿宋_GB2312"/>
          <w:color w:val="auto"/>
          <w:kern w:val="1"/>
          <w:sz w:val="32"/>
          <w:szCs w:val="32"/>
          <w:highlight w:val="none"/>
          <w:lang w:val="en-US" w:eastAsia="zh-CN"/>
        </w:rPr>
        <w:t>B</w:t>
      </w:r>
      <w:r>
        <w:rPr>
          <w:rFonts w:hint="eastAsia" w:ascii="仿宋_GB2312" w:hAnsi="仿宋_GB2312" w:eastAsia="仿宋_GB2312" w:cs="仿宋_GB2312"/>
          <w:b/>
          <w:bCs/>
          <w:color w:val="auto"/>
          <w:kern w:val="1"/>
          <w:sz w:val="32"/>
          <w:szCs w:val="32"/>
          <w:highlight w:val="none"/>
          <w:lang w:val="en-US" w:eastAsia="zh-CN"/>
        </w:rPr>
        <w:t>组别</w:t>
      </w:r>
      <w:r>
        <w:rPr>
          <w:rFonts w:hint="eastAsia" w:ascii="仿宋_GB2312" w:hAnsi="仿宋_GB2312" w:eastAsia="仿宋_GB2312" w:cs="仿宋_GB2312"/>
          <w:color w:val="auto"/>
          <w:kern w:val="1"/>
          <w:sz w:val="32"/>
          <w:szCs w:val="32"/>
          <w:highlight w:val="none"/>
        </w:rPr>
        <w:t>通过投标文件第一个信封（商务及技术文件）初步评审的投标人不少于</w:t>
      </w:r>
      <w:r>
        <w:rPr>
          <w:rFonts w:hint="eastAsia" w:ascii="仿宋_GB2312" w:hAnsi="仿宋_GB2312" w:eastAsia="仿宋_GB2312" w:cs="仿宋_GB2312"/>
          <w:color w:val="auto"/>
          <w:kern w:val="1"/>
          <w:sz w:val="32"/>
          <w:szCs w:val="32"/>
          <w:highlight w:val="none"/>
          <w:lang w:val="en-US" w:eastAsia="zh-CN"/>
        </w:rPr>
        <w:t>9</w:t>
      </w:r>
      <w:r>
        <w:rPr>
          <w:rFonts w:hint="eastAsia" w:ascii="仿宋_GB2312" w:hAnsi="仿宋_GB2312" w:eastAsia="仿宋_GB2312" w:cs="仿宋_GB2312"/>
          <w:color w:val="auto"/>
          <w:kern w:val="1"/>
          <w:sz w:val="32"/>
          <w:szCs w:val="32"/>
          <w:highlight w:val="none"/>
        </w:rPr>
        <w:t>名且未超过</w:t>
      </w:r>
      <w:r>
        <w:rPr>
          <w:rFonts w:hint="eastAsia" w:ascii="仿宋_GB2312" w:hAnsi="仿宋_GB2312" w:eastAsia="仿宋_GB2312" w:cs="仿宋_GB2312"/>
          <w:color w:val="auto"/>
          <w:kern w:val="1"/>
          <w:sz w:val="32"/>
          <w:szCs w:val="32"/>
          <w:highlight w:val="none"/>
          <w:lang w:val="en-US" w:eastAsia="zh-CN"/>
        </w:rPr>
        <w:t>45</w:t>
      </w:r>
      <w:r>
        <w:rPr>
          <w:rFonts w:hint="eastAsia" w:ascii="仿宋_GB2312" w:hAnsi="仿宋_GB2312" w:eastAsia="仿宋_GB2312" w:cs="仿宋_GB2312"/>
          <w:color w:val="auto"/>
          <w:kern w:val="1"/>
          <w:sz w:val="32"/>
          <w:szCs w:val="32"/>
          <w:highlight w:val="none"/>
        </w:rPr>
        <w:t>名时，均直接通过投标文件第一个信封（商务及技术文件）详细评审。</w:t>
      </w:r>
    </w:p>
    <w:p w14:paraId="3F38446E">
      <w:pPr>
        <w:spacing w:line="560" w:lineRule="exact"/>
        <w:ind w:firstLine="640" w:firstLineChars="200"/>
        <w:contextualSpacing/>
        <w:jc w:val="both"/>
        <w:rPr>
          <w:rFonts w:hint="eastAsia" w:ascii="仿宋_GB2312" w:hAnsi="仿宋_GB2312" w:eastAsia="仿宋_GB2312" w:cs="仿宋_GB2312"/>
          <w:color w:val="auto"/>
          <w:kern w:val="1"/>
          <w:sz w:val="32"/>
          <w:szCs w:val="32"/>
          <w:highlight w:val="none"/>
        </w:rPr>
      </w:pPr>
      <w:r>
        <w:rPr>
          <w:rFonts w:hint="eastAsia" w:ascii="仿宋_GB2312" w:hAnsi="仿宋_GB2312" w:eastAsia="仿宋_GB2312" w:cs="仿宋_GB2312"/>
          <w:color w:val="auto"/>
          <w:kern w:val="1"/>
          <w:sz w:val="32"/>
          <w:szCs w:val="32"/>
          <w:highlight w:val="none"/>
        </w:rPr>
        <w:t>4.第一个信封(商务及技术文件)评审结束后，招标人按照招标文件规定对通过第一个信封(商务及技术文件)评审的投标文件第二个信封(报价文件)进行开标。采用摇号的方式随机分配各组别内通过第一个信封(商务及技术文件)评审的投标人所在标段，仅对其分配到的标段的投标文件第二个信封(报价文件)进行开标和评审。</w:t>
      </w:r>
    </w:p>
    <w:p w14:paraId="7BB55A1F">
      <w:pPr>
        <w:spacing w:line="560" w:lineRule="exact"/>
        <w:ind w:firstLine="640" w:firstLineChars="200"/>
        <w:contextualSpacing/>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5.评标委员会按照招标文件规定的评审标准对投标文件第二个信封（报价文件）进行初步评审，包括形式评审与响应性评审。有一项不符合评审标准的，评标委员会将否决其投标。本次招标采用工程量固化清单，无需再对投标报价进行修正。</w:t>
      </w:r>
    </w:p>
    <w:p w14:paraId="45F1A006">
      <w:pPr>
        <w:spacing w:line="560" w:lineRule="exact"/>
        <w:ind w:firstLine="640" w:firstLineChars="200"/>
        <w:contextualSpacing/>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6.评标委员会对通过初步评审的投标文件第二个信封（报价文件）进行详细评审，按照招标文件规定的量化因素和分值进行打分，并计算出第二个信封（报价文件）</w:t>
      </w:r>
      <w:r>
        <w:rPr>
          <w:rFonts w:hint="eastAsia" w:ascii="仿宋_GB2312" w:hAnsi="仿宋_GB2312" w:eastAsia="仿宋_GB2312" w:cs="仿宋_GB2312"/>
          <w:color w:val="000000"/>
          <w:kern w:val="1"/>
          <w:sz w:val="32"/>
          <w:szCs w:val="32"/>
          <w:highlight w:val="none"/>
          <w:lang w:val="en-US" w:eastAsia="zh-CN"/>
        </w:rPr>
        <w:t>的</w:t>
      </w:r>
      <w:r>
        <w:rPr>
          <w:rFonts w:hint="eastAsia" w:ascii="仿宋_GB2312" w:hAnsi="仿宋_GB2312" w:eastAsia="仿宋_GB2312" w:cs="仿宋_GB2312"/>
          <w:color w:val="000000"/>
          <w:kern w:val="1"/>
          <w:sz w:val="32"/>
          <w:szCs w:val="32"/>
          <w:highlight w:val="none"/>
        </w:rPr>
        <w:t>综合得分。</w:t>
      </w:r>
    </w:p>
    <w:p w14:paraId="3817F057">
      <w:pPr>
        <w:spacing w:line="560" w:lineRule="exact"/>
        <w:ind w:firstLine="640" w:firstLineChars="200"/>
        <w:contextualSpacing/>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评标委员会发现投标人的报价明显低于其他投标报价，使得其投标报价可能低于其个别成本的，应要求该投标人做出书面说明并提供相应的证明材料。投标人不能合理说明或不能提供相关证明材料的，由评标委员会认定该投标人以低于成本报价竞标，并否决其投标。</w:t>
      </w:r>
    </w:p>
    <w:p w14:paraId="479B46FE">
      <w:pPr>
        <w:spacing w:line="560" w:lineRule="exact"/>
        <w:ind w:firstLine="640" w:firstLineChars="200"/>
        <w:contextualSpacing/>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7.评标委员会对</w:t>
      </w:r>
      <w:r>
        <w:rPr>
          <w:rFonts w:hint="eastAsia" w:ascii="仿宋_GB2312" w:hAnsi="仿宋_GB2312" w:eastAsia="仿宋_GB2312" w:cs="仿宋_GB2312"/>
          <w:color w:val="000000"/>
          <w:kern w:val="1"/>
          <w:sz w:val="32"/>
          <w:szCs w:val="32"/>
          <w:highlight w:val="none"/>
          <w:lang w:val="en-US" w:eastAsia="zh-CN"/>
        </w:rPr>
        <w:t>本次招标</w:t>
      </w:r>
      <w:r>
        <w:rPr>
          <w:rFonts w:hint="eastAsia" w:ascii="仿宋_GB2312" w:hAnsi="仿宋_GB2312" w:eastAsia="仿宋_GB2312" w:cs="仿宋_GB2312"/>
          <w:color w:val="000000"/>
          <w:kern w:val="1"/>
          <w:sz w:val="32"/>
          <w:szCs w:val="32"/>
          <w:highlight w:val="none"/>
        </w:rPr>
        <w:t>投标人按第二个信封（报价文件）</w:t>
      </w:r>
      <w:r>
        <w:rPr>
          <w:rFonts w:hint="eastAsia" w:ascii="仿宋_GB2312" w:hAnsi="仿宋_GB2312" w:eastAsia="仿宋_GB2312" w:cs="仿宋_GB2312"/>
          <w:color w:val="000000"/>
          <w:kern w:val="1"/>
          <w:sz w:val="32"/>
          <w:szCs w:val="32"/>
          <w:highlight w:val="none"/>
          <w:lang w:val="en-US" w:eastAsia="zh-CN"/>
        </w:rPr>
        <w:t>的</w:t>
      </w:r>
      <w:r>
        <w:rPr>
          <w:rFonts w:hint="eastAsia" w:ascii="仿宋_GB2312" w:hAnsi="仿宋_GB2312" w:eastAsia="仿宋_GB2312" w:cs="仿宋_GB2312"/>
          <w:color w:val="000000"/>
          <w:kern w:val="1"/>
          <w:sz w:val="32"/>
          <w:szCs w:val="32"/>
          <w:highlight w:val="none"/>
        </w:rPr>
        <w:t>综合得分由高到低排序，依序推荐中标候选人，并标明排序，</w:t>
      </w:r>
      <w:r>
        <w:rPr>
          <w:rFonts w:hint="eastAsia" w:ascii="仿宋_GB2312" w:hAnsi="仿宋_GB2312" w:eastAsia="仿宋_GB2312" w:cs="仿宋_GB2312"/>
          <w:color w:val="000000"/>
          <w:kern w:val="1"/>
          <w:sz w:val="32"/>
          <w:szCs w:val="32"/>
          <w:highlight w:val="none"/>
          <w:lang w:val="en-US" w:eastAsia="zh-CN"/>
        </w:rPr>
        <w:t>每个标段</w:t>
      </w:r>
      <w:r>
        <w:rPr>
          <w:rFonts w:hint="eastAsia" w:ascii="仿宋_GB2312" w:hAnsi="仿宋_GB2312" w:eastAsia="仿宋_GB2312" w:cs="仿宋_GB2312"/>
          <w:color w:val="000000"/>
          <w:kern w:val="1"/>
          <w:sz w:val="32"/>
          <w:szCs w:val="32"/>
          <w:highlight w:val="none"/>
        </w:rPr>
        <w:t>推荐的中标候选人数量为3名。第二个信封（报价文件）综合</w:t>
      </w:r>
      <w:r>
        <w:rPr>
          <w:rFonts w:hint="eastAsia" w:ascii="仿宋_GB2312" w:hAnsi="仿宋_GB2312" w:eastAsia="仿宋_GB2312" w:cs="仿宋_GB2312"/>
          <w:color w:val="000000"/>
          <w:kern w:val="1"/>
          <w:sz w:val="32"/>
          <w:szCs w:val="32"/>
          <w:highlight w:val="none"/>
          <w:lang w:val="en-US" w:eastAsia="zh-CN"/>
        </w:rPr>
        <w:t>得</w:t>
      </w:r>
      <w:r>
        <w:rPr>
          <w:rFonts w:hint="eastAsia" w:ascii="仿宋_GB2312" w:hAnsi="仿宋_GB2312" w:eastAsia="仿宋_GB2312" w:cs="仿宋_GB2312"/>
          <w:color w:val="000000"/>
          <w:kern w:val="1"/>
          <w:sz w:val="32"/>
          <w:szCs w:val="32"/>
          <w:highlight w:val="none"/>
        </w:rPr>
        <w:t>分相等时，评标委员会依次按以下优先顺序推荐中标候选人：</w:t>
      </w:r>
    </w:p>
    <w:p w14:paraId="445BD283">
      <w:pPr>
        <w:spacing w:line="560" w:lineRule="exact"/>
        <w:ind w:firstLine="640" w:firstLineChars="200"/>
        <w:contextualSpacing/>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（1）评标价低的投标人优先；</w:t>
      </w:r>
    </w:p>
    <w:p w14:paraId="592C470B">
      <w:pPr>
        <w:spacing w:line="560" w:lineRule="exact"/>
        <w:ind w:firstLine="640" w:firstLineChars="200"/>
        <w:contextualSpacing/>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（2）根据陕西省交通运输厅《关于2025年度陕西省公路建设从业企业信用评价结果应用的通知》，评为较高信用评价等级的投标人优先；</w:t>
      </w:r>
    </w:p>
    <w:p w14:paraId="05B64FCC">
      <w:pPr>
        <w:spacing w:line="560" w:lineRule="exact"/>
        <w:ind w:firstLine="640" w:firstLineChars="200"/>
        <w:contextualSpacing/>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（3）填报的符合评审要求的</w:t>
      </w:r>
      <w:r>
        <w:rPr>
          <w:rFonts w:hint="eastAsia" w:ascii="仿宋_GB2312" w:hAnsi="仿宋_GB2312" w:eastAsia="仿宋_GB2312" w:cs="仿宋_GB2312"/>
          <w:color w:val="000000"/>
          <w:kern w:val="1"/>
          <w:sz w:val="32"/>
          <w:szCs w:val="32"/>
          <w:highlight w:val="none"/>
          <w:lang w:val="en-US" w:eastAsia="zh-CN"/>
        </w:rPr>
        <w:t>新</w:t>
      </w:r>
      <w:r>
        <w:rPr>
          <w:rFonts w:hint="eastAsia" w:ascii="仿宋_GB2312" w:hAnsi="仿宋_GB2312" w:eastAsia="仿宋_GB2312" w:cs="仿宋_GB2312"/>
          <w:color w:val="000000"/>
          <w:kern w:val="1"/>
          <w:sz w:val="32"/>
          <w:szCs w:val="32"/>
          <w:highlight w:val="none"/>
        </w:rPr>
        <w:t>建高速公路项目土建工程施工合同段数量多的投标人优先；</w:t>
      </w:r>
    </w:p>
    <w:p w14:paraId="2A783742">
      <w:pPr>
        <w:spacing w:line="560" w:lineRule="exact"/>
        <w:ind w:firstLine="640" w:firstLineChars="200"/>
        <w:contextualSpacing/>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（4）以清单第200至600章报价合计低的投标人优先。</w:t>
      </w:r>
    </w:p>
    <w:p w14:paraId="3E2E5E7A">
      <w:pPr>
        <w:spacing w:line="560" w:lineRule="exact"/>
        <w:ind w:firstLine="640" w:firstLineChars="200"/>
        <w:contextualSpacing/>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每个投标人最终只允许获得一个标段的中标资格，若出现同一投标人在多个标段同时排名第一的情况，则推荐其在投标报价高的标段为第一中标候选人，其余标段由其他投标人按综合得分排名依序递补。</w:t>
      </w:r>
    </w:p>
    <w:p w14:paraId="7718C3E1">
      <w:pPr>
        <w:spacing w:line="560" w:lineRule="exact"/>
        <w:ind w:firstLine="640" w:firstLineChars="200"/>
        <w:contextualSpacing/>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8.若在投标截止时间前，陕西省交通运输厅发布新的信用评价结果及文件，则涉及信用评价的评审规定按照新的信用评价结果及文件执行。</w:t>
      </w:r>
    </w:p>
    <w:p w14:paraId="76311123">
      <w:pPr>
        <w:spacing w:line="360" w:lineRule="auto"/>
        <w:ind w:firstLine="643" w:firstLineChars="200"/>
        <w:jc w:val="both"/>
        <w:rPr>
          <w:rFonts w:hint="eastAsia" w:ascii="仿宋" w:hAnsi="仿宋" w:eastAsia="仿宋" w:cs="仿宋_GB2312"/>
          <w:b/>
          <w:color w:val="auto"/>
          <w:sz w:val="32"/>
          <w:szCs w:val="32"/>
          <w:highlight w:val="none"/>
        </w:rPr>
      </w:pPr>
      <w:r>
        <w:rPr>
          <w:rFonts w:hint="eastAsia" w:ascii="仿宋" w:hAnsi="仿宋" w:eastAsia="仿宋" w:cs="仿宋_GB2312"/>
          <w:b/>
          <w:color w:val="auto"/>
          <w:sz w:val="32"/>
          <w:szCs w:val="32"/>
          <w:highlight w:val="none"/>
        </w:rPr>
        <w:t>（</w:t>
      </w:r>
      <w:r>
        <w:rPr>
          <w:rFonts w:hint="eastAsia" w:ascii="仿宋" w:hAnsi="仿宋" w:eastAsia="仿宋" w:cs="仿宋_GB2312"/>
          <w:b/>
          <w:color w:val="auto"/>
          <w:sz w:val="32"/>
          <w:szCs w:val="32"/>
          <w:highlight w:val="none"/>
          <w:lang w:val="en-US" w:eastAsia="zh-CN"/>
        </w:rPr>
        <w:t>三</w:t>
      </w:r>
      <w:r>
        <w:rPr>
          <w:rFonts w:hint="eastAsia" w:ascii="仿宋" w:hAnsi="仿宋" w:eastAsia="仿宋" w:cs="仿宋_GB2312"/>
          <w:b/>
          <w:color w:val="auto"/>
          <w:sz w:val="32"/>
          <w:szCs w:val="32"/>
          <w:highlight w:val="none"/>
        </w:rPr>
        <w:t>）</w:t>
      </w:r>
      <w:r>
        <w:rPr>
          <w:rFonts w:hint="eastAsia" w:ascii="仿宋" w:hAnsi="仿宋" w:eastAsia="仿宋" w:cs="仿宋_GB2312"/>
          <w:b/>
          <w:bCs/>
          <w:color w:val="auto"/>
          <w:sz w:val="32"/>
          <w:szCs w:val="32"/>
          <w:highlight w:val="none"/>
        </w:rPr>
        <w:t>第一个信封（商务及技术文件）</w:t>
      </w:r>
      <w:r>
        <w:rPr>
          <w:rFonts w:hint="eastAsia" w:ascii="仿宋" w:hAnsi="仿宋" w:eastAsia="仿宋" w:cs="仿宋_GB2312"/>
          <w:b/>
          <w:color w:val="auto"/>
          <w:sz w:val="32"/>
          <w:szCs w:val="32"/>
          <w:highlight w:val="none"/>
        </w:rPr>
        <w:t>评分</w:t>
      </w:r>
    </w:p>
    <w:p w14:paraId="0B62DF04">
      <w:pPr>
        <w:spacing w:line="360" w:lineRule="auto"/>
        <w:ind w:firstLine="643" w:firstLineChars="200"/>
        <w:jc w:val="both"/>
        <w:rPr>
          <w:rFonts w:hint="eastAsia" w:ascii="仿宋" w:hAnsi="仿宋" w:eastAsia="仿宋" w:cs="仿宋_GB2312"/>
          <w:color w:val="auto"/>
          <w:sz w:val="32"/>
          <w:szCs w:val="32"/>
          <w:highlight w:val="none"/>
        </w:rPr>
      </w:pPr>
      <w:r>
        <w:rPr>
          <w:rFonts w:hint="eastAsia" w:ascii="仿宋" w:hAnsi="仿宋" w:eastAsia="仿宋" w:cs="仿宋_GB2312"/>
          <w:b/>
          <w:bCs/>
          <w:color w:val="auto"/>
          <w:sz w:val="32"/>
          <w:szCs w:val="32"/>
          <w:highlight w:val="none"/>
        </w:rPr>
        <w:t>1.评分因素与分值构成（100分）</w:t>
      </w:r>
    </w:p>
    <w:p w14:paraId="11EBD486">
      <w:pPr>
        <w:spacing w:line="360" w:lineRule="auto"/>
        <w:ind w:firstLine="640" w:firstLineChars="200"/>
        <w:contextualSpacing/>
        <w:jc w:val="both"/>
        <w:rPr>
          <w:rFonts w:hint="eastAsia" w:ascii="仿宋_GB2312" w:hAnsi="仿宋_GB2312" w:eastAsia="仿宋_GB2312" w:cs="仿宋_GB2312"/>
          <w:color w:val="auto"/>
          <w:kern w:val="1"/>
          <w:sz w:val="32"/>
          <w:szCs w:val="32"/>
          <w:highlight w:val="none"/>
        </w:rPr>
      </w:pPr>
      <w:r>
        <w:rPr>
          <w:rFonts w:hint="eastAsia" w:ascii="仿宋_GB2312" w:hAnsi="仿宋_GB2312" w:eastAsia="仿宋_GB2312" w:cs="仿宋_GB2312"/>
          <w:color w:val="auto"/>
          <w:kern w:val="1"/>
          <w:sz w:val="32"/>
          <w:szCs w:val="32"/>
          <w:highlight w:val="none"/>
        </w:rPr>
        <w:t>（1）</w:t>
      </w:r>
      <w:r>
        <w:rPr>
          <w:rFonts w:hint="eastAsia" w:ascii="仿宋_GB2312" w:hAnsi="仿宋_GB2312" w:eastAsia="仿宋_GB2312" w:cs="仿宋_GB2312"/>
          <w:color w:val="auto"/>
          <w:kern w:val="1"/>
          <w:sz w:val="32"/>
          <w:szCs w:val="32"/>
          <w:highlight w:val="none"/>
          <w:lang w:val="en-US" w:eastAsia="zh-CN"/>
        </w:rPr>
        <w:t>施工组织</w:t>
      </w:r>
      <w:r>
        <w:rPr>
          <w:rFonts w:hint="eastAsia" w:ascii="仿宋_GB2312" w:hAnsi="仿宋_GB2312" w:eastAsia="仿宋_GB2312" w:cs="仿宋_GB2312"/>
          <w:color w:val="auto"/>
          <w:kern w:val="1"/>
          <w:sz w:val="32"/>
          <w:szCs w:val="32"/>
          <w:highlight w:val="none"/>
        </w:rPr>
        <w:t>设计：</w:t>
      </w:r>
      <w:r>
        <w:rPr>
          <w:rFonts w:hint="eastAsia" w:ascii="仿宋_GB2312" w:hAnsi="仿宋_GB2312" w:eastAsia="仿宋_GB2312" w:cs="仿宋_GB2312"/>
          <w:color w:val="auto"/>
          <w:kern w:val="1"/>
          <w:sz w:val="32"/>
          <w:szCs w:val="32"/>
          <w:highlight w:val="none"/>
          <w:lang w:val="en-US" w:eastAsia="zh-CN"/>
        </w:rPr>
        <w:t>25</w:t>
      </w:r>
      <w:r>
        <w:rPr>
          <w:rFonts w:hint="eastAsia" w:ascii="仿宋_GB2312" w:hAnsi="仿宋_GB2312" w:eastAsia="仿宋_GB2312" w:cs="仿宋_GB2312"/>
          <w:color w:val="auto"/>
          <w:kern w:val="1"/>
          <w:sz w:val="32"/>
          <w:szCs w:val="32"/>
          <w:highlight w:val="none"/>
        </w:rPr>
        <w:t>分</w:t>
      </w:r>
    </w:p>
    <w:p w14:paraId="2ABF96E2">
      <w:pPr>
        <w:spacing w:line="360" w:lineRule="auto"/>
        <w:ind w:firstLine="640" w:firstLineChars="200"/>
        <w:contextualSpacing/>
        <w:jc w:val="both"/>
        <w:rPr>
          <w:rFonts w:hint="eastAsia" w:ascii="仿宋_GB2312" w:hAnsi="仿宋_GB2312" w:eastAsia="仿宋_GB2312" w:cs="仿宋_GB2312"/>
          <w:color w:val="auto"/>
          <w:kern w:val="1"/>
          <w:sz w:val="32"/>
          <w:szCs w:val="32"/>
          <w:highlight w:val="none"/>
        </w:rPr>
      </w:pPr>
      <w:r>
        <w:rPr>
          <w:rFonts w:hint="eastAsia" w:ascii="仿宋_GB2312" w:hAnsi="仿宋_GB2312" w:eastAsia="仿宋_GB2312" w:cs="仿宋_GB2312"/>
          <w:color w:val="auto"/>
          <w:kern w:val="1"/>
          <w:sz w:val="32"/>
          <w:szCs w:val="32"/>
          <w:highlight w:val="none"/>
        </w:rPr>
        <w:t>（2）主要管理人员：25分</w:t>
      </w:r>
    </w:p>
    <w:p w14:paraId="1CD6A09B">
      <w:pPr>
        <w:spacing w:line="360" w:lineRule="auto"/>
        <w:ind w:firstLine="640" w:firstLineChars="200"/>
        <w:contextualSpacing/>
        <w:jc w:val="both"/>
        <w:rPr>
          <w:rFonts w:hint="eastAsia" w:ascii="仿宋_GB2312" w:hAnsi="仿宋_GB2312" w:eastAsia="仿宋_GB2312" w:cs="仿宋_GB2312"/>
          <w:color w:val="auto"/>
          <w:kern w:val="1"/>
          <w:sz w:val="32"/>
          <w:szCs w:val="32"/>
          <w:highlight w:val="none"/>
        </w:rPr>
      </w:pPr>
      <w:r>
        <w:rPr>
          <w:rFonts w:hint="eastAsia" w:ascii="仿宋_GB2312" w:hAnsi="仿宋_GB2312" w:eastAsia="仿宋_GB2312" w:cs="仿宋_GB2312"/>
          <w:color w:val="auto"/>
          <w:kern w:val="1"/>
          <w:sz w:val="32"/>
          <w:szCs w:val="32"/>
          <w:highlight w:val="none"/>
        </w:rPr>
        <w:t>（3）技术能力：10分</w:t>
      </w:r>
    </w:p>
    <w:p w14:paraId="063694A1">
      <w:pPr>
        <w:spacing w:line="360" w:lineRule="auto"/>
        <w:ind w:firstLine="640" w:firstLineChars="200"/>
        <w:contextualSpacing/>
        <w:jc w:val="both"/>
        <w:rPr>
          <w:rFonts w:hint="eastAsia" w:ascii="仿宋_GB2312" w:hAnsi="仿宋_GB2312" w:eastAsia="仿宋_GB2312" w:cs="仿宋_GB2312"/>
          <w:color w:val="auto"/>
          <w:kern w:val="1"/>
          <w:sz w:val="32"/>
          <w:szCs w:val="32"/>
          <w:highlight w:val="none"/>
        </w:rPr>
      </w:pPr>
      <w:r>
        <w:rPr>
          <w:rFonts w:hint="eastAsia" w:ascii="仿宋_GB2312" w:hAnsi="仿宋_GB2312" w:eastAsia="仿宋_GB2312" w:cs="仿宋_GB2312"/>
          <w:color w:val="auto"/>
          <w:kern w:val="1"/>
          <w:sz w:val="32"/>
          <w:szCs w:val="32"/>
          <w:highlight w:val="none"/>
        </w:rPr>
        <w:t>（4）履约信誉：15分</w:t>
      </w:r>
    </w:p>
    <w:p w14:paraId="3910A964">
      <w:pPr>
        <w:spacing w:line="360" w:lineRule="auto"/>
        <w:ind w:firstLine="640" w:firstLineChars="200"/>
        <w:contextualSpacing/>
        <w:jc w:val="both"/>
        <w:rPr>
          <w:rFonts w:hint="eastAsia" w:ascii="仿宋_GB2312" w:hAnsi="仿宋_GB2312" w:eastAsia="仿宋_GB2312" w:cs="仿宋_GB2312"/>
          <w:color w:val="auto"/>
          <w:kern w:val="1"/>
          <w:sz w:val="32"/>
          <w:szCs w:val="32"/>
          <w:highlight w:val="none"/>
        </w:rPr>
      </w:pPr>
      <w:r>
        <w:rPr>
          <w:rFonts w:hint="eastAsia" w:ascii="仿宋_GB2312" w:hAnsi="仿宋_GB2312" w:eastAsia="仿宋_GB2312" w:cs="仿宋_GB2312"/>
          <w:color w:val="auto"/>
          <w:kern w:val="1"/>
          <w:sz w:val="32"/>
          <w:szCs w:val="32"/>
          <w:highlight w:val="none"/>
        </w:rPr>
        <w:t>（5）业绩：</w:t>
      </w:r>
      <w:r>
        <w:rPr>
          <w:rFonts w:hint="eastAsia" w:ascii="仿宋_GB2312" w:hAnsi="仿宋_GB2312" w:eastAsia="仿宋_GB2312" w:cs="仿宋_GB2312"/>
          <w:color w:val="auto"/>
          <w:kern w:val="1"/>
          <w:sz w:val="32"/>
          <w:szCs w:val="32"/>
          <w:highlight w:val="none"/>
          <w:lang w:val="en-US" w:eastAsia="zh-CN"/>
        </w:rPr>
        <w:t>25</w:t>
      </w:r>
      <w:r>
        <w:rPr>
          <w:rFonts w:hint="eastAsia" w:ascii="仿宋_GB2312" w:hAnsi="仿宋_GB2312" w:eastAsia="仿宋_GB2312" w:cs="仿宋_GB2312"/>
          <w:color w:val="auto"/>
          <w:kern w:val="1"/>
          <w:sz w:val="32"/>
          <w:szCs w:val="32"/>
          <w:highlight w:val="none"/>
        </w:rPr>
        <w:t>分</w:t>
      </w:r>
    </w:p>
    <w:p w14:paraId="4A1C9930">
      <w:pPr>
        <w:spacing w:line="360" w:lineRule="auto"/>
        <w:ind w:firstLine="640" w:firstLineChars="200"/>
        <w:contextualSpacing/>
        <w:jc w:val="both"/>
        <w:rPr>
          <w:rFonts w:hint="eastAsia" w:ascii="仿宋_GB2312" w:hAnsi="仿宋_GB2312" w:eastAsia="仿宋_GB2312" w:cs="仿宋_GB2312"/>
          <w:color w:val="auto"/>
          <w:kern w:val="1"/>
          <w:sz w:val="32"/>
          <w:szCs w:val="32"/>
          <w:highlight w:val="none"/>
        </w:rPr>
      </w:pPr>
      <w:r>
        <w:rPr>
          <w:rFonts w:hint="eastAsia" w:ascii="仿宋_GB2312" w:hAnsi="仿宋_GB2312" w:eastAsia="仿宋_GB2312" w:cs="仿宋_GB2312"/>
          <w:color w:val="auto"/>
          <w:kern w:val="1"/>
          <w:sz w:val="32"/>
          <w:szCs w:val="32"/>
          <w:highlight w:val="none"/>
        </w:rPr>
        <w:t>投标人的商务和技术得分为上述五项得分之和。</w:t>
      </w:r>
    </w:p>
    <w:p w14:paraId="356E68FA">
      <w:pPr>
        <w:spacing w:line="360" w:lineRule="auto"/>
        <w:ind w:firstLine="643" w:firstLineChars="200"/>
        <w:jc w:val="both"/>
        <w:rPr>
          <w:rFonts w:hint="eastAsia" w:ascii="仿宋" w:hAnsi="仿宋" w:eastAsia="仿宋" w:cs="仿宋_GB2312"/>
          <w:color w:val="auto"/>
          <w:sz w:val="32"/>
          <w:szCs w:val="32"/>
          <w:highlight w:val="none"/>
        </w:rPr>
      </w:pPr>
      <w:r>
        <w:rPr>
          <w:rFonts w:hint="eastAsia" w:ascii="仿宋" w:hAnsi="仿宋" w:eastAsia="仿宋" w:cs="仿宋_GB2312"/>
          <w:b/>
          <w:bCs/>
          <w:color w:val="auto"/>
          <w:sz w:val="32"/>
          <w:szCs w:val="32"/>
          <w:highlight w:val="none"/>
        </w:rPr>
        <w:t>2.评分标准</w:t>
      </w:r>
    </w:p>
    <w:p w14:paraId="6A3CE807">
      <w:pPr>
        <w:spacing w:line="360" w:lineRule="auto"/>
        <w:ind w:firstLine="640" w:firstLineChars="200"/>
        <w:contextualSpacing/>
        <w:jc w:val="both"/>
        <w:rPr>
          <w:rFonts w:hint="eastAsia" w:ascii="仿宋_GB2312" w:hAnsi="仿宋_GB2312" w:eastAsia="仿宋_GB2312" w:cs="仿宋_GB2312"/>
          <w:color w:val="auto"/>
          <w:kern w:val="1"/>
          <w:sz w:val="32"/>
          <w:szCs w:val="32"/>
          <w:highlight w:val="none"/>
        </w:rPr>
      </w:pPr>
      <w:r>
        <w:rPr>
          <w:rFonts w:hint="eastAsia" w:ascii="仿宋_GB2312" w:hAnsi="仿宋_GB2312" w:eastAsia="仿宋_GB2312" w:cs="仿宋_GB2312"/>
          <w:color w:val="auto"/>
          <w:kern w:val="1"/>
          <w:sz w:val="32"/>
          <w:szCs w:val="32"/>
          <w:highlight w:val="none"/>
        </w:rPr>
        <w:t>（1）</w:t>
      </w:r>
      <w:r>
        <w:rPr>
          <w:rFonts w:hint="eastAsia" w:ascii="仿宋_GB2312" w:hAnsi="仿宋_GB2312" w:eastAsia="仿宋_GB2312" w:cs="仿宋_GB2312"/>
          <w:b w:val="0"/>
          <w:bCs w:val="0"/>
          <w:color w:val="auto"/>
          <w:kern w:val="1"/>
          <w:sz w:val="32"/>
          <w:szCs w:val="32"/>
          <w:highlight w:val="none"/>
          <w:lang w:val="en-US" w:eastAsia="zh-CN"/>
        </w:rPr>
        <w:t>施工组织设计：</w:t>
      </w:r>
      <w:r>
        <w:rPr>
          <w:rFonts w:hint="eastAsia" w:ascii="仿宋_GB2312" w:hAnsi="仿宋_GB2312" w:eastAsia="仿宋_GB2312" w:cs="仿宋_GB2312"/>
          <w:color w:val="auto"/>
          <w:kern w:val="1"/>
          <w:sz w:val="32"/>
          <w:szCs w:val="32"/>
          <w:highlight w:val="none"/>
          <w:lang w:val="en-US" w:eastAsia="zh-CN"/>
        </w:rPr>
        <w:t>25</w:t>
      </w:r>
      <w:r>
        <w:rPr>
          <w:rFonts w:hint="eastAsia" w:ascii="仿宋_GB2312" w:hAnsi="仿宋_GB2312" w:eastAsia="仿宋_GB2312" w:cs="仿宋_GB2312"/>
          <w:color w:val="auto"/>
          <w:kern w:val="1"/>
          <w:sz w:val="32"/>
          <w:szCs w:val="32"/>
          <w:highlight w:val="none"/>
        </w:rPr>
        <w:t>分</w:t>
      </w:r>
    </w:p>
    <w:tbl>
      <w:tblPr>
        <w:tblStyle w:val="6"/>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3633"/>
        <w:gridCol w:w="778"/>
        <w:gridCol w:w="4943"/>
      </w:tblGrid>
      <w:tr w14:paraId="0F4739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blHeader/>
        </w:trPr>
        <w:tc>
          <w:tcPr>
            <w:tcW w:w="3633" w:type="dxa"/>
            <w:noWrap w:val="0"/>
            <w:vAlign w:val="center"/>
          </w:tcPr>
          <w:p w14:paraId="5100E2DE">
            <w:pPr>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评分项目</w:t>
            </w:r>
          </w:p>
        </w:tc>
        <w:tc>
          <w:tcPr>
            <w:tcW w:w="778" w:type="dxa"/>
            <w:noWrap w:val="0"/>
            <w:vAlign w:val="center"/>
          </w:tcPr>
          <w:p w14:paraId="33C17B65">
            <w:pPr>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分值</w:t>
            </w:r>
          </w:p>
        </w:tc>
        <w:tc>
          <w:tcPr>
            <w:tcW w:w="4943" w:type="dxa"/>
            <w:noWrap w:val="0"/>
            <w:vAlign w:val="center"/>
          </w:tcPr>
          <w:p w14:paraId="658630C0">
            <w:pPr>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评分标准</w:t>
            </w:r>
          </w:p>
        </w:tc>
      </w:tr>
      <w:tr w14:paraId="0C7479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633" w:type="dxa"/>
            <w:noWrap w:val="0"/>
            <w:vAlign w:val="center"/>
          </w:tcPr>
          <w:p w14:paraId="56A6C5BD">
            <w:pPr>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总体施工组织布置及规划</w:t>
            </w:r>
          </w:p>
        </w:tc>
        <w:tc>
          <w:tcPr>
            <w:tcW w:w="778" w:type="dxa"/>
            <w:noWrap w:val="0"/>
            <w:vAlign w:val="center"/>
          </w:tcPr>
          <w:p w14:paraId="5DDC1D12">
            <w:pPr>
              <w:jc w:val="both"/>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4</w:t>
            </w:r>
          </w:p>
        </w:tc>
        <w:tc>
          <w:tcPr>
            <w:tcW w:w="4943" w:type="dxa"/>
            <w:noWrap w:val="0"/>
            <w:vAlign w:val="center"/>
          </w:tcPr>
          <w:p w14:paraId="7462CCEC">
            <w:pPr>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好计3.6～4分；较好计2.8～3.6分；基本满足要求得2.4～2.8分。</w:t>
            </w:r>
          </w:p>
        </w:tc>
      </w:tr>
      <w:tr w14:paraId="75A550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633" w:type="dxa"/>
            <w:noWrap w:val="0"/>
            <w:vAlign w:val="center"/>
          </w:tcPr>
          <w:p w14:paraId="1C984F76">
            <w:pPr>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主要工程项目的施工方案、方法与技术措施（特别对重点、关键和难点工程）</w:t>
            </w:r>
          </w:p>
        </w:tc>
        <w:tc>
          <w:tcPr>
            <w:tcW w:w="778" w:type="dxa"/>
            <w:noWrap w:val="0"/>
            <w:vAlign w:val="center"/>
          </w:tcPr>
          <w:p w14:paraId="3B5BAD48">
            <w:pPr>
              <w:jc w:val="both"/>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4</w:t>
            </w:r>
          </w:p>
        </w:tc>
        <w:tc>
          <w:tcPr>
            <w:tcW w:w="4943" w:type="dxa"/>
            <w:noWrap w:val="0"/>
            <w:vAlign w:val="center"/>
          </w:tcPr>
          <w:p w14:paraId="4029475A">
            <w:pPr>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好计3.6～4分；较好计2.8～3.6分；基本满足要求得2.4～2.8分。</w:t>
            </w:r>
          </w:p>
        </w:tc>
      </w:tr>
      <w:tr w14:paraId="24B496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633" w:type="dxa"/>
            <w:noWrap w:val="0"/>
            <w:vAlign w:val="center"/>
          </w:tcPr>
          <w:p w14:paraId="319A8597">
            <w:pPr>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工期、质量、安全生产管理体系及保证措施</w:t>
            </w:r>
          </w:p>
        </w:tc>
        <w:tc>
          <w:tcPr>
            <w:tcW w:w="778" w:type="dxa"/>
            <w:noWrap w:val="0"/>
            <w:vAlign w:val="center"/>
          </w:tcPr>
          <w:p w14:paraId="7DE92F69">
            <w:pPr>
              <w:jc w:val="both"/>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4</w:t>
            </w:r>
          </w:p>
        </w:tc>
        <w:tc>
          <w:tcPr>
            <w:tcW w:w="4943" w:type="dxa"/>
            <w:noWrap w:val="0"/>
            <w:vAlign w:val="center"/>
          </w:tcPr>
          <w:p w14:paraId="00CFA5A1">
            <w:pPr>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好计3.6～4分；较好计2.8～3.6分；基本满足要求得2.4～2.8分。</w:t>
            </w:r>
          </w:p>
        </w:tc>
      </w:tr>
      <w:tr w14:paraId="588320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633" w:type="dxa"/>
            <w:noWrap w:val="0"/>
            <w:vAlign w:val="center"/>
          </w:tcPr>
          <w:p w14:paraId="18C3FFA0">
            <w:pPr>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环境保护、文明施工、支付保障管理体系及保证措施</w:t>
            </w:r>
          </w:p>
        </w:tc>
        <w:tc>
          <w:tcPr>
            <w:tcW w:w="778" w:type="dxa"/>
            <w:noWrap w:val="0"/>
            <w:vAlign w:val="center"/>
          </w:tcPr>
          <w:p w14:paraId="6AC9459C">
            <w:pPr>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p>
        </w:tc>
        <w:tc>
          <w:tcPr>
            <w:tcW w:w="4943" w:type="dxa"/>
            <w:noWrap w:val="0"/>
            <w:vAlign w:val="center"/>
          </w:tcPr>
          <w:p w14:paraId="27262BD8">
            <w:pPr>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好计3.6～4分；较好计2.8～3.6分；基本满足要求得2.4～2.8分。</w:t>
            </w:r>
          </w:p>
        </w:tc>
      </w:tr>
      <w:tr w14:paraId="119ADC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633" w:type="dxa"/>
            <w:noWrap w:val="0"/>
            <w:vAlign w:val="center"/>
          </w:tcPr>
          <w:p w14:paraId="1E93B1DB">
            <w:pPr>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各项工程之间的管理协调方案及措施</w:t>
            </w:r>
          </w:p>
        </w:tc>
        <w:tc>
          <w:tcPr>
            <w:tcW w:w="778" w:type="dxa"/>
            <w:noWrap w:val="0"/>
            <w:vAlign w:val="center"/>
          </w:tcPr>
          <w:p w14:paraId="3ABAE4D1">
            <w:pPr>
              <w:jc w:val="both"/>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3</w:t>
            </w:r>
          </w:p>
        </w:tc>
        <w:tc>
          <w:tcPr>
            <w:tcW w:w="4943" w:type="dxa"/>
            <w:noWrap w:val="0"/>
            <w:vAlign w:val="center"/>
          </w:tcPr>
          <w:p w14:paraId="7E04D176">
            <w:pPr>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好计</w:t>
            </w:r>
            <w:r>
              <w:rPr>
                <w:rFonts w:hint="eastAsia" w:ascii="仿宋" w:hAnsi="仿宋" w:eastAsia="仿宋" w:cs="仿宋"/>
                <w:color w:val="auto"/>
                <w:sz w:val="24"/>
                <w:highlight w:val="none"/>
                <w:lang w:val="en-US" w:eastAsia="zh-CN"/>
              </w:rPr>
              <w:t>2.7</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分；较好计2.</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2.4</w:t>
            </w:r>
            <w:r>
              <w:rPr>
                <w:rFonts w:hint="eastAsia" w:ascii="仿宋" w:hAnsi="仿宋" w:eastAsia="仿宋" w:cs="仿宋"/>
                <w:color w:val="auto"/>
                <w:sz w:val="24"/>
                <w:highlight w:val="none"/>
              </w:rPr>
              <w:t>分；基本满足要求得2.</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.8分。</w:t>
            </w:r>
          </w:p>
        </w:tc>
      </w:tr>
      <w:tr w14:paraId="7EF26F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0" w:hRule="atLeast"/>
        </w:trPr>
        <w:tc>
          <w:tcPr>
            <w:tcW w:w="3633" w:type="dxa"/>
            <w:noWrap w:val="0"/>
            <w:vAlign w:val="center"/>
          </w:tcPr>
          <w:p w14:paraId="103EDA61">
            <w:pPr>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本工程风险预测与防范</w:t>
            </w:r>
          </w:p>
        </w:tc>
        <w:tc>
          <w:tcPr>
            <w:tcW w:w="778" w:type="dxa"/>
            <w:noWrap w:val="0"/>
            <w:vAlign w:val="center"/>
          </w:tcPr>
          <w:p w14:paraId="205D1DE0">
            <w:pPr>
              <w:jc w:val="both"/>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3</w:t>
            </w:r>
          </w:p>
        </w:tc>
        <w:tc>
          <w:tcPr>
            <w:tcW w:w="4943" w:type="dxa"/>
            <w:noWrap w:val="0"/>
            <w:vAlign w:val="center"/>
          </w:tcPr>
          <w:p w14:paraId="3C8E0257">
            <w:pPr>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好计</w:t>
            </w:r>
            <w:r>
              <w:rPr>
                <w:rFonts w:hint="eastAsia" w:ascii="仿宋" w:hAnsi="仿宋" w:eastAsia="仿宋" w:cs="仿宋"/>
                <w:color w:val="auto"/>
                <w:sz w:val="24"/>
                <w:highlight w:val="none"/>
                <w:lang w:val="en-US" w:eastAsia="zh-CN"/>
              </w:rPr>
              <w:t>2.7</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分；较好计2.</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2.4</w:t>
            </w:r>
            <w:r>
              <w:rPr>
                <w:rFonts w:hint="eastAsia" w:ascii="仿宋" w:hAnsi="仿宋" w:eastAsia="仿宋" w:cs="仿宋"/>
                <w:color w:val="auto"/>
                <w:sz w:val="24"/>
                <w:highlight w:val="none"/>
              </w:rPr>
              <w:t>分；基本满足要求得2.</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.8分。</w:t>
            </w:r>
          </w:p>
        </w:tc>
      </w:tr>
      <w:tr w14:paraId="185AA8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633" w:type="dxa"/>
            <w:noWrap w:val="0"/>
            <w:vAlign w:val="center"/>
          </w:tcPr>
          <w:p w14:paraId="5DA03329">
            <w:pPr>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品质工程及“五化”管理实施方案</w:t>
            </w:r>
          </w:p>
        </w:tc>
        <w:tc>
          <w:tcPr>
            <w:tcW w:w="778" w:type="dxa"/>
            <w:noWrap w:val="0"/>
            <w:vAlign w:val="center"/>
          </w:tcPr>
          <w:p w14:paraId="7EACED9F">
            <w:pPr>
              <w:jc w:val="both"/>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3</w:t>
            </w:r>
          </w:p>
        </w:tc>
        <w:tc>
          <w:tcPr>
            <w:tcW w:w="4943" w:type="dxa"/>
            <w:noWrap w:val="0"/>
            <w:vAlign w:val="center"/>
          </w:tcPr>
          <w:p w14:paraId="0B612C68">
            <w:pPr>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好计</w:t>
            </w:r>
            <w:r>
              <w:rPr>
                <w:rFonts w:hint="eastAsia" w:ascii="仿宋" w:hAnsi="仿宋" w:eastAsia="仿宋" w:cs="仿宋"/>
                <w:color w:val="auto"/>
                <w:sz w:val="24"/>
                <w:highlight w:val="none"/>
                <w:lang w:val="en-US" w:eastAsia="zh-CN"/>
              </w:rPr>
              <w:t>2.7</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分；较好计2.</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2.4</w:t>
            </w:r>
            <w:r>
              <w:rPr>
                <w:rFonts w:hint="eastAsia" w:ascii="仿宋" w:hAnsi="仿宋" w:eastAsia="仿宋" w:cs="仿宋"/>
                <w:color w:val="auto"/>
                <w:sz w:val="24"/>
                <w:highlight w:val="none"/>
              </w:rPr>
              <w:t>分；基本满足要求得2.</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.8分。</w:t>
            </w:r>
          </w:p>
        </w:tc>
      </w:tr>
    </w:tbl>
    <w:p w14:paraId="71174934">
      <w:pPr>
        <w:spacing w:line="560" w:lineRule="exact"/>
        <w:ind w:firstLine="640" w:firstLineChars="200"/>
        <w:contextualSpacing/>
        <w:jc w:val="both"/>
        <w:rPr>
          <w:rFonts w:hint="eastAsia" w:ascii="仿宋_GB2312" w:hAnsi="仿宋_GB2312" w:eastAsia="仿宋_GB2312" w:cs="仿宋_GB2312"/>
          <w:color w:val="auto"/>
          <w:kern w:val="1"/>
          <w:sz w:val="32"/>
          <w:szCs w:val="32"/>
          <w:highlight w:val="none"/>
        </w:rPr>
      </w:pPr>
      <w:r>
        <w:rPr>
          <w:rFonts w:hint="eastAsia" w:ascii="仿宋_GB2312" w:hAnsi="仿宋_GB2312" w:eastAsia="仿宋_GB2312" w:cs="仿宋_GB2312"/>
          <w:color w:val="auto"/>
          <w:kern w:val="1"/>
          <w:sz w:val="32"/>
          <w:szCs w:val="32"/>
          <w:highlight w:val="none"/>
        </w:rPr>
        <w:t>（2）主要管理人员：25分</w:t>
      </w:r>
    </w:p>
    <w:tbl>
      <w:tblPr>
        <w:tblStyle w:val="6"/>
        <w:tblW w:w="93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1"/>
        <w:gridCol w:w="1295"/>
        <w:gridCol w:w="982"/>
        <w:gridCol w:w="5696"/>
      </w:tblGrid>
      <w:tr w14:paraId="51A53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676" w:type="dxa"/>
            <w:gridSpan w:val="2"/>
            <w:noWrap w:val="0"/>
            <w:vAlign w:val="center"/>
          </w:tcPr>
          <w:p w14:paraId="77B3E6F3">
            <w:pPr>
              <w:jc w:val="both"/>
              <w:rPr>
                <w:rFonts w:hint="eastAsia" w:ascii="仿宋" w:hAnsi="仿宋" w:eastAsia="仿宋"/>
                <w:b/>
                <w:bCs/>
                <w:color w:val="auto"/>
                <w:sz w:val="24"/>
                <w:highlight w:val="none"/>
              </w:rPr>
            </w:pPr>
            <w:r>
              <w:rPr>
                <w:rFonts w:hint="eastAsia" w:ascii="仿宋" w:hAnsi="仿宋" w:eastAsia="仿宋" w:cs="仿宋"/>
                <w:b/>
                <w:bCs/>
                <w:color w:val="auto"/>
                <w:sz w:val="24"/>
                <w:highlight w:val="none"/>
              </w:rPr>
              <w:t>评分项目</w:t>
            </w:r>
          </w:p>
        </w:tc>
        <w:tc>
          <w:tcPr>
            <w:tcW w:w="982" w:type="dxa"/>
            <w:noWrap w:val="0"/>
            <w:vAlign w:val="center"/>
          </w:tcPr>
          <w:p w14:paraId="3F862221">
            <w:pPr>
              <w:jc w:val="both"/>
              <w:rPr>
                <w:rFonts w:hint="eastAsia" w:ascii="仿宋" w:hAnsi="仿宋" w:eastAsia="仿宋"/>
                <w:b/>
                <w:bCs/>
                <w:color w:val="auto"/>
                <w:sz w:val="24"/>
                <w:highlight w:val="none"/>
              </w:rPr>
            </w:pPr>
            <w:r>
              <w:rPr>
                <w:rFonts w:hint="eastAsia" w:ascii="仿宋" w:hAnsi="仿宋" w:eastAsia="仿宋"/>
                <w:b/>
                <w:bCs/>
                <w:color w:val="auto"/>
                <w:sz w:val="24"/>
                <w:highlight w:val="none"/>
              </w:rPr>
              <w:t>分值</w:t>
            </w:r>
          </w:p>
        </w:tc>
        <w:tc>
          <w:tcPr>
            <w:tcW w:w="5696" w:type="dxa"/>
            <w:noWrap w:val="0"/>
            <w:vAlign w:val="center"/>
          </w:tcPr>
          <w:p w14:paraId="7772B19D">
            <w:pPr>
              <w:jc w:val="both"/>
              <w:rPr>
                <w:rFonts w:hint="eastAsia" w:ascii="仿宋" w:hAnsi="仿宋" w:eastAsia="仿宋"/>
                <w:b/>
                <w:bCs/>
                <w:color w:val="auto"/>
                <w:sz w:val="24"/>
                <w:highlight w:val="none"/>
              </w:rPr>
            </w:pPr>
            <w:r>
              <w:rPr>
                <w:rFonts w:hint="eastAsia" w:ascii="仿宋" w:hAnsi="仿宋" w:eastAsia="仿宋"/>
                <w:b/>
                <w:bCs/>
                <w:color w:val="auto"/>
                <w:sz w:val="24"/>
                <w:highlight w:val="none"/>
              </w:rPr>
              <w:t>评分标准</w:t>
            </w:r>
          </w:p>
        </w:tc>
      </w:tr>
      <w:tr w14:paraId="02250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676" w:type="dxa"/>
            <w:gridSpan w:val="2"/>
            <w:noWrap w:val="0"/>
            <w:vAlign w:val="center"/>
          </w:tcPr>
          <w:p w14:paraId="6400F638">
            <w:pPr>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满足资格</w:t>
            </w:r>
          </w:p>
          <w:p w14:paraId="2F02609A">
            <w:pPr>
              <w:jc w:val="both"/>
              <w:rPr>
                <w:rFonts w:hint="eastAsia" w:ascii="仿宋" w:hAnsi="仿宋" w:eastAsia="仿宋" w:cs="仿宋"/>
                <w:b/>
                <w:bCs/>
                <w:color w:val="auto"/>
                <w:sz w:val="24"/>
                <w:highlight w:val="none"/>
              </w:rPr>
            </w:pPr>
            <w:r>
              <w:rPr>
                <w:rFonts w:hint="eastAsia" w:ascii="仿宋" w:hAnsi="仿宋" w:eastAsia="仿宋" w:cs="仿宋"/>
                <w:color w:val="auto"/>
                <w:sz w:val="24"/>
                <w:highlight w:val="none"/>
              </w:rPr>
              <w:t>审查条件</w:t>
            </w:r>
          </w:p>
        </w:tc>
        <w:tc>
          <w:tcPr>
            <w:tcW w:w="982" w:type="dxa"/>
            <w:noWrap w:val="0"/>
            <w:vAlign w:val="center"/>
          </w:tcPr>
          <w:p w14:paraId="13C39043">
            <w:pPr>
              <w:jc w:val="both"/>
              <w:rPr>
                <w:rFonts w:hint="eastAsia" w:ascii="仿宋" w:hAnsi="仿宋" w:eastAsia="仿宋"/>
                <w:b/>
                <w:bCs/>
                <w:color w:val="auto"/>
                <w:sz w:val="24"/>
                <w:highlight w:val="none"/>
              </w:rPr>
            </w:pPr>
            <w:r>
              <w:rPr>
                <w:rFonts w:hint="eastAsia" w:ascii="仿宋" w:hAnsi="仿宋" w:eastAsia="仿宋"/>
                <w:color w:val="auto"/>
                <w:sz w:val="24"/>
                <w:highlight w:val="none"/>
              </w:rPr>
              <w:t>15</w:t>
            </w:r>
          </w:p>
        </w:tc>
        <w:tc>
          <w:tcPr>
            <w:tcW w:w="5696" w:type="dxa"/>
            <w:noWrap w:val="0"/>
            <w:vAlign w:val="center"/>
          </w:tcPr>
          <w:p w14:paraId="709A1F94">
            <w:pPr>
              <w:jc w:val="both"/>
              <w:rPr>
                <w:rFonts w:hint="eastAsia" w:ascii="仿宋" w:hAnsi="仿宋" w:eastAsia="仿宋"/>
                <w:b/>
                <w:bCs/>
                <w:color w:val="auto"/>
                <w:sz w:val="24"/>
                <w:highlight w:val="none"/>
              </w:rPr>
            </w:pPr>
            <w:r>
              <w:rPr>
                <w:rFonts w:hint="eastAsia" w:ascii="仿宋" w:hAnsi="仿宋" w:eastAsia="仿宋" w:cs="仿宋"/>
                <w:color w:val="auto"/>
                <w:sz w:val="24"/>
                <w:highlight w:val="none"/>
              </w:rPr>
              <w:t>通过资格评审即得15分</w:t>
            </w:r>
          </w:p>
        </w:tc>
      </w:tr>
      <w:tr w14:paraId="73D68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 w:hRule="atLeast"/>
        </w:trPr>
        <w:tc>
          <w:tcPr>
            <w:tcW w:w="1381" w:type="dxa"/>
            <w:vMerge w:val="restart"/>
            <w:noWrap w:val="0"/>
            <w:vAlign w:val="center"/>
          </w:tcPr>
          <w:p w14:paraId="3A431928">
            <w:pPr>
              <w:jc w:val="both"/>
              <w:rPr>
                <w:rFonts w:ascii="仿宋" w:hAnsi="仿宋" w:eastAsia="仿宋" w:cs="仿宋"/>
                <w:color w:val="auto"/>
                <w:sz w:val="24"/>
                <w:highlight w:val="none"/>
              </w:rPr>
            </w:pPr>
            <w:r>
              <w:rPr>
                <w:rFonts w:hint="eastAsia" w:ascii="仿宋" w:hAnsi="仿宋" w:eastAsia="仿宋" w:cs="仿宋"/>
                <w:color w:val="auto"/>
                <w:sz w:val="24"/>
                <w:highlight w:val="none"/>
              </w:rPr>
              <w:t>加分项</w:t>
            </w:r>
          </w:p>
        </w:tc>
        <w:tc>
          <w:tcPr>
            <w:tcW w:w="1295" w:type="dxa"/>
            <w:noWrap w:val="0"/>
            <w:vAlign w:val="center"/>
          </w:tcPr>
          <w:p w14:paraId="0BCFA41E">
            <w:pPr>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项目经理</w:t>
            </w:r>
          </w:p>
        </w:tc>
        <w:tc>
          <w:tcPr>
            <w:tcW w:w="982" w:type="dxa"/>
            <w:noWrap w:val="0"/>
            <w:vAlign w:val="center"/>
          </w:tcPr>
          <w:p w14:paraId="25FD9DAB">
            <w:pPr>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6</w:t>
            </w:r>
          </w:p>
        </w:tc>
        <w:tc>
          <w:tcPr>
            <w:tcW w:w="5696" w:type="dxa"/>
            <w:noWrap w:val="0"/>
            <w:vAlign w:val="center"/>
          </w:tcPr>
          <w:p w14:paraId="64C0DBCB">
            <w:pPr>
              <w:jc w:val="both"/>
              <w:rPr>
                <w:rFonts w:ascii="仿宋" w:hAnsi="仿宋" w:eastAsia="仿宋" w:cs="仿宋"/>
                <w:color w:val="auto"/>
                <w:sz w:val="24"/>
                <w:highlight w:val="none"/>
              </w:rPr>
            </w:pPr>
            <w:r>
              <w:rPr>
                <w:rFonts w:hint="eastAsia" w:ascii="仿宋" w:hAnsi="仿宋" w:eastAsia="仿宋" w:cs="仿宋"/>
                <w:color w:val="auto"/>
                <w:sz w:val="24"/>
                <w:highlight w:val="none"/>
              </w:rPr>
              <w:t>除满足基本要求外，每增加1个新建</w:t>
            </w:r>
            <w:r>
              <w:rPr>
                <w:rFonts w:hint="eastAsia" w:ascii="仿宋" w:hAnsi="仿宋" w:eastAsia="仿宋" w:cs="仿宋"/>
                <w:color w:val="auto"/>
                <w:sz w:val="24"/>
                <w:highlight w:val="none"/>
                <w:lang w:val="en-US" w:eastAsia="zh-CN"/>
              </w:rPr>
              <w:t>或改扩建</w:t>
            </w:r>
            <w:r>
              <w:rPr>
                <w:rFonts w:hint="eastAsia" w:ascii="仿宋" w:hAnsi="仿宋" w:eastAsia="仿宋" w:cs="仿宋"/>
                <w:color w:val="auto"/>
                <w:sz w:val="24"/>
                <w:highlight w:val="none"/>
              </w:rPr>
              <w:t>高速公路项目</w:t>
            </w:r>
            <w:r>
              <w:rPr>
                <w:rFonts w:hint="eastAsia" w:ascii="仿宋" w:hAnsi="仿宋" w:eastAsia="仿宋" w:cs="仿宋"/>
                <w:color w:val="auto"/>
                <w:sz w:val="24"/>
                <w:highlight w:val="none"/>
                <w:lang w:val="en-US" w:eastAsia="zh-CN"/>
              </w:rPr>
              <w:t>土建</w:t>
            </w:r>
            <w:r>
              <w:rPr>
                <w:rFonts w:hint="eastAsia" w:ascii="仿宋" w:hAnsi="仿宋" w:eastAsia="仿宋" w:cs="仿宋"/>
                <w:color w:val="auto"/>
                <w:sz w:val="24"/>
                <w:highlight w:val="none"/>
              </w:rPr>
              <w:t>工程施工合同段项目经理经历加</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分，最多加6分。</w:t>
            </w:r>
          </w:p>
        </w:tc>
      </w:tr>
      <w:tr w14:paraId="187B9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1" w:hRule="atLeast"/>
        </w:trPr>
        <w:tc>
          <w:tcPr>
            <w:tcW w:w="1381" w:type="dxa"/>
            <w:vMerge w:val="continue"/>
            <w:noWrap w:val="0"/>
            <w:vAlign w:val="center"/>
          </w:tcPr>
          <w:p w14:paraId="481E43C0">
            <w:pPr>
              <w:jc w:val="both"/>
              <w:rPr>
                <w:rFonts w:hint="eastAsia" w:ascii="仿宋" w:hAnsi="仿宋" w:eastAsia="仿宋" w:cs="仿宋"/>
                <w:color w:val="auto"/>
                <w:sz w:val="24"/>
                <w:highlight w:val="none"/>
              </w:rPr>
            </w:pPr>
          </w:p>
        </w:tc>
        <w:tc>
          <w:tcPr>
            <w:tcW w:w="1295" w:type="dxa"/>
            <w:noWrap w:val="0"/>
            <w:vAlign w:val="center"/>
          </w:tcPr>
          <w:p w14:paraId="71BE1DDE">
            <w:pPr>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项目总工</w:t>
            </w:r>
          </w:p>
        </w:tc>
        <w:tc>
          <w:tcPr>
            <w:tcW w:w="982" w:type="dxa"/>
            <w:noWrap w:val="0"/>
            <w:vAlign w:val="center"/>
          </w:tcPr>
          <w:p w14:paraId="1642E80E">
            <w:pPr>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p>
        </w:tc>
        <w:tc>
          <w:tcPr>
            <w:tcW w:w="5696" w:type="dxa"/>
            <w:noWrap w:val="0"/>
            <w:vAlign w:val="center"/>
          </w:tcPr>
          <w:p w14:paraId="1C1DAAAB">
            <w:pPr>
              <w:jc w:val="both"/>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除满足基本要求外，每增加1个新建</w:t>
            </w:r>
            <w:r>
              <w:rPr>
                <w:rFonts w:hint="eastAsia" w:ascii="仿宋" w:hAnsi="仿宋" w:eastAsia="仿宋" w:cs="仿宋"/>
                <w:color w:val="auto"/>
                <w:sz w:val="24"/>
                <w:highlight w:val="none"/>
                <w:lang w:val="en-US" w:eastAsia="zh-CN"/>
              </w:rPr>
              <w:t>或改扩建</w:t>
            </w:r>
            <w:r>
              <w:rPr>
                <w:rFonts w:hint="eastAsia" w:ascii="仿宋" w:hAnsi="仿宋" w:eastAsia="仿宋" w:cs="仿宋"/>
                <w:color w:val="auto"/>
                <w:sz w:val="24"/>
                <w:highlight w:val="none"/>
              </w:rPr>
              <w:t>高速公路项目</w:t>
            </w:r>
            <w:r>
              <w:rPr>
                <w:rFonts w:hint="eastAsia" w:ascii="仿宋" w:hAnsi="仿宋" w:eastAsia="仿宋" w:cs="仿宋"/>
                <w:color w:val="auto"/>
                <w:sz w:val="24"/>
                <w:highlight w:val="none"/>
                <w:lang w:val="en-US" w:eastAsia="zh-CN"/>
              </w:rPr>
              <w:t>土建</w:t>
            </w:r>
            <w:r>
              <w:rPr>
                <w:rFonts w:hint="eastAsia" w:ascii="仿宋" w:hAnsi="仿宋" w:eastAsia="仿宋" w:cs="仿宋"/>
                <w:color w:val="auto"/>
                <w:sz w:val="24"/>
                <w:highlight w:val="none"/>
              </w:rPr>
              <w:t>工程施工合同段项目总工经历加</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分，最多加4分。</w:t>
            </w:r>
            <w:r>
              <w:rPr>
                <w:rFonts w:hint="eastAsia" w:ascii="仿宋" w:hAnsi="仿宋" w:eastAsia="仿宋" w:cs="仿宋"/>
                <w:color w:val="auto"/>
                <w:sz w:val="24"/>
                <w:highlight w:val="none"/>
                <w:lang w:val="en-US" w:eastAsia="zh-CN"/>
              </w:rPr>
              <w:t xml:space="preserve"> </w:t>
            </w:r>
          </w:p>
        </w:tc>
      </w:tr>
    </w:tbl>
    <w:p w14:paraId="28D0C406">
      <w:pPr>
        <w:spacing w:line="560" w:lineRule="exact"/>
        <w:ind w:firstLine="640" w:firstLineChars="200"/>
        <w:contextualSpacing/>
        <w:jc w:val="both"/>
        <w:rPr>
          <w:rFonts w:hint="eastAsia" w:ascii="仿宋_GB2312" w:hAnsi="仿宋_GB2312" w:eastAsia="仿宋_GB2312" w:cs="仿宋_GB2312"/>
          <w:color w:val="auto"/>
          <w:kern w:val="1"/>
          <w:sz w:val="32"/>
          <w:szCs w:val="32"/>
          <w:highlight w:val="none"/>
        </w:rPr>
      </w:pPr>
      <w:r>
        <w:rPr>
          <w:rFonts w:hint="eastAsia" w:ascii="仿宋_GB2312" w:hAnsi="仿宋_GB2312" w:eastAsia="仿宋_GB2312" w:cs="仿宋_GB2312"/>
          <w:color w:val="auto"/>
          <w:kern w:val="1"/>
          <w:sz w:val="32"/>
          <w:szCs w:val="32"/>
          <w:highlight w:val="none"/>
        </w:rPr>
        <w:t>（3）技术能力：10分</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5"/>
        <w:gridCol w:w="705"/>
        <w:gridCol w:w="7104"/>
      </w:tblGrid>
      <w:tr w14:paraId="33715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45" w:type="dxa"/>
            <w:noWrap w:val="0"/>
            <w:vAlign w:val="center"/>
          </w:tcPr>
          <w:p w14:paraId="116851F3">
            <w:pPr>
              <w:jc w:val="both"/>
              <w:rPr>
                <w:rFonts w:hint="eastAsia" w:ascii="仿宋" w:hAnsi="仿宋" w:eastAsia="仿宋"/>
                <w:b/>
                <w:bCs/>
                <w:color w:val="auto"/>
                <w:sz w:val="24"/>
                <w:highlight w:val="none"/>
              </w:rPr>
            </w:pPr>
            <w:r>
              <w:rPr>
                <w:rFonts w:hint="eastAsia" w:ascii="仿宋" w:hAnsi="仿宋" w:eastAsia="仿宋" w:cs="仿宋"/>
                <w:b/>
                <w:bCs/>
                <w:color w:val="auto"/>
                <w:sz w:val="24"/>
                <w:highlight w:val="none"/>
              </w:rPr>
              <w:t>评分项目</w:t>
            </w:r>
          </w:p>
        </w:tc>
        <w:tc>
          <w:tcPr>
            <w:tcW w:w="705" w:type="dxa"/>
            <w:noWrap w:val="0"/>
            <w:vAlign w:val="center"/>
          </w:tcPr>
          <w:p w14:paraId="6FB6A73B">
            <w:pPr>
              <w:jc w:val="both"/>
              <w:rPr>
                <w:rFonts w:hint="eastAsia" w:ascii="仿宋" w:hAnsi="仿宋" w:eastAsia="仿宋"/>
                <w:b/>
                <w:bCs/>
                <w:color w:val="auto"/>
                <w:sz w:val="24"/>
                <w:highlight w:val="none"/>
              </w:rPr>
            </w:pPr>
            <w:r>
              <w:rPr>
                <w:rFonts w:hint="eastAsia" w:ascii="仿宋" w:hAnsi="仿宋" w:eastAsia="仿宋"/>
                <w:b/>
                <w:bCs/>
                <w:color w:val="auto"/>
                <w:sz w:val="24"/>
                <w:highlight w:val="none"/>
              </w:rPr>
              <w:t>分值</w:t>
            </w:r>
          </w:p>
        </w:tc>
        <w:tc>
          <w:tcPr>
            <w:tcW w:w="7104" w:type="dxa"/>
            <w:noWrap w:val="0"/>
            <w:vAlign w:val="center"/>
          </w:tcPr>
          <w:p w14:paraId="58BD6794">
            <w:pPr>
              <w:jc w:val="both"/>
              <w:rPr>
                <w:rFonts w:hint="eastAsia" w:ascii="仿宋" w:hAnsi="仿宋" w:eastAsia="仿宋"/>
                <w:b/>
                <w:bCs/>
                <w:color w:val="auto"/>
                <w:sz w:val="24"/>
                <w:highlight w:val="none"/>
              </w:rPr>
            </w:pPr>
            <w:r>
              <w:rPr>
                <w:rFonts w:hint="eastAsia" w:ascii="仿宋" w:hAnsi="仿宋" w:eastAsia="仿宋"/>
                <w:b/>
                <w:bCs/>
                <w:color w:val="auto"/>
                <w:sz w:val="24"/>
                <w:highlight w:val="none"/>
              </w:rPr>
              <w:t>评分标准</w:t>
            </w:r>
          </w:p>
        </w:tc>
      </w:tr>
      <w:tr w14:paraId="23758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45" w:type="dxa"/>
            <w:noWrap w:val="0"/>
            <w:vAlign w:val="center"/>
          </w:tcPr>
          <w:p w14:paraId="4993E7E2">
            <w:pPr>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满足资格</w:t>
            </w:r>
          </w:p>
          <w:p w14:paraId="17DE8447">
            <w:pPr>
              <w:jc w:val="both"/>
              <w:rPr>
                <w:rFonts w:hint="eastAsia" w:ascii="仿宋" w:hAnsi="仿宋" w:eastAsia="仿宋" w:cs="仿宋"/>
                <w:b/>
                <w:bCs/>
                <w:color w:val="auto"/>
                <w:sz w:val="24"/>
                <w:highlight w:val="none"/>
              </w:rPr>
            </w:pPr>
            <w:r>
              <w:rPr>
                <w:rFonts w:hint="eastAsia" w:ascii="仿宋" w:hAnsi="仿宋" w:eastAsia="仿宋" w:cs="仿宋"/>
                <w:color w:val="auto"/>
                <w:sz w:val="24"/>
                <w:highlight w:val="none"/>
              </w:rPr>
              <w:t>审查条件</w:t>
            </w:r>
          </w:p>
        </w:tc>
        <w:tc>
          <w:tcPr>
            <w:tcW w:w="705" w:type="dxa"/>
            <w:noWrap w:val="0"/>
            <w:vAlign w:val="center"/>
          </w:tcPr>
          <w:p w14:paraId="63C3A5C8">
            <w:pPr>
              <w:jc w:val="both"/>
              <w:rPr>
                <w:rFonts w:hint="eastAsia" w:ascii="仿宋" w:hAnsi="仿宋" w:eastAsia="仿宋"/>
                <w:b/>
                <w:bCs/>
                <w:color w:val="auto"/>
                <w:sz w:val="24"/>
                <w:highlight w:val="none"/>
              </w:rPr>
            </w:pPr>
            <w:r>
              <w:rPr>
                <w:rFonts w:hint="eastAsia" w:ascii="仿宋" w:hAnsi="仿宋" w:eastAsia="仿宋"/>
                <w:color w:val="auto"/>
                <w:sz w:val="24"/>
                <w:highlight w:val="none"/>
              </w:rPr>
              <w:t>6</w:t>
            </w:r>
          </w:p>
        </w:tc>
        <w:tc>
          <w:tcPr>
            <w:tcW w:w="7104" w:type="dxa"/>
            <w:noWrap w:val="0"/>
            <w:vAlign w:val="center"/>
          </w:tcPr>
          <w:p w14:paraId="7A4F142C">
            <w:pPr>
              <w:jc w:val="both"/>
              <w:rPr>
                <w:rFonts w:hint="eastAsia" w:ascii="仿宋" w:hAnsi="仿宋" w:eastAsia="仿宋"/>
                <w:b/>
                <w:bCs/>
                <w:color w:val="auto"/>
                <w:sz w:val="24"/>
                <w:highlight w:val="none"/>
              </w:rPr>
            </w:pPr>
            <w:r>
              <w:rPr>
                <w:rFonts w:hint="eastAsia" w:ascii="仿宋" w:hAnsi="仿宋" w:eastAsia="仿宋" w:cs="仿宋"/>
                <w:color w:val="auto"/>
                <w:sz w:val="24"/>
                <w:highlight w:val="none"/>
              </w:rPr>
              <w:t>通过资格评审即得6分</w:t>
            </w:r>
          </w:p>
        </w:tc>
      </w:tr>
      <w:tr w14:paraId="3F766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45" w:type="dxa"/>
            <w:noWrap w:val="0"/>
            <w:vAlign w:val="center"/>
          </w:tcPr>
          <w:p w14:paraId="3D2AE025">
            <w:pPr>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科研开发</w:t>
            </w:r>
          </w:p>
          <w:p w14:paraId="65D304A1">
            <w:pPr>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和技术创新</w:t>
            </w:r>
          </w:p>
          <w:p w14:paraId="6A2AC800">
            <w:pPr>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能力</w:t>
            </w:r>
          </w:p>
        </w:tc>
        <w:tc>
          <w:tcPr>
            <w:tcW w:w="705" w:type="dxa"/>
            <w:noWrap w:val="0"/>
            <w:vAlign w:val="center"/>
          </w:tcPr>
          <w:p w14:paraId="5EEC5BB9">
            <w:pPr>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p>
        </w:tc>
        <w:tc>
          <w:tcPr>
            <w:tcW w:w="7104" w:type="dxa"/>
            <w:noWrap w:val="0"/>
            <w:vAlign w:val="center"/>
          </w:tcPr>
          <w:p w14:paraId="0EF213B5">
            <w:pPr>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曾获得的与公路建设项目施工有关的国家级工法、专利（发明专利或实用新型专利）、国家或省级科学技术进步奖或优质工程奖，主编或参编过的国家、行业或地方标准，每有一项加1分，最多加4分。</w:t>
            </w:r>
          </w:p>
        </w:tc>
      </w:tr>
    </w:tbl>
    <w:p w14:paraId="155A7EE5">
      <w:pPr>
        <w:spacing w:line="560" w:lineRule="exact"/>
        <w:ind w:firstLine="640" w:firstLineChars="200"/>
        <w:contextualSpacing/>
        <w:jc w:val="both"/>
        <w:rPr>
          <w:rFonts w:hint="eastAsia" w:ascii="仿宋_GB2312" w:hAnsi="仿宋_GB2312" w:eastAsia="仿宋_GB2312" w:cs="仿宋_GB2312"/>
          <w:color w:val="auto"/>
          <w:kern w:val="1"/>
          <w:sz w:val="32"/>
          <w:szCs w:val="32"/>
          <w:highlight w:val="none"/>
        </w:rPr>
      </w:pPr>
      <w:r>
        <w:rPr>
          <w:rFonts w:hint="eastAsia" w:ascii="仿宋_GB2312" w:hAnsi="仿宋_GB2312" w:eastAsia="仿宋_GB2312" w:cs="仿宋_GB2312"/>
          <w:color w:val="auto"/>
          <w:kern w:val="1"/>
          <w:sz w:val="32"/>
          <w:szCs w:val="32"/>
          <w:highlight w:val="none"/>
        </w:rPr>
        <w:t>（4）履约信誉：15分</w:t>
      </w:r>
    </w:p>
    <w:tbl>
      <w:tblPr>
        <w:tblStyle w:val="6"/>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490"/>
        <w:gridCol w:w="850"/>
        <w:gridCol w:w="7014"/>
      </w:tblGrid>
      <w:tr w14:paraId="356284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490" w:type="dxa"/>
            <w:noWrap w:val="0"/>
            <w:vAlign w:val="center"/>
          </w:tcPr>
          <w:p w14:paraId="0C9BC374">
            <w:pPr>
              <w:jc w:val="both"/>
              <w:rPr>
                <w:rFonts w:hint="eastAsia" w:ascii="仿宋" w:hAnsi="仿宋" w:eastAsia="仿宋"/>
                <w:b/>
                <w:color w:val="auto"/>
                <w:sz w:val="24"/>
                <w:highlight w:val="none"/>
              </w:rPr>
            </w:pPr>
            <w:r>
              <w:rPr>
                <w:rFonts w:hint="eastAsia" w:ascii="仿宋" w:hAnsi="仿宋" w:eastAsia="仿宋" w:cs="仿宋"/>
                <w:b/>
                <w:color w:val="auto"/>
                <w:sz w:val="24"/>
                <w:highlight w:val="none"/>
              </w:rPr>
              <w:t>评分项目</w:t>
            </w:r>
          </w:p>
        </w:tc>
        <w:tc>
          <w:tcPr>
            <w:tcW w:w="850" w:type="dxa"/>
            <w:noWrap w:val="0"/>
            <w:vAlign w:val="center"/>
          </w:tcPr>
          <w:p w14:paraId="569C60A0">
            <w:pPr>
              <w:jc w:val="both"/>
              <w:rPr>
                <w:rFonts w:hint="eastAsia" w:ascii="仿宋" w:hAnsi="仿宋" w:eastAsia="仿宋"/>
                <w:b/>
                <w:color w:val="auto"/>
                <w:sz w:val="24"/>
                <w:highlight w:val="none"/>
              </w:rPr>
            </w:pPr>
            <w:r>
              <w:rPr>
                <w:rFonts w:hint="eastAsia" w:ascii="仿宋" w:hAnsi="仿宋" w:eastAsia="仿宋"/>
                <w:b/>
                <w:bCs/>
                <w:color w:val="auto"/>
                <w:sz w:val="24"/>
                <w:highlight w:val="none"/>
              </w:rPr>
              <w:t>分值</w:t>
            </w:r>
          </w:p>
        </w:tc>
        <w:tc>
          <w:tcPr>
            <w:tcW w:w="7014" w:type="dxa"/>
            <w:noWrap w:val="0"/>
            <w:vAlign w:val="center"/>
          </w:tcPr>
          <w:p w14:paraId="76936A42">
            <w:pPr>
              <w:jc w:val="both"/>
              <w:rPr>
                <w:rFonts w:hint="eastAsia" w:ascii="仿宋" w:hAnsi="仿宋" w:eastAsia="仿宋"/>
                <w:b/>
                <w:color w:val="auto"/>
                <w:sz w:val="24"/>
                <w:highlight w:val="none"/>
              </w:rPr>
            </w:pPr>
            <w:r>
              <w:rPr>
                <w:rFonts w:hint="eastAsia" w:ascii="仿宋" w:hAnsi="仿宋" w:eastAsia="仿宋"/>
                <w:b/>
                <w:bCs/>
                <w:color w:val="auto"/>
                <w:sz w:val="24"/>
                <w:highlight w:val="none"/>
              </w:rPr>
              <w:t>评分标准</w:t>
            </w:r>
          </w:p>
        </w:tc>
      </w:tr>
      <w:tr w14:paraId="15CBF9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490" w:type="dxa"/>
            <w:noWrap w:val="0"/>
            <w:vAlign w:val="center"/>
          </w:tcPr>
          <w:p w14:paraId="00140354">
            <w:pPr>
              <w:jc w:val="both"/>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信用评价</w:t>
            </w:r>
          </w:p>
        </w:tc>
        <w:tc>
          <w:tcPr>
            <w:tcW w:w="850" w:type="dxa"/>
            <w:noWrap w:val="0"/>
            <w:vAlign w:val="center"/>
          </w:tcPr>
          <w:p w14:paraId="31650C08">
            <w:pPr>
              <w:jc w:val="both"/>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15</w:t>
            </w:r>
          </w:p>
        </w:tc>
        <w:tc>
          <w:tcPr>
            <w:tcW w:w="7014" w:type="dxa"/>
            <w:noWrap w:val="0"/>
            <w:vAlign w:val="center"/>
          </w:tcPr>
          <w:p w14:paraId="550BE011">
            <w:pPr>
              <w:jc w:val="both"/>
              <w:rPr>
                <w:rFonts w:hint="eastAsia" w:ascii="仿宋" w:hAnsi="仿宋" w:eastAsia="仿宋" w:cs="仿宋_GB2312"/>
                <w:color w:val="auto"/>
                <w:sz w:val="24"/>
                <w:highlight w:val="none"/>
              </w:rPr>
            </w:pPr>
            <w:r>
              <w:rPr>
                <w:rFonts w:hint="eastAsia" w:ascii="仿宋" w:hAnsi="仿宋" w:eastAsia="仿宋" w:cs="仿宋_GB2312"/>
                <w:color w:val="auto"/>
                <w:sz w:val="24"/>
                <w:highlight w:val="none"/>
              </w:rPr>
              <w:t>根据陕西省交通运输厅《关于2025年度陕西省公路建设从业企业信用评价结果应用的通知》文件规定：</w:t>
            </w:r>
          </w:p>
          <w:p w14:paraId="33042530">
            <w:pPr>
              <w:jc w:val="both"/>
              <w:rPr>
                <w:rFonts w:hint="eastAsia" w:ascii="仿宋" w:hAnsi="仿宋" w:eastAsia="仿宋" w:cs="仿宋"/>
                <w:color w:val="auto"/>
                <w:sz w:val="24"/>
                <w:highlight w:val="none"/>
              </w:rPr>
            </w:pPr>
            <w:r>
              <w:rPr>
                <w:rFonts w:hint="eastAsia" w:ascii="仿宋" w:hAnsi="仿宋" w:eastAsia="仿宋" w:cs="仿宋_GB2312"/>
                <w:color w:val="auto"/>
                <w:sz w:val="24"/>
                <w:highlight w:val="none"/>
              </w:rPr>
              <w:t>按照施工企业的信用评价等级进行评分，信用评价等级为AA级企业得15分；信用评价等级为A级企业得12分；信用评价等级为B级企业得</w:t>
            </w:r>
            <w:r>
              <w:rPr>
                <w:rFonts w:hint="eastAsia" w:ascii="仿宋" w:hAnsi="仿宋" w:eastAsia="仿宋" w:cs="仿宋_GB2312"/>
                <w:color w:val="auto"/>
                <w:sz w:val="24"/>
                <w:highlight w:val="none"/>
                <w:lang w:val="en-US" w:eastAsia="zh-CN"/>
              </w:rPr>
              <w:t>9</w:t>
            </w:r>
            <w:r>
              <w:rPr>
                <w:rFonts w:hint="eastAsia" w:ascii="仿宋" w:hAnsi="仿宋" w:eastAsia="仿宋" w:cs="仿宋_GB2312"/>
                <w:color w:val="auto"/>
                <w:sz w:val="24"/>
                <w:highlight w:val="none"/>
              </w:rPr>
              <w:t>分；信用评价等级为C级企业得</w:t>
            </w:r>
            <w:r>
              <w:rPr>
                <w:rFonts w:hint="eastAsia" w:ascii="仿宋" w:hAnsi="仿宋" w:eastAsia="仿宋" w:cs="仿宋_GB2312"/>
                <w:color w:val="auto"/>
                <w:sz w:val="24"/>
                <w:highlight w:val="none"/>
                <w:lang w:val="en-US" w:eastAsia="zh-CN"/>
              </w:rPr>
              <w:t>6</w:t>
            </w:r>
            <w:r>
              <w:rPr>
                <w:rFonts w:hint="eastAsia" w:ascii="仿宋" w:hAnsi="仿宋" w:eastAsia="仿宋" w:cs="仿宋_GB2312"/>
                <w:color w:val="auto"/>
                <w:sz w:val="24"/>
                <w:highlight w:val="none"/>
              </w:rPr>
              <w:t>分；信用评价等级为D级企业限制进入我省公路建设市场。</w:t>
            </w:r>
          </w:p>
        </w:tc>
      </w:tr>
    </w:tbl>
    <w:p w14:paraId="0F0B6E50">
      <w:pPr>
        <w:spacing w:line="360" w:lineRule="auto"/>
        <w:ind w:left="723" w:hanging="723" w:hangingChars="300"/>
        <w:jc w:val="both"/>
        <w:rPr>
          <w:rFonts w:hint="eastAsia" w:ascii="仿宋" w:hAnsi="仿宋" w:eastAsia="仿宋" w:cs="宋体"/>
          <w:color w:val="auto"/>
          <w:sz w:val="24"/>
          <w:highlight w:val="none"/>
        </w:rPr>
      </w:pPr>
      <w:r>
        <w:rPr>
          <w:rFonts w:hint="eastAsia" w:ascii="仿宋" w:hAnsi="仿宋" w:eastAsia="仿宋" w:cs="宋体"/>
          <w:b/>
          <w:color w:val="auto"/>
          <w:sz w:val="24"/>
          <w:highlight w:val="none"/>
        </w:rPr>
        <w:t>说明：</w:t>
      </w:r>
      <w:r>
        <w:rPr>
          <w:rFonts w:hint="eastAsia" w:ascii="仿宋" w:hAnsi="仿宋" w:eastAsia="仿宋" w:cs="仿宋_GB2312"/>
          <w:color w:val="auto"/>
          <w:sz w:val="24"/>
          <w:highlight w:val="none"/>
        </w:rPr>
        <w:t>对具有陕西省202</w:t>
      </w:r>
      <w:r>
        <w:rPr>
          <w:rFonts w:hint="eastAsia" w:ascii="仿宋" w:hAnsi="仿宋" w:eastAsia="仿宋" w:cs="仿宋_GB2312"/>
          <w:color w:val="auto"/>
          <w:sz w:val="24"/>
          <w:highlight w:val="none"/>
          <w:lang w:val="en-US" w:eastAsia="zh-CN"/>
        </w:rPr>
        <w:t>4</w:t>
      </w:r>
      <w:r>
        <w:rPr>
          <w:rFonts w:hint="eastAsia" w:ascii="仿宋" w:hAnsi="仿宋" w:eastAsia="仿宋" w:cs="仿宋_GB2312"/>
          <w:color w:val="auto"/>
          <w:sz w:val="24"/>
          <w:highlight w:val="none"/>
        </w:rPr>
        <w:t>年度信用评价等级而无202</w:t>
      </w:r>
      <w:r>
        <w:rPr>
          <w:rFonts w:hint="eastAsia" w:ascii="仿宋" w:hAnsi="仿宋" w:eastAsia="仿宋" w:cs="仿宋_GB2312"/>
          <w:color w:val="auto"/>
          <w:sz w:val="24"/>
          <w:highlight w:val="none"/>
          <w:lang w:val="en-US" w:eastAsia="zh-CN"/>
        </w:rPr>
        <w:t>5</w:t>
      </w:r>
      <w:r>
        <w:rPr>
          <w:rFonts w:hint="eastAsia" w:ascii="仿宋" w:hAnsi="仿宋" w:eastAsia="仿宋" w:cs="仿宋_GB2312"/>
          <w:color w:val="auto"/>
          <w:sz w:val="24"/>
          <w:highlight w:val="none"/>
        </w:rPr>
        <w:t>年度信用评价等级的企业，其202</w:t>
      </w:r>
      <w:r>
        <w:rPr>
          <w:rFonts w:hint="eastAsia" w:ascii="仿宋" w:hAnsi="仿宋" w:eastAsia="仿宋" w:cs="仿宋_GB2312"/>
          <w:color w:val="auto"/>
          <w:sz w:val="24"/>
          <w:highlight w:val="none"/>
          <w:lang w:val="en-US" w:eastAsia="zh-CN"/>
        </w:rPr>
        <w:t>4</w:t>
      </w:r>
      <w:r>
        <w:rPr>
          <w:rFonts w:hint="eastAsia" w:ascii="仿宋" w:hAnsi="仿宋" w:eastAsia="仿宋" w:cs="仿宋_GB2312"/>
          <w:color w:val="auto"/>
          <w:sz w:val="24"/>
          <w:highlight w:val="none"/>
        </w:rPr>
        <w:t>年度信用评价等级延续1年。初次进入陕西省的从业企业，按照全国公路施工企业综合信用评价等级确定。延续省厅上一年信用评价结果后仍无信用评价结果的，按照交通运输部公路施工企业全国综合评价结果对待，无全国综合评价结果的企业，且无不良信用行为，其信用评价等级按A级对待。</w:t>
      </w:r>
    </w:p>
    <w:p w14:paraId="0BDB2ECD">
      <w:pPr>
        <w:pStyle w:val="2"/>
        <w:spacing w:line="360" w:lineRule="auto"/>
        <w:ind w:firstLine="640" w:firstLineChars="200"/>
        <w:jc w:val="both"/>
        <w:rPr>
          <w:rFonts w:hint="eastAsia" w:ascii="仿宋" w:hAnsi="仿宋" w:eastAsia="仿宋" w:cs="宋体"/>
          <w:color w:val="auto"/>
          <w:sz w:val="32"/>
          <w:szCs w:val="32"/>
          <w:highlight w:val="none"/>
        </w:rPr>
      </w:pPr>
      <w:r>
        <w:rPr>
          <w:rFonts w:hint="eastAsia" w:ascii="仿宋_GB2312" w:hAnsi="仿宋_GB2312" w:eastAsia="仿宋_GB2312" w:cs="仿宋_GB2312"/>
          <w:color w:val="auto"/>
          <w:kern w:val="1"/>
          <w:sz w:val="32"/>
          <w:szCs w:val="32"/>
          <w:highlight w:val="none"/>
        </w:rPr>
        <w:t>（5）业绩：</w:t>
      </w:r>
      <w:r>
        <w:rPr>
          <w:rFonts w:hint="eastAsia" w:ascii="仿宋_GB2312" w:hAnsi="仿宋_GB2312" w:eastAsia="仿宋_GB2312" w:cs="仿宋_GB2312"/>
          <w:color w:val="auto"/>
          <w:kern w:val="1"/>
          <w:sz w:val="32"/>
          <w:szCs w:val="32"/>
          <w:highlight w:val="none"/>
          <w:lang w:val="en-US" w:eastAsia="zh-CN"/>
        </w:rPr>
        <w:t>25</w:t>
      </w:r>
      <w:r>
        <w:rPr>
          <w:rFonts w:hint="eastAsia" w:ascii="仿宋_GB2312" w:hAnsi="仿宋_GB2312" w:eastAsia="仿宋_GB2312" w:cs="仿宋_GB2312"/>
          <w:color w:val="auto"/>
          <w:kern w:val="1"/>
          <w:sz w:val="32"/>
          <w:szCs w:val="32"/>
          <w:highlight w:val="none"/>
        </w:rPr>
        <w:t>分</w:t>
      </w:r>
    </w:p>
    <w:tbl>
      <w:tblPr>
        <w:tblStyle w:val="6"/>
        <w:tblW w:w="93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1"/>
        <w:gridCol w:w="573"/>
        <w:gridCol w:w="6730"/>
      </w:tblGrid>
      <w:tr w14:paraId="6941E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1" w:type="dxa"/>
            <w:noWrap w:val="0"/>
            <w:vAlign w:val="center"/>
          </w:tcPr>
          <w:p w14:paraId="05D68C26">
            <w:pPr>
              <w:jc w:val="both"/>
              <w:rPr>
                <w:rFonts w:hint="eastAsia" w:ascii="仿宋" w:hAnsi="仿宋" w:eastAsia="仿宋"/>
                <w:b/>
                <w:bCs/>
                <w:color w:val="auto"/>
                <w:sz w:val="24"/>
                <w:highlight w:val="none"/>
              </w:rPr>
            </w:pPr>
            <w:r>
              <w:rPr>
                <w:rFonts w:hint="eastAsia" w:ascii="仿宋" w:hAnsi="仿宋" w:eastAsia="仿宋" w:cs="仿宋"/>
                <w:b/>
                <w:bCs/>
                <w:color w:val="auto"/>
                <w:sz w:val="24"/>
                <w:highlight w:val="none"/>
              </w:rPr>
              <w:t>评分项目</w:t>
            </w:r>
          </w:p>
        </w:tc>
        <w:tc>
          <w:tcPr>
            <w:tcW w:w="573" w:type="dxa"/>
            <w:noWrap w:val="0"/>
            <w:vAlign w:val="center"/>
          </w:tcPr>
          <w:p w14:paraId="7C88E197">
            <w:pPr>
              <w:jc w:val="both"/>
              <w:rPr>
                <w:rFonts w:hint="eastAsia" w:ascii="仿宋" w:hAnsi="仿宋" w:eastAsia="仿宋"/>
                <w:b/>
                <w:bCs/>
                <w:color w:val="auto"/>
                <w:sz w:val="24"/>
                <w:highlight w:val="none"/>
              </w:rPr>
            </w:pPr>
            <w:r>
              <w:rPr>
                <w:rFonts w:hint="eastAsia" w:ascii="仿宋" w:hAnsi="仿宋" w:eastAsia="仿宋"/>
                <w:b/>
                <w:bCs/>
                <w:color w:val="auto"/>
                <w:sz w:val="24"/>
                <w:highlight w:val="none"/>
              </w:rPr>
              <w:t>分值</w:t>
            </w:r>
          </w:p>
        </w:tc>
        <w:tc>
          <w:tcPr>
            <w:tcW w:w="6730" w:type="dxa"/>
            <w:noWrap w:val="0"/>
            <w:vAlign w:val="center"/>
          </w:tcPr>
          <w:p w14:paraId="6B11F28E">
            <w:pPr>
              <w:jc w:val="both"/>
              <w:rPr>
                <w:rFonts w:hint="eastAsia" w:ascii="仿宋" w:hAnsi="仿宋" w:eastAsia="仿宋"/>
                <w:b/>
                <w:bCs/>
                <w:color w:val="auto"/>
                <w:sz w:val="24"/>
                <w:highlight w:val="none"/>
              </w:rPr>
            </w:pPr>
            <w:r>
              <w:rPr>
                <w:rFonts w:hint="eastAsia" w:ascii="仿宋" w:hAnsi="仿宋" w:eastAsia="仿宋"/>
                <w:b/>
                <w:bCs/>
                <w:color w:val="auto"/>
                <w:sz w:val="24"/>
                <w:highlight w:val="none"/>
              </w:rPr>
              <w:t>评分标准</w:t>
            </w:r>
          </w:p>
        </w:tc>
      </w:tr>
      <w:tr w14:paraId="3A7C6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1" w:type="dxa"/>
            <w:noWrap w:val="0"/>
            <w:vAlign w:val="center"/>
          </w:tcPr>
          <w:p w14:paraId="1F9292BD">
            <w:pPr>
              <w:jc w:val="both"/>
              <w:rPr>
                <w:rFonts w:hint="eastAsia" w:ascii="仿宋" w:hAnsi="仿宋" w:eastAsia="仿宋" w:cs="仿宋"/>
                <w:b/>
                <w:bCs/>
                <w:color w:val="auto"/>
                <w:sz w:val="24"/>
                <w:highlight w:val="none"/>
              </w:rPr>
            </w:pPr>
            <w:r>
              <w:rPr>
                <w:rFonts w:hint="eastAsia" w:ascii="仿宋" w:hAnsi="仿宋" w:eastAsia="仿宋" w:cs="仿宋"/>
                <w:color w:val="auto"/>
                <w:sz w:val="24"/>
                <w:highlight w:val="none"/>
              </w:rPr>
              <w:t>满足资格审查条件</w:t>
            </w:r>
          </w:p>
        </w:tc>
        <w:tc>
          <w:tcPr>
            <w:tcW w:w="573" w:type="dxa"/>
            <w:noWrap w:val="0"/>
            <w:vAlign w:val="center"/>
          </w:tcPr>
          <w:p w14:paraId="590FED97">
            <w:pPr>
              <w:jc w:val="both"/>
              <w:rPr>
                <w:rFonts w:hint="default" w:ascii="仿宋" w:hAnsi="仿宋" w:eastAsia="仿宋"/>
                <w:b/>
                <w:bCs/>
                <w:color w:val="auto"/>
                <w:sz w:val="24"/>
                <w:highlight w:val="none"/>
                <w:lang w:val="en-US" w:eastAsia="zh-CN"/>
              </w:rPr>
            </w:pPr>
            <w:r>
              <w:rPr>
                <w:rFonts w:hint="eastAsia" w:ascii="仿宋" w:hAnsi="仿宋" w:eastAsia="仿宋"/>
                <w:color w:val="auto"/>
                <w:sz w:val="24"/>
                <w:highlight w:val="none"/>
                <w:lang w:val="en-US" w:eastAsia="zh-CN"/>
              </w:rPr>
              <w:t>15</w:t>
            </w:r>
          </w:p>
        </w:tc>
        <w:tc>
          <w:tcPr>
            <w:tcW w:w="6730" w:type="dxa"/>
            <w:noWrap w:val="0"/>
            <w:vAlign w:val="center"/>
          </w:tcPr>
          <w:p w14:paraId="00EE5BD9">
            <w:pPr>
              <w:jc w:val="both"/>
              <w:rPr>
                <w:rFonts w:hint="eastAsia" w:ascii="仿宋" w:hAnsi="仿宋" w:eastAsia="仿宋"/>
                <w:b/>
                <w:bCs/>
                <w:color w:val="auto"/>
                <w:sz w:val="24"/>
                <w:highlight w:val="none"/>
              </w:rPr>
            </w:pPr>
            <w:r>
              <w:rPr>
                <w:rFonts w:hint="eastAsia" w:ascii="仿宋" w:hAnsi="仿宋" w:eastAsia="仿宋" w:cs="仿宋"/>
                <w:color w:val="auto"/>
                <w:sz w:val="24"/>
                <w:highlight w:val="none"/>
              </w:rPr>
              <w:t>通过资格评审即得</w:t>
            </w:r>
            <w:r>
              <w:rPr>
                <w:rFonts w:hint="eastAsia" w:ascii="仿宋" w:hAnsi="仿宋" w:eastAsia="仿宋" w:cs="仿宋"/>
                <w:color w:val="auto"/>
                <w:sz w:val="24"/>
                <w:highlight w:val="none"/>
                <w:lang w:val="en-US" w:eastAsia="zh-CN"/>
              </w:rPr>
              <w:t>15</w:t>
            </w:r>
            <w:r>
              <w:rPr>
                <w:rFonts w:hint="eastAsia" w:ascii="仿宋" w:hAnsi="仿宋" w:eastAsia="仿宋" w:cs="仿宋"/>
                <w:color w:val="auto"/>
                <w:sz w:val="24"/>
                <w:highlight w:val="none"/>
              </w:rPr>
              <w:t>分</w:t>
            </w:r>
          </w:p>
        </w:tc>
      </w:tr>
      <w:tr w14:paraId="21DA9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trPr>
        <w:tc>
          <w:tcPr>
            <w:tcW w:w="2051" w:type="dxa"/>
            <w:noWrap w:val="0"/>
            <w:vAlign w:val="center"/>
          </w:tcPr>
          <w:p w14:paraId="3A536F9A">
            <w:pPr>
              <w:jc w:val="both"/>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业绩加分</w:t>
            </w:r>
          </w:p>
        </w:tc>
        <w:tc>
          <w:tcPr>
            <w:tcW w:w="573" w:type="dxa"/>
            <w:noWrap w:val="0"/>
            <w:vAlign w:val="center"/>
          </w:tcPr>
          <w:p w14:paraId="0C5ECD83">
            <w:pPr>
              <w:jc w:val="both"/>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10</w:t>
            </w:r>
          </w:p>
        </w:tc>
        <w:tc>
          <w:tcPr>
            <w:tcW w:w="6730" w:type="dxa"/>
            <w:noWrap w:val="0"/>
            <w:vAlign w:val="center"/>
          </w:tcPr>
          <w:p w14:paraId="1AB85A93">
            <w:pPr>
              <w:jc w:val="both"/>
              <w:rPr>
                <w:rFonts w:hint="eastAsia"/>
                <w:highlight w:val="none"/>
              </w:rPr>
            </w:pPr>
            <w:r>
              <w:rPr>
                <w:rFonts w:hint="eastAsia" w:ascii="仿宋" w:hAnsi="仿宋" w:eastAsia="仿宋" w:cs="仿宋_GB2312"/>
                <w:color w:val="auto"/>
                <w:spacing w:val="-6"/>
                <w:sz w:val="24"/>
                <w:highlight w:val="none"/>
              </w:rPr>
              <w:t>满足业绩最低要求之外，2021年1月1日（含）至投标截止时间，已完成的新建或改扩建高速公路项目土建工程施工合同段业绩，每增加1个合同额不少于3亿元的加2分，最高加10分。</w:t>
            </w:r>
          </w:p>
        </w:tc>
      </w:tr>
    </w:tbl>
    <w:p w14:paraId="47EF7F39">
      <w:pPr>
        <w:spacing w:line="560" w:lineRule="exact"/>
        <w:ind w:firstLine="643" w:firstLineChars="200"/>
        <w:contextualSpacing/>
        <w:jc w:val="both"/>
        <w:rPr>
          <w:rFonts w:hint="eastAsia" w:ascii="仿宋_GB2312" w:hAnsi="仿宋_GB2312" w:eastAsia="仿宋_GB2312" w:cs="仿宋_GB2312"/>
          <w:b/>
          <w:bCs/>
          <w:color w:val="000000"/>
          <w:kern w:val="1"/>
          <w:sz w:val="32"/>
          <w:szCs w:val="32"/>
          <w:highlight w:val="none"/>
        </w:rPr>
      </w:pPr>
      <w:r>
        <w:rPr>
          <w:rFonts w:hint="eastAsia" w:ascii="仿宋_GB2312" w:hAnsi="仿宋_GB2312" w:eastAsia="仿宋_GB2312" w:cs="仿宋_GB2312"/>
          <w:b/>
          <w:bCs/>
          <w:color w:val="000000"/>
          <w:kern w:val="1"/>
          <w:sz w:val="32"/>
          <w:szCs w:val="32"/>
          <w:highlight w:val="none"/>
        </w:rPr>
        <w:t>（</w:t>
      </w:r>
      <w:r>
        <w:rPr>
          <w:rFonts w:hint="eastAsia" w:ascii="仿宋_GB2312" w:hAnsi="仿宋_GB2312" w:eastAsia="仿宋_GB2312" w:cs="仿宋_GB2312"/>
          <w:b/>
          <w:bCs/>
          <w:color w:val="000000"/>
          <w:kern w:val="1"/>
          <w:sz w:val="32"/>
          <w:szCs w:val="32"/>
          <w:highlight w:val="none"/>
          <w:lang w:val="en-US" w:eastAsia="zh-CN"/>
        </w:rPr>
        <w:t>四</w:t>
      </w:r>
      <w:r>
        <w:rPr>
          <w:rFonts w:hint="eastAsia" w:ascii="仿宋_GB2312" w:hAnsi="仿宋_GB2312" w:eastAsia="仿宋_GB2312" w:cs="仿宋_GB2312"/>
          <w:b/>
          <w:bCs/>
          <w:color w:val="000000"/>
          <w:kern w:val="1"/>
          <w:sz w:val="32"/>
          <w:szCs w:val="32"/>
          <w:highlight w:val="none"/>
        </w:rPr>
        <w:t>）</w:t>
      </w:r>
      <w:r>
        <w:rPr>
          <w:rFonts w:hint="eastAsia" w:ascii="仿宋_GB2312" w:hAnsi="仿宋_GB2312" w:eastAsia="仿宋_GB2312" w:cs="仿宋_GB2312"/>
          <w:b/>
          <w:bCs/>
          <w:color w:val="000000"/>
          <w:kern w:val="1"/>
          <w:sz w:val="32"/>
          <w:szCs w:val="32"/>
          <w:highlight w:val="none"/>
          <w:lang w:val="en-US" w:eastAsia="zh-CN"/>
        </w:rPr>
        <w:t>第二个信封（报价文件）</w:t>
      </w:r>
      <w:r>
        <w:rPr>
          <w:rFonts w:hint="eastAsia" w:ascii="仿宋_GB2312" w:hAnsi="仿宋_GB2312" w:eastAsia="仿宋_GB2312" w:cs="仿宋_GB2312"/>
          <w:b/>
          <w:bCs/>
          <w:color w:val="000000"/>
          <w:kern w:val="1"/>
          <w:sz w:val="32"/>
          <w:szCs w:val="32"/>
          <w:highlight w:val="none"/>
        </w:rPr>
        <w:t>评分因素、分值及评分方法</w:t>
      </w:r>
    </w:p>
    <w:p w14:paraId="6EB0F755">
      <w:pPr>
        <w:spacing w:line="560" w:lineRule="exact"/>
        <w:ind w:firstLine="640" w:firstLineChars="200"/>
        <w:contextualSpacing/>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1.评分因素与分值构成</w:t>
      </w:r>
    </w:p>
    <w:p w14:paraId="71AF0729">
      <w:pPr>
        <w:spacing w:line="560" w:lineRule="exact"/>
        <w:ind w:firstLine="640" w:firstLineChars="200"/>
        <w:contextualSpacing/>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总分100分，其中：</w:t>
      </w:r>
    </w:p>
    <w:p w14:paraId="2393F14D">
      <w:pPr>
        <w:spacing w:line="560" w:lineRule="exact"/>
        <w:ind w:firstLine="640" w:firstLineChars="200"/>
        <w:contextualSpacing/>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 xml:space="preserve">（1）评标价：99.80分 </w:t>
      </w:r>
    </w:p>
    <w:p w14:paraId="1F5B2D09">
      <w:pPr>
        <w:spacing w:line="560" w:lineRule="exact"/>
        <w:ind w:firstLine="640" w:firstLineChars="200"/>
        <w:contextualSpacing/>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（2）信用评价：0.2分</w:t>
      </w:r>
    </w:p>
    <w:p w14:paraId="1A056B48">
      <w:pPr>
        <w:spacing w:line="560" w:lineRule="exact"/>
        <w:ind w:firstLine="640" w:firstLineChars="200"/>
        <w:contextualSpacing/>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2.评分标准</w:t>
      </w:r>
    </w:p>
    <w:p w14:paraId="50DFBA0B">
      <w:pPr>
        <w:spacing w:line="560" w:lineRule="exact"/>
        <w:ind w:firstLine="640" w:firstLineChars="200"/>
        <w:contextualSpacing/>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（1）评标价得分</w:t>
      </w:r>
    </w:p>
    <w:p w14:paraId="1E1922F2">
      <w:pPr>
        <w:spacing w:line="560" w:lineRule="exact"/>
        <w:ind w:firstLine="640" w:firstLineChars="200"/>
        <w:contextualSpacing/>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①评标价Di=投标函文字报价-暂估价-暂列金额</w:t>
      </w:r>
    </w:p>
    <w:p w14:paraId="57A6A8AE">
      <w:pPr>
        <w:spacing w:line="560" w:lineRule="exact"/>
        <w:ind w:firstLine="640" w:firstLineChars="200"/>
        <w:contextualSpacing/>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除按招标文件规定开标现场被宣布为不进入评标基准价计算的投标报价之外，剩余所有投标人的评标价均为有效评标价。</w:t>
      </w:r>
    </w:p>
    <w:p w14:paraId="7999117F">
      <w:pPr>
        <w:spacing w:line="560" w:lineRule="exact"/>
        <w:ind w:firstLine="640" w:firstLineChars="200"/>
        <w:contextualSpacing/>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②评标基准价P</w:t>
      </w:r>
    </w:p>
    <w:p w14:paraId="3127DDFE">
      <w:pPr>
        <w:spacing w:line="560" w:lineRule="exact"/>
        <w:ind w:firstLine="640" w:firstLineChars="200"/>
        <w:contextualSpacing/>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在投标文件第二个信封（报价文件）开标现场，通过摇号的方式从《陕西省公路工程建设项目招标投标管理办法》（陕交发[2022]50号）中规定的六种计算方法中随机抽取评标基准价计算方法及相关计算参数进行计算。</w:t>
      </w:r>
    </w:p>
    <w:p w14:paraId="194D1E80">
      <w:pPr>
        <w:spacing w:line="560" w:lineRule="exact"/>
        <w:ind w:firstLine="640" w:firstLineChars="200"/>
        <w:contextualSpacing/>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开标现场计算并宣布评标基准价，宣布的评标基准价除计算有误经评标委员会修正外，在整个评标期间保持不变，不随任何因素发生变化。</w:t>
      </w:r>
    </w:p>
    <w:p w14:paraId="26079CC7">
      <w:pPr>
        <w:spacing w:line="560" w:lineRule="exact"/>
        <w:ind w:firstLine="640" w:firstLineChars="200"/>
        <w:contextualSpacing/>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③评标价得分</w:t>
      </w:r>
    </w:p>
    <w:p w14:paraId="76E21188">
      <w:pPr>
        <w:spacing w:line="560" w:lineRule="exact"/>
        <w:ind w:firstLine="640" w:firstLineChars="200"/>
        <w:contextualSpacing/>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A.偏差率=100%×（投标人评标价Di－评标基准价P）/评标基准价P,偏差率保留两位小数；</w:t>
      </w:r>
    </w:p>
    <w:p w14:paraId="2BE7A3D5">
      <w:pPr>
        <w:spacing w:line="560" w:lineRule="exact"/>
        <w:ind w:firstLine="640" w:firstLineChars="200"/>
        <w:contextualSpacing/>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B.如果投标人的评标价&gt;评标基准价，则评标价得分=99.8-偏差率×100×E1；</w:t>
      </w:r>
    </w:p>
    <w:p w14:paraId="5F38F9AB">
      <w:pPr>
        <w:spacing w:line="560" w:lineRule="exact"/>
        <w:ind w:firstLine="640" w:firstLineChars="200"/>
        <w:contextualSpacing/>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C.如果投标人的评标价≤评标基准价，则评标价得分=99.8+偏差率×100×E2；</w:t>
      </w:r>
    </w:p>
    <w:p w14:paraId="31691FC1">
      <w:pPr>
        <w:spacing w:line="560" w:lineRule="exact"/>
        <w:ind w:firstLine="640" w:firstLineChars="200"/>
        <w:contextualSpacing/>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D.E1=1.5，是评标价每高于评标基准价一个百分点的扣分值；E2=1，是评标价每低于评标基准价一个百分点的扣分值。</w:t>
      </w:r>
    </w:p>
    <w:p w14:paraId="72BA7EDC">
      <w:pPr>
        <w:spacing w:line="560" w:lineRule="exact"/>
        <w:ind w:firstLine="640" w:firstLineChars="200"/>
        <w:contextualSpacing/>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（2）信用评价得分</w:t>
      </w:r>
    </w:p>
    <w:p w14:paraId="1A6026E5">
      <w:pPr>
        <w:spacing w:line="560" w:lineRule="exact"/>
        <w:ind w:firstLine="640" w:firstLineChars="200"/>
        <w:contextualSpacing/>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根据陕西省交通运输厅《关于2025年度陕西省公路建设从业企业信用评价结果应用的通知》文件规定，本次招标对信用评价结果应用如下：</w:t>
      </w:r>
    </w:p>
    <w:p w14:paraId="7D65BF5F">
      <w:pPr>
        <w:spacing w:line="560" w:lineRule="exact"/>
        <w:ind w:firstLine="640" w:firstLineChars="200"/>
        <w:contextualSpacing/>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按照公路施工企业的信用评价等级进行评分：信用评价等级为AA级企业加0.2分；信用评价等级为A级企业评分不加不减；B级企业</w:t>
      </w:r>
      <w:r>
        <w:rPr>
          <w:rFonts w:hint="eastAsia" w:ascii="仿宋_GB2312" w:hAnsi="仿宋_GB2312" w:eastAsia="仿宋_GB2312" w:cs="仿宋_GB2312"/>
          <w:color w:val="000000"/>
          <w:kern w:val="1"/>
          <w:sz w:val="32"/>
          <w:szCs w:val="32"/>
          <w:highlight w:val="none"/>
          <w:lang w:val="en-US" w:eastAsia="zh-CN"/>
        </w:rPr>
        <w:t>减0.1分</w:t>
      </w:r>
      <w:r>
        <w:rPr>
          <w:rFonts w:hint="eastAsia" w:ascii="仿宋_GB2312" w:hAnsi="仿宋_GB2312" w:eastAsia="仿宋_GB2312" w:cs="仿宋_GB2312"/>
          <w:color w:val="000000"/>
          <w:kern w:val="1"/>
          <w:sz w:val="32"/>
          <w:szCs w:val="32"/>
          <w:highlight w:val="none"/>
        </w:rPr>
        <w:t>、C级企业</w:t>
      </w:r>
      <w:r>
        <w:rPr>
          <w:rFonts w:hint="eastAsia" w:ascii="仿宋_GB2312" w:hAnsi="仿宋_GB2312" w:eastAsia="仿宋_GB2312" w:cs="仿宋_GB2312"/>
          <w:color w:val="000000"/>
          <w:kern w:val="1"/>
          <w:sz w:val="32"/>
          <w:szCs w:val="32"/>
          <w:highlight w:val="none"/>
          <w:lang w:val="en-US" w:eastAsia="zh-CN"/>
        </w:rPr>
        <w:t>减0.2分</w:t>
      </w:r>
      <w:r>
        <w:rPr>
          <w:rFonts w:hint="eastAsia" w:ascii="仿宋_GB2312" w:hAnsi="仿宋_GB2312" w:eastAsia="仿宋_GB2312" w:cs="仿宋_GB2312"/>
          <w:color w:val="000000"/>
          <w:kern w:val="1"/>
          <w:sz w:val="32"/>
          <w:szCs w:val="32"/>
          <w:highlight w:val="none"/>
        </w:rPr>
        <w:t>；信用评价等级为D级企业限制进入我省公路建设市场。</w:t>
      </w:r>
    </w:p>
    <w:p w14:paraId="7F063F8B">
      <w:pPr>
        <w:spacing w:line="560" w:lineRule="exact"/>
        <w:ind w:firstLine="640" w:firstLineChars="200"/>
        <w:contextualSpacing/>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在本次信用评价结果应用周期内，信用评价等级为AA级企业最多加分3次。信用评价加分应用情况以省交通运输厅网站公布结果为准。</w:t>
      </w:r>
    </w:p>
    <w:p w14:paraId="3C37FB11">
      <w:pPr>
        <w:spacing w:line="560" w:lineRule="exact"/>
        <w:ind w:firstLine="640" w:firstLineChars="200"/>
        <w:contextualSpacing/>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对具有陕西省交通运输厅202</w:t>
      </w:r>
      <w:r>
        <w:rPr>
          <w:rFonts w:hint="eastAsia" w:ascii="仿宋_GB2312" w:hAnsi="仿宋_GB2312" w:eastAsia="仿宋_GB2312" w:cs="仿宋_GB2312"/>
          <w:color w:val="000000"/>
          <w:kern w:val="1"/>
          <w:sz w:val="32"/>
          <w:szCs w:val="32"/>
          <w:highlight w:val="none"/>
          <w:lang w:val="en-US" w:eastAsia="zh-CN"/>
        </w:rPr>
        <w:t>4</w:t>
      </w:r>
      <w:r>
        <w:rPr>
          <w:rFonts w:hint="eastAsia" w:ascii="仿宋_GB2312" w:hAnsi="仿宋_GB2312" w:eastAsia="仿宋_GB2312" w:cs="仿宋_GB2312"/>
          <w:color w:val="000000"/>
          <w:kern w:val="1"/>
          <w:sz w:val="32"/>
          <w:szCs w:val="32"/>
          <w:highlight w:val="none"/>
        </w:rPr>
        <w:t>年度信用评价等级而无202</w:t>
      </w:r>
      <w:r>
        <w:rPr>
          <w:rFonts w:hint="eastAsia" w:ascii="仿宋_GB2312" w:hAnsi="仿宋_GB2312" w:eastAsia="仿宋_GB2312" w:cs="仿宋_GB2312"/>
          <w:color w:val="000000"/>
          <w:kern w:val="1"/>
          <w:sz w:val="32"/>
          <w:szCs w:val="32"/>
          <w:highlight w:val="none"/>
          <w:lang w:val="en-US" w:eastAsia="zh-CN"/>
        </w:rPr>
        <w:t>5</w:t>
      </w:r>
      <w:r>
        <w:rPr>
          <w:rFonts w:hint="eastAsia" w:ascii="仿宋_GB2312" w:hAnsi="仿宋_GB2312" w:eastAsia="仿宋_GB2312" w:cs="仿宋_GB2312"/>
          <w:color w:val="000000"/>
          <w:kern w:val="1"/>
          <w:sz w:val="32"/>
          <w:szCs w:val="32"/>
          <w:highlight w:val="none"/>
        </w:rPr>
        <w:t>年度信用评价等级的企业，其202</w:t>
      </w:r>
      <w:r>
        <w:rPr>
          <w:rFonts w:hint="eastAsia" w:ascii="仿宋_GB2312" w:hAnsi="仿宋_GB2312" w:eastAsia="仿宋_GB2312" w:cs="仿宋_GB2312"/>
          <w:color w:val="000000"/>
          <w:kern w:val="1"/>
          <w:sz w:val="32"/>
          <w:szCs w:val="32"/>
          <w:highlight w:val="none"/>
          <w:lang w:val="en-US" w:eastAsia="zh-CN"/>
        </w:rPr>
        <w:t>4</w:t>
      </w:r>
      <w:r>
        <w:rPr>
          <w:rFonts w:hint="eastAsia" w:ascii="仿宋_GB2312" w:hAnsi="仿宋_GB2312" w:eastAsia="仿宋_GB2312" w:cs="仿宋_GB2312"/>
          <w:color w:val="000000"/>
          <w:kern w:val="1"/>
          <w:sz w:val="32"/>
          <w:szCs w:val="32"/>
          <w:highlight w:val="none"/>
        </w:rPr>
        <w:t>年度信用评价等级延续1年。延续省厅上一年信用评价结果后仍无信用评价结果的，按照全国综合评价结果对待。初次进入陕西省的从业企业，按照全国综合信用评价等级确定。无全国综合评价结果的企业，且无不良信用行为，可按A级对待。</w:t>
      </w:r>
    </w:p>
    <w:p w14:paraId="35126550">
      <w:pPr>
        <w:spacing w:line="560" w:lineRule="exact"/>
        <w:ind w:firstLine="640" w:firstLineChars="200"/>
        <w:contextualSpacing/>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具有信用评价加分资格的投标人自行决定是否申请加分。申请加分时应按招标文件要求填报信用评价加分申请书，未填报申请书或申请书未按招标文件规定填报的投标人不予加分。</w:t>
      </w:r>
    </w:p>
    <w:p w14:paraId="755B90AF">
      <w:pPr>
        <w:spacing w:line="560" w:lineRule="exact"/>
        <w:ind w:firstLine="640" w:firstLineChars="200"/>
        <w:contextualSpacing/>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3.综合得分</w:t>
      </w:r>
    </w:p>
    <w:p w14:paraId="69830B9A">
      <w:pPr>
        <w:spacing w:line="560" w:lineRule="exact"/>
        <w:ind w:firstLine="640" w:firstLineChars="200"/>
        <w:contextualSpacing/>
        <w:jc w:val="both"/>
        <w:rPr>
          <w:rFonts w:hint="eastAsia" w:ascii="仿宋_GB2312" w:hAnsi="仿宋_GB2312" w:eastAsia="仿宋_GB2312" w:cs="仿宋_GB2312"/>
          <w:color w:val="000000"/>
          <w:kern w:val="1"/>
          <w:sz w:val="32"/>
          <w:szCs w:val="32"/>
          <w:highlight w:val="none"/>
        </w:rPr>
      </w:pPr>
      <w:r>
        <w:rPr>
          <w:rFonts w:hint="eastAsia" w:ascii="仿宋_GB2312" w:hAnsi="仿宋_GB2312" w:eastAsia="仿宋_GB2312" w:cs="仿宋_GB2312"/>
          <w:color w:val="000000"/>
          <w:kern w:val="1"/>
          <w:sz w:val="32"/>
          <w:szCs w:val="32"/>
          <w:highlight w:val="none"/>
        </w:rPr>
        <w:t>综合得分=评标价得分+信用评价得分。</w:t>
      </w:r>
    </w:p>
    <w:p w14:paraId="5CB86763">
      <w:pPr>
        <w:pStyle w:val="2"/>
        <w:rPr>
          <w:rFonts w:hint="eastAsia"/>
          <w:highlight w:val="none"/>
        </w:rPr>
      </w:pPr>
    </w:p>
    <w:tbl>
      <w:tblPr>
        <w:tblStyle w:val="10"/>
        <w:tblW w:w="9004" w:type="dxa"/>
        <w:tblInd w:w="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89"/>
        <w:gridCol w:w="1891"/>
        <w:gridCol w:w="5624"/>
      </w:tblGrid>
      <w:tr w14:paraId="2E0260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004" w:type="dxa"/>
            <w:gridSpan w:val="3"/>
            <w:tcBorders>
              <w:left w:val="single" w:color="000000" w:sz="12" w:space="0"/>
              <w:right w:val="single" w:color="000000" w:sz="12" w:space="0"/>
            </w:tcBorders>
            <w:vAlign w:val="top"/>
          </w:tcPr>
          <w:p w14:paraId="5A6B18F2">
            <w:pPr>
              <w:pStyle w:val="9"/>
              <w:pageBreakBefore w:val="0"/>
              <w:kinsoku/>
              <w:bidi w:val="0"/>
              <w:spacing w:before="136" w:line="220" w:lineRule="auto"/>
              <w:ind w:left="112" w:leftChars="0"/>
              <w:rPr>
                <w:highlight w:val="none"/>
              </w:rPr>
            </w:pPr>
            <w:r>
              <w:rPr>
                <w:spacing w:val="-3"/>
                <w:highlight w:val="none"/>
              </w:rPr>
              <w:t>需补充的其他内容</w:t>
            </w:r>
          </w:p>
        </w:tc>
      </w:tr>
      <w:tr w14:paraId="4EC1D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8" w:hRule="atLeast"/>
        </w:trPr>
        <w:tc>
          <w:tcPr>
            <w:tcW w:w="1489" w:type="dxa"/>
            <w:tcBorders>
              <w:left w:val="single" w:color="000000" w:sz="12" w:space="0"/>
            </w:tcBorders>
            <w:vAlign w:val="center"/>
          </w:tcPr>
          <w:p w14:paraId="04D90D6E">
            <w:pPr>
              <w:pStyle w:val="9"/>
              <w:pageBreakBefore w:val="0"/>
              <w:kinsoku/>
              <w:bidi w:val="0"/>
              <w:spacing w:before="68" w:line="239" w:lineRule="auto"/>
              <w:ind w:left="0" w:leftChars="0" w:firstLine="0" w:firstLineChars="0"/>
              <w:jc w:val="center"/>
              <w:rPr>
                <w:highlight w:val="none"/>
              </w:rPr>
            </w:pPr>
            <w:r>
              <w:rPr>
                <w:spacing w:val="-2"/>
                <w:highlight w:val="none"/>
              </w:rPr>
              <w:t>增加</w:t>
            </w:r>
            <w:r>
              <w:rPr>
                <w:spacing w:val="-46"/>
                <w:highlight w:val="none"/>
              </w:rPr>
              <w:t xml:space="preserve"> </w:t>
            </w:r>
            <w:r>
              <w:rPr>
                <w:spacing w:val="-3"/>
                <w:highlight w:val="none"/>
              </w:rPr>
              <w:t>4.1</w:t>
            </w:r>
          </w:p>
        </w:tc>
        <w:tc>
          <w:tcPr>
            <w:tcW w:w="1891" w:type="dxa"/>
            <w:vAlign w:val="center"/>
          </w:tcPr>
          <w:p w14:paraId="2579D33B">
            <w:pPr>
              <w:pStyle w:val="9"/>
              <w:pageBreakBefore w:val="0"/>
              <w:kinsoku/>
              <w:bidi w:val="0"/>
              <w:spacing w:before="68" w:line="239" w:lineRule="auto"/>
              <w:ind w:left="0" w:leftChars="0" w:firstLine="0" w:firstLineChars="0"/>
              <w:jc w:val="center"/>
              <w:rPr>
                <w:highlight w:val="none"/>
              </w:rPr>
            </w:pPr>
            <w:r>
              <w:rPr>
                <w:spacing w:val="-2"/>
                <w:highlight w:val="none"/>
              </w:rPr>
              <w:t>投标文件相关信息</w:t>
            </w:r>
            <w:r>
              <w:rPr>
                <w:spacing w:val="-6"/>
                <w:highlight w:val="none"/>
              </w:rPr>
              <w:t>的</w:t>
            </w:r>
            <w:r>
              <w:rPr>
                <w:spacing w:val="-2"/>
                <w:highlight w:val="none"/>
              </w:rPr>
              <w:t>核查</w:t>
            </w:r>
          </w:p>
        </w:tc>
        <w:tc>
          <w:tcPr>
            <w:tcW w:w="5624" w:type="dxa"/>
            <w:tcBorders>
              <w:right w:val="single" w:color="000000" w:sz="12" w:space="0"/>
            </w:tcBorders>
            <w:vAlign w:val="center"/>
          </w:tcPr>
          <w:p w14:paraId="1ECBC2E6">
            <w:pPr>
              <w:pStyle w:val="9"/>
              <w:pageBreakBefore w:val="0"/>
              <w:kinsoku/>
              <w:bidi w:val="0"/>
              <w:spacing w:before="69" w:line="274" w:lineRule="auto"/>
              <w:ind w:left="106" w:right="92" w:firstLine="16"/>
              <w:jc w:val="both"/>
              <w:rPr>
                <w:highlight w:val="none"/>
              </w:rPr>
            </w:pPr>
            <w:r>
              <w:rPr>
                <w:spacing w:val="-4"/>
                <w:highlight w:val="none"/>
              </w:rPr>
              <w:t>1.评标委员会对投标人的资质、业绩、主要人员资历和目前</w:t>
            </w:r>
            <w:r>
              <w:rPr>
                <w:spacing w:val="-7"/>
                <w:highlight w:val="none"/>
              </w:rPr>
              <w:t>在岗情况、信用等级等信息， 在交通运输主管部门“公路建</w:t>
            </w:r>
            <w:r>
              <w:rPr>
                <w:spacing w:val="-5"/>
                <w:highlight w:val="none"/>
              </w:rPr>
              <w:t>设市场监督管理系统</w:t>
            </w:r>
            <w:r>
              <w:rPr>
                <w:spacing w:val="-59"/>
                <w:highlight w:val="none"/>
              </w:rPr>
              <w:t xml:space="preserve"> </w:t>
            </w:r>
            <w:r>
              <w:rPr>
                <w:spacing w:val="-5"/>
                <w:highlight w:val="none"/>
              </w:rPr>
              <w:t>”中进行核实。若投标文件载明的信息</w:t>
            </w:r>
            <w:r>
              <w:rPr>
                <w:spacing w:val="-3"/>
                <w:highlight w:val="none"/>
              </w:rPr>
              <w:t>与其中发布的信息不符，使得投标人的资格条</w:t>
            </w:r>
            <w:r>
              <w:rPr>
                <w:spacing w:val="-4"/>
                <w:highlight w:val="none"/>
              </w:rPr>
              <w:t>件不符合招标</w:t>
            </w:r>
            <w:r>
              <w:rPr>
                <w:spacing w:val="-2"/>
                <w:highlight w:val="none"/>
              </w:rPr>
              <w:t>文件规定的，评标委员会将否决其投标。</w:t>
            </w:r>
          </w:p>
          <w:p w14:paraId="2ECA7F76">
            <w:pPr>
              <w:pStyle w:val="9"/>
              <w:pageBreakBefore w:val="0"/>
              <w:kinsoku/>
              <w:bidi w:val="0"/>
              <w:spacing w:before="1" w:line="274" w:lineRule="auto"/>
              <w:ind w:left="107" w:right="48" w:firstLine="2"/>
              <w:jc w:val="both"/>
              <w:rPr>
                <w:highlight w:val="none"/>
              </w:rPr>
            </w:pPr>
            <w:r>
              <w:rPr>
                <w:spacing w:val="-3"/>
                <w:highlight w:val="none"/>
              </w:rPr>
              <w:t>2.评标委员会对资格审查条件要求的建造师注</w:t>
            </w:r>
            <w:r>
              <w:rPr>
                <w:spacing w:val="-4"/>
                <w:highlight w:val="none"/>
              </w:rPr>
              <w:t>册证书、安全</w:t>
            </w:r>
            <w:r>
              <w:rPr>
                <w:spacing w:val="-3"/>
                <w:highlight w:val="none"/>
              </w:rPr>
              <w:t>生产考核合格证书等在政府相关部门网站中</w:t>
            </w:r>
            <w:r>
              <w:rPr>
                <w:spacing w:val="-4"/>
                <w:highlight w:val="none"/>
              </w:rPr>
              <w:t>进行核实。若投</w:t>
            </w:r>
            <w:r>
              <w:rPr>
                <w:spacing w:val="-3"/>
                <w:highlight w:val="none"/>
              </w:rPr>
              <w:t>标文件载明的信息与其中发布的信息不符，</w:t>
            </w:r>
            <w:r>
              <w:rPr>
                <w:spacing w:val="-4"/>
                <w:highlight w:val="none"/>
              </w:rPr>
              <w:t>使得投标人的资</w:t>
            </w:r>
            <w:r>
              <w:rPr>
                <w:spacing w:val="-2"/>
                <w:highlight w:val="none"/>
              </w:rPr>
              <w:t>格条件不符合招标文件规定的，评标委员会将否决其投标。</w:t>
            </w:r>
          </w:p>
          <w:p w14:paraId="200EFCE9">
            <w:pPr>
              <w:pStyle w:val="9"/>
              <w:pageBreakBefore w:val="0"/>
              <w:kinsoku/>
              <w:bidi w:val="0"/>
              <w:spacing w:before="1" w:line="274" w:lineRule="auto"/>
              <w:ind w:left="92" w:right="92" w:firstLine="18"/>
              <w:jc w:val="both"/>
              <w:rPr>
                <w:highlight w:val="none"/>
              </w:rPr>
            </w:pPr>
            <w:r>
              <w:rPr>
                <w:spacing w:val="-3"/>
                <w:highlight w:val="none"/>
              </w:rPr>
              <w:t>3.评标委员会对投标人信誉情况在“国家</w:t>
            </w:r>
            <w:r>
              <w:rPr>
                <w:spacing w:val="-4"/>
                <w:highlight w:val="none"/>
              </w:rPr>
              <w:t>企业信用信息公示</w:t>
            </w:r>
            <w:r>
              <w:rPr>
                <w:spacing w:val="-5"/>
                <w:highlight w:val="none"/>
              </w:rPr>
              <w:t>系统</w:t>
            </w:r>
            <w:r>
              <w:rPr>
                <w:spacing w:val="-73"/>
                <w:highlight w:val="none"/>
              </w:rPr>
              <w:t xml:space="preserve"> </w:t>
            </w:r>
            <w:r>
              <w:rPr>
                <w:spacing w:val="-5"/>
                <w:highlight w:val="none"/>
              </w:rPr>
              <w:t>”及“信用中国</w:t>
            </w:r>
            <w:r>
              <w:rPr>
                <w:spacing w:val="-77"/>
                <w:highlight w:val="none"/>
              </w:rPr>
              <w:t xml:space="preserve"> </w:t>
            </w:r>
            <w:r>
              <w:rPr>
                <w:spacing w:val="-5"/>
                <w:highlight w:val="none"/>
              </w:rPr>
              <w:t>”网站进行核查，若投标人在“国家企</w:t>
            </w:r>
            <w:r>
              <w:rPr>
                <w:spacing w:val="-4"/>
                <w:highlight w:val="none"/>
              </w:rPr>
              <w:t>业信用信息公示系统</w:t>
            </w:r>
            <w:r>
              <w:rPr>
                <w:spacing w:val="-71"/>
                <w:highlight w:val="none"/>
              </w:rPr>
              <w:t xml:space="preserve"> </w:t>
            </w:r>
            <w:r>
              <w:rPr>
                <w:spacing w:val="-4"/>
                <w:highlight w:val="none"/>
              </w:rPr>
              <w:t>”中被列入严重违法失信企业名单或在“信用中国</w:t>
            </w:r>
            <w:r>
              <w:rPr>
                <w:spacing w:val="-71"/>
                <w:highlight w:val="none"/>
              </w:rPr>
              <w:t xml:space="preserve"> </w:t>
            </w:r>
            <w:r>
              <w:rPr>
                <w:spacing w:val="-4"/>
                <w:highlight w:val="none"/>
              </w:rPr>
              <w:t>”网站中被列入失信被执行人名单，评标委员会</w:t>
            </w:r>
            <w:r>
              <w:rPr>
                <w:spacing w:val="-3"/>
                <w:highlight w:val="none"/>
              </w:rPr>
              <w:t>将否决其投标。</w:t>
            </w:r>
          </w:p>
          <w:p w14:paraId="192443D3">
            <w:pPr>
              <w:pStyle w:val="9"/>
              <w:pageBreakBefore w:val="0"/>
              <w:kinsoku/>
              <w:bidi w:val="0"/>
              <w:spacing w:line="218" w:lineRule="auto"/>
              <w:ind w:left="106"/>
              <w:jc w:val="both"/>
              <w:rPr>
                <w:spacing w:val="-3"/>
                <w:highlight w:val="none"/>
              </w:rPr>
            </w:pPr>
            <w:r>
              <w:rPr>
                <w:spacing w:val="-3"/>
                <w:highlight w:val="none"/>
              </w:rPr>
              <w:t>4.评标委员会对投标人或其法定代表人、拟委任的项</w:t>
            </w:r>
            <w:r>
              <w:rPr>
                <w:spacing w:val="-4"/>
                <w:highlight w:val="none"/>
              </w:rPr>
              <w:t>目经理</w:t>
            </w:r>
          </w:p>
          <w:p w14:paraId="2EDE1742">
            <w:pPr>
              <w:pStyle w:val="9"/>
              <w:pageBreakBefore w:val="0"/>
              <w:kinsoku/>
              <w:bidi w:val="0"/>
              <w:spacing w:before="54" w:line="274" w:lineRule="auto"/>
              <w:ind w:left="106" w:right="92"/>
              <w:jc w:val="both"/>
              <w:rPr>
                <w:highlight w:val="none"/>
              </w:rPr>
            </w:pPr>
            <w:r>
              <w:rPr>
                <w:spacing w:val="-3"/>
                <w:highlight w:val="none"/>
              </w:rPr>
              <w:t>近三年内（自202</w:t>
            </w:r>
            <w:r>
              <w:rPr>
                <w:rFonts w:hint="eastAsia"/>
                <w:spacing w:val="-3"/>
                <w:highlight w:val="none"/>
                <w:lang w:val="en-US" w:eastAsia="zh-CN"/>
              </w:rPr>
              <w:t>3</w:t>
            </w:r>
            <w:r>
              <w:rPr>
                <w:spacing w:val="-3"/>
                <w:highlight w:val="none"/>
              </w:rPr>
              <w:t>年1月1日起）行贿犯罪行为情况在“中国</w:t>
            </w:r>
            <w:r>
              <w:rPr>
                <w:spacing w:val="-5"/>
                <w:highlight w:val="none"/>
              </w:rPr>
              <w:t>裁判文书网</w:t>
            </w:r>
            <w:r>
              <w:rPr>
                <w:spacing w:val="-59"/>
                <w:highlight w:val="none"/>
              </w:rPr>
              <w:t xml:space="preserve"> </w:t>
            </w:r>
            <w:r>
              <w:rPr>
                <w:spacing w:val="-5"/>
                <w:highlight w:val="none"/>
              </w:rPr>
              <w:t>”中进行核实。若投标人或其法定代表人、拟委任的项目经理近三年内在“中国裁判文书网</w:t>
            </w:r>
            <w:r>
              <w:rPr>
                <w:spacing w:val="-59"/>
                <w:highlight w:val="none"/>
              </w:rPr>
              <w:t xml:space="preserve"> </w:t>
            </w:r>
            <w:r>
              <w:rPr>
                <w:spacing w:val="-5"/>
                <w:highlight w:val="none"/>
              </w:rPr>
              <w:t>”中有行贿犯罪</w:t>
            </w:r>
            <w:r>
              <w:rPr>
                <w:spacing w:val="-3"/>
                <w:highlight w:val="none"/>
              </w:rPr>
              <w:t>行为记录，评标委员会将否决其投标。</w:t>
            </w:r>
          </w:p>
          <w:p w14:paraId="6579DFDD">
            <w:pPr>
              <w:pStyle w:val="9"/>
              <w:pageBreakBefore w:val="0"/>
              <w:kinsoku/>
              <w:bidi w:val="0"/>
              <w:spacing w:line="260" w:lineRule="auto"/>
              <w:ind w:left="106" w:leftChars="0" w:right="48" w:rightChars="0" w:firstLine="5" w:firstLineChars="0"/>
              <w:jc w:val="both"/>
              <w:rPr>
                <w:highlight w:val="none"/>
              </w:rPr>
            </w:pPr>
            <w:r>
              <w:rPr>
                <w:spacing w:val="-2"/>
                <w:highlight w:val="none"/>
              </w:rPr>
              <w:t>5.评标委员会对在评标过程中发现的投标人与投标人之间、</w:t>
            </w:r>
            <w:r>
              <w:rPr>
                <w:spacing w:val="-1"/>
                <w:highlight w:val="none"/>
              </w:rPr>
              <w:t>投标人与招标人之间存在的串通投标的情形进行评审和认</w:t>
            </w:r>
            <w:r>
              <w:rPr>
                <w:spacing w:val="-2"/>
                <w:highlight w:val="none"/>
              </w:rPr>
              <w:t>定。投标人存在串通投标、弄虚作假、行贿等违法行为的，</w:t>
            </w:r>
            <w:r>
              <w:rPr>
                <w:spacing w:val="-3"/>
                <w:highlight w:val="none"/>
              </w:rPr>
              <w:t>评标委员会将否决其投标。</w:t>
            </w:r>
          </w:p>
        </w:tc>
      </w:tr>
      <w:tr w14:paraId="1C7839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4" w:hRule="atLeast"/>
        </w:trPr>
        <w:tc>
          <w:tcPr>
            <w:tcW w:w="1489" w:type="dxa"/>
            <w:tcBorders>
              <w:left w:val="single" w:color="000000" w:sz="12" w:space="0"/>
              <w:bottom w:val="single" w:color="000000" w:sz="12" w:space="0"/>
            </w:tcBorders>
            <w:vAlign w:val="center"/>
          </w:tcPr>
          <w:p w14:paraId="71A7F7F6">
            <w:pPr>
              <w:pStyle w:val="9"/>
              <w:pageBreakBefore w:val="0"/>
              <w:kinsoku/>
              <w:bidi w:val="0"/>
              <w:spacing w:before="68" w:line="239" w:lineRule="auto"/>
              <w:ind w:left="0" w:leftChars="0" w:firstLine="0" w:firstLineChars="0"/>
              <w:jc w:val="center"/>
              <w:rPr>
                <w:highlight w:val="none"/>
              </w:rPr>
            </w:pPr>
            <w:r>
              <w:rPr>
                <w:spacing w:val="-2"/>
                <w:highlight w:val="none"/>
              </w:rPr>
              <w:t>增加</w:t>
            </w:r>
            <w:r>
              <w:rPr>
                <w:spacing w:val="-46"/>
                <w:highlight w:val="none"/>
              </w:rPr>
              <w:t xml:space="preserve"> </w:t>
            </w:r>
            <w:r>
              <w:rPr>
                <w:spacing w:val="-3"/>
                <w:highlight w:val="none"/>
              </w:rPr>
              <w:t>4.</w:t>
            </w:r>
            <w:r>
              <w:rPr>
                <w:rFonts w:hint="eastAsia"/>
                <w:spacing w:val="-3"/>
                <w:highlight w:val="none"/>
                <w:lang w:val="en-US" w:eastAsia="zh-CN"/>
              </w:rPr>
              <w:t>2</w:t>
            </w:r>
          </w:p>
        </w:tc>
        <w:tc>
          <w:tcPr>
            <w:tcW w:w="1891" w:type="dxa"/>
            <w:tcBorders>
              <w:bottom w:val="single" w:color="000000" w:sz="12" w:space="0"/>
            </w:tcBorders>
            <w:vAlign w:val="center"/>
          </w:tcPr>
          <w:p w14:paraId="5CA50B02">
            <w:pPr>
              <w:pStyle w:val="9"/>
              <w:pageBreakBefore w:val="0"/>
              <w:kinsoku/>
              <w:bidi w:val="0"/>
              <w:spacing w:before="68" w:line="239" w:lineRule="auto"/>
              <w:ind w:left="0" w:leftChars="0" w:firstLine="0" w:firstLineChars="0"/>
              <w:jc w:val="center"/>
              <w:rPr>
                <w:highlight w:val="none"/>
              </w:rPr>
            </w:pPr>
            <w:r>
              <w:rPr>
                <w:rFonts w:hint="eastAsia"/>
                <w:spacing w:val="-2"/>
                <w:highlight w:val="none"/>
              </w:rPr>
              <w:t>摇号随机分配投标人所在标段</w:t>
            </w:r>
          </w:p>
        </w:tc>
        <w:tc>
          <w:tcPr>
            <w:tcW w:w="5624" w:type="dxa"/>
            <w:tcBorders>
              <w:bottom w:val="single" w:color="000000" w:sz="12" w:space="0"/>
              <w:right w:val="single" w:color="000000" w:sz="12" w:space="0"/>
            </w:tcBorders>
            <w:vAlign w:val="center"/>
          </w:tcPr>
          <w:p w14:paraId="1B5DE686">
            <w:pPr>
              <w:pStyle w:val="9"/>
              <w:pageBreakBefore w:val="0"/>
              <w:kinsoku/>
              <w:bidi w:val="0"/>
              <w:spacing w:before="109" w:line="219" w:lineRule="auto"/>
              <w:ind w:left="122"/>
              <w:rPr>
                <w:rFonts w:hint="eastAsia"/>
                <w:spacing w:val="-4"/>
                <w:highlight w:val="none"/>
              </w:rPr>
            </w:pPr>
            <w:r>
              <w:rPr>
                <w:rFonts w:hint="eastAsia"/>
                <w:spacing w:val="-4"/>
                <w:highlight w:val="none"/>
              </w:rPr>
              <w:t>在第二个信封(报价文件)的开标现场，采用摇号的方式随机分配各组别内通过第一个信封(商务及技术文件)评审的投标人所在标段，各组别内每个通过第一个信封(商务及技术文件)评审的投标人只能分配1个标段。分配顺序如下:</w:t>
            </w:r>
          </w:p>
          <w:p w14:paraId="13DB3C78">
            <w:pPr>
              <w:pStyle w:val="9"/>
              <w:pageBreakBefore w:val="0"/>
              <w:kinsoku/>
              <w:bidi w:val="0"/>
              <w:spacing w:before="109" w:line="219" w:lineRule="auto"/>
              <w:ind w:left="122"/>
              <w:rPr>
                <w:rFonts w:hint="eastAsia"/>
                <w:spacing w:val="-4"/>
                <w:highlight w:val="none"/>
              </w:rPr>
            </w:pPr>
            <w:r>
              <w:rPr>
                <w:rFonts w:hint="eastAsia"/>
                <w:spacing w:val="-4"/>
                <w:highlight w:val="none"/>
              </w:rPr>
              <w:t>1.将具有关联关系(单位负责人为同一人或者存在控股、管理关系的不同单位)的不同投标人通过摇号分配到组别内的不同标段。</w:t>
            </w:r>
          </w:p>
          <w:p w14:paraId="1E692798">
            <w:pPr>
              <w:pStyle w:val="9"/>
              <w:pageBreakBefore w:val="0"/>
              <w:kinsoku/>
              <w:bidi w:val="0"/>
              <w:spacing w:before="109" w:line="219" w:lineRule="auto"/>
              <w:ind w:left="122" w:leftChars="0"/>
              <w:rPr>
                <w:highlight w:val="none"/>
              </w:rPr>
            </w:pPr>
            <w:r>
              <w:rPr>
                <w:rFonts w:hint="eastAsia"/>
                <w:spacing w:val="-4"/>
                <w:highlight w:val="none"/>
              </w:rPr>
              <w:t>2.以将所有投标人平均分配到每个标段为原则，随机摇号确定剩余投标人所在标段，当出现不能平均分配的情况时，通过摇号确定余数所在标段。</w:t>
            </w:r>
          </w:p>
        </w:tc>
      </w:tr>
    </w:tbl>
    <w:p w14:paraId="400F09AC">
      <w:pPr>
        <w:jc w:val="both"/>
        <w:rPr>
          <w:highlight w:val="none"/>
        </w:rPr>
      </w:pPr>
    </w:p>
    <w:p w14:paraId="626B4F9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lang w:val="en-US" w:eastAsia="zh-CN"/>
        </w:rPr>
        <w:t>四</w:t>
      </w:r>
      <w:r>
        <w:rPr>
          <w:rFonts w:hint="eastAsia" w:ascii="黑体" w:hAnsi="黑体" w:eastAsia="黑体" w:cs="黑体"/>
          <w:b w:val="0"/>
          <w:bCs/>
          <w:sz w:val="32"/>
          <w:szCs w:val="32"/>
          <w:highlight w:val="none"/>
        </w:rPr>
        <w:t>、招标人联系方式</w:t>
      </w:r>
    </w:p>
    <w:p w14:paraId="4CC27BED">
      <w:pPr>
        <w:tabs>
          <w:tab w:val="left" w:pos="1778"/>
        </w:tabs>
        <w:autoSpaceDE w:val="0"/>
        <w:autoSpaceDN w:val="0"/>
        <w:spacing w:line="400" w:lineRule="exact"/>
        <w:ind w:firstLine="480" w:firstLineChars="200"/>
        <w:jc w:val="both"/>
        <w:textAlignment w:val="baseline"/>
        <w:rPr>
          <w:sz w:val="24"/>
          <w:szCs w:val="24"/>
          <w:highlight w:val="none"/>
        </w:rPr>
      </w:pPr>
      <w:r>
        <w:rPr>
          <w:rFonts w:hint="eastAsia"/>
          <w:sz w:val="24"/>
          <w:szCs w:val="24"/>
          <w:highlight w:val="none"/>
        </w:rPr>
        <w:t>招 标 人：陕西交通控股集团有限公司</w:t>
      </w:r>
    </w:p>
    <w:p w14:paraId="35991904">
      <w:pPr>
        <w:tabs>
          <w:tab w:val="left" w:pos="1778"/>
        </w:tabs>
        <w:autoSpaceDE w:val="0"/>
        <w:autoSpaceDN w:val="0"/>
        <w:spacing w:line="400" w:lineRule="exact"/>
        <w:ind w:firstLine="480" w:firstLineChars="200"/>
        <w:jc w:val="both"/>
        <w:textAlignment w:val="baseline"/>
        <w:rPr>
          <w:sz w:val="24"/>
          <w:szCs w:val="24"/>
          <w:highlight w:val="none"/>
        </w:rPr>
      </w:pPr>
      <w:r>
        <w:rPr>
          <w:rFonts w:hint="eastAsia"/>
          <w:sz w:val="24"/>
          <w:szCs w:val="24"/>
          <w:highlight w:val="none"/>
        </w:rPr>
        <w:t>地    址：陕西省西安市太白南路9号</w:t>
      </w:r>
    </w:p>
    <w:p w14:paraId="0A0A6B98">
      <w:pPr>
        <w:tabs>
          <w:tab w:val="left" w:pos="1778"/>
        </w:tabs>
        <w:autoSpaceDE w:val="0"/>
        <w:autoSpaceDN w:val="0"/>
        <w:spacing w:line="400" w:lineRule="exact"/>
        <w:ind w:firstLine="480" w:firstLineChars="200"/>
        <w:jc w:val="both"/>
        <w:textAlignment w:val="baseline"/>
        <w:rPr>
          <w:sz w:val="24"/>
          <w:szCs w:val="24"/>
          <w:highlight w:val="none"/>
        </w:rPr>
      </w:pPr>
      <w:r>
        <w:rPr>
          <w:rFonts w:hint="eastAsia"/>
          <w:sz w:val="24"/>
          <w:szCs w:val="24"/>
          <w:highlight w:val="none"/>
        </w:rPr>
        <w:t>邮政编码：710065</w:t>
      </w:r>
    </w:p>
    <w:p w14:paraId="3B5221BF">
      <w:pPr>
        <w:tabs>
          <w:tab w:val="left" w:pos="1778"/>
        </w:tabs>
        <w:autoSpaceDE w:val="0"/>
        <w:autoSpaceDN w:val="0"/>
        <w:spacing w:line="400" w:lineRule="exact"/>
        <w:ind w:firstLine="480" w:firstLineChars="200"/>
        <w:jc w:val="both"/>
        <w:textAlignment w:val="baseline"/>
        <w:rPr>
          <w:sz w:val="24"/>
          <w:szCs w:val="24"/>
          <w:highlight w:val="none"/>
        </w:rPr>
      </w:pPr>
      <w:r>
        <w:rPr>
          <w:rFonts w:hint="eastAsia"/>
          <w:sz w:val="24"/>
          <w:szCs w:val="24"/>
          <w:highlight w:val="none"/>
        </w:rPr>
        <w:t>联 系 人：贾江波</w:t>
      </w:r>
    </w:p>
    <w:p w14:paraId="17494D8D">
      <w:pPr>
        <w:tabs>
          <w:tab w:val="left" w:pos="1778"/>
        </w:tabs>
        <w:autoSpaceDE w:val="0"/>
        <w:autoSpaceDN w:val="0"/>
        <w:spacing w:line="400" w:lineRule="exact"/>
        <w:ind w:firstLine="480" w:firstLineChars="200"/>
        <w:jc w:val="both"/>
        <w:textAlignment w:val="baseline"/>
        <w:rPr>
          <w:sz w:val="24"/>
          <w:szCs w:val="24"/>
          <w:highlight w:val="none"/>
        </w:rPr>
      </w:pPr>
      <w:r>
        <w:rPr>
          <w:rFonts w:hint="eastAsia"/>
          <w:sz w:val="24"/>
          <w:szCs w:val="24"/>
          <w:highlight w:val="none"/>
        </w:rPr>
        <w:t>电    话：029-33249829</w:t>
      </w:r>
    </w:p>
    <w:p w14:paraId="53484678">
      <w:pPr>
        <w:spacing w:before="179" w:line="214" w:lineRule="auto"/>
        <w:ind w:left="521"/>
        <w:jc w:val="both"/>
        <w:rPr>
          <w:rFonts w:ascii="宋体" w:hAnsi="宋体" w:eastAsia="宋体" w:cs="宋体"/>
          <w:sz w:val="24"/>
          <w:szCs w:val="24"/>
          <w:highlight w:val="none"/>
        </w:rPr>
      </w:pPr>
      <w:r>
        <w:rPr>
          <w:rFonts w:ascii="宋体" w:hAnsi="宋体" w:eastAsia="宋体" w:cs="宋体"/>
          <w:spacing w:val="-1"/>
          <w:sz w:val="24"/>
          <w:szCs w:val="24"/>
          <w:highlight w:val="none"/>
        </w:rPr>
        <w:t>邮    箱：</w:t>
      </w:r>
      <w:r>
        <w:rPr>
          <w:highlight w:val="none"/>
        </w:rPr>
        <w:fldChar w:fldCharType="begin"/>
      </w:r>
      <w:r>
        <w:rPr>
          <w:highlight w:val="none"/>
        </w:rPr>
        <w:instrText xml:space="preserve"> HYPERLINK "sxjkxqglc@163.com" </w:instrText>
      </w:r>
      <w:r>
        <w:rPr>
          <w:highlight w:val="none"/>
        </w:rPr>
        <w:fldChar w:fldCharType="separate"/>
      </w:r>
      <w:r>
        <w:rPr>
          <w:rFonts w:hint="eastAsia" w:ascii="宋体" w:hAnsi="宋体" w:eastAsia="宋体" w:cs="宋体"/>
          <w:sz w:val="24"/>
          <w:szCs w:val="24"/>
          <w:highlight w:val="none"/>
          <w:lang w:val="en-US" w:eastAsia="zh-CN"/>
        </w:rPr>
        <w:t>zqguanlichu</w:t>
      </w:r>
      <w:r>
        <w:rPr>
          <w:rFonts w:ascii="宋体" w:hAnsi="宋体" w:eastAsia="宋体" w:cs="宋体"/>
          <w:spacing w:val="1"/>
          <w:sz w:val="24"/>
          <w:szCs w:val="24"/>
          <w:highlight w:val="none"/>
        </w:rPr>
        <w:t>@163.</w:t>
      </w:r>
      <w:r>
        <w:rPr>
          <w:rFonts w:ascii="宋体" w:hAnsi="宋体" w:eastAsia="宋体" w:cs="宋体"/>
          <w:sz w:val="24"/>
          <w:szCs w:val="24"/>
          <w:highlight w:val="none"/>
        </w:rPr>
        <w:t>com</w:t>
      </w:r>
      <w:r>
        <w:rPr>
          <w:rFonts w:ascii="宋体" w:hAnsi="宋体" w:eastAsia="宋体" w:cs="宋体"/>
          <w:sz w:val="24"/>
          <w:szCs w:val="24"/>
          <w:highlight w:val="none"/>
        </w:rPr>
        <w:fldChar w:fldCharType="end"/>
      </w:r>
    </w:p>
    <w:p w14:paraId="051DC2B7">
      <w:pPr>
        <w:pStyle w:val="4"/>
        <w:spacing w:line="260" w:lineRule="auto"/>
        <w:jc w:val="both"/>
        <w:rPr>
          <w:highlight w:val="none"/>
        </w:rPr>
      </w:pPr>
    </w:p>
    <w:p w14:paraId="49429CF9">
      <w:pPr>
        <w:pStyle w:val="4"/>
        <w:spacing w:line="260" w:lineRule="auto"/>
        <w:jc w:val="both"/>
        <w:rPr>
          <w:highlight w:val="none"/>
        </w:rPr>
      </w:pPr>
    </w:p>
    <w:p w14:paraId="629318EF">
      <w:pPr>
        <w:pStyle w:val="4"/>
        <w:spacing w:line="260" w:lineRule="auto"/>
        <w:jc w:val="both"/>
        <w:rPr>
          <w:highlight w:val="none"/>
        </w:rPr>
      </w:pPr>
    </w:p>
    <w:p w14:paraId="27B5981E">
      <w:pPr>
        <w:pStyle w:val="4"/>
        <w:spacing w:line="261" w:lineRule="auto"/>
        <w:jc w:val="both"/>
        <w:rPr>
          <w:highlight w:val="none"/>
        </w:rPr>
      </w:pPr>
    </w:p>
    <w:p w14:paraId="6CCA0053">
      <w:pPr>
        <w:spacing w:before="79" w:line="220" w:lineRule="auto"/>
        <w:ind w:left="6372"/>
        <w:jc w:val="both"/>
        <w:rPr>
          <w:rFonts w:ascii="宋体" w:hAnsi="宋体" w:eastAsia="宋体" w:cs="宋体"/>
          <w:sz w:val="24"/>
          <w:szCs w:val="24"/>
          <w:highlight w:val="none"/>
        </w:rPr>
      </w:pPr>
      <w:r>
        <w:rPr>
          <w:rFonts w:ascii="宋体" w:hAnsi="宋体" w:eastAsia="宋体" w:cs="宋体"/>
          <w:spacing w:val="-5"/>
          <w:sz w:val="24"/>
          <w:szCs w:val="24"/>
          <w:highlight w:val="none"/>
        </w:rPr>
        <w:t>202</w:t>
      </w:r>
      <w:r>
        <w:rPr>
          <w:rFonts w:hint="eastAsia" w:ascii="宋体" w:hAnsi="宋体" w:eastAsia="宋体" w:cs="宋体"/>
          <w:spacing w:val="-5"/>
          <w:sz w:val="24"/>
          <w:szCs w:val="24"/>
          <w:highlight w:val="none"/>
          <w:lang w:val="en-US" w:eastAsia="zh-CN"/>
        </w:rPr>
        <w:t>6</w:t>
      </w:r>
      <w:r>
        <w:rPr>
          <w:rFonts w:ascii="宋体" w:hAnsi="宋体" w:eastAsia="宋体" w:cs="宋体"/>
          <w:spacing w:val="-49"/>
          <w:sz w:val="24"/>
          <w:szCs w:val="24"/>
          <w:highlight w:val="none"/>
        </w:rPr>
        <w:t xml:space="preserve"> </w:t>
      </w:r>
      <w:r>
        <w:rPr>
          <w:rFonts w:ascii="宋体" w:hAnsi="宋体" w:eastAsia="宋体" w:cs="宋体"/>
          <w:spacing w:val="-5"/>
          <w:sz w:val="24"/>
          <w:szCs w:val="24"/>
          <w:highlight w:val="none"/>
        </w:rPr>
        <w:t>年</w:t>
      </w:r>
      <w:r>
        <w:rPr>
          <w:rFonts w:hint="eastAsia" w:ascii="宋体" w:hAnsi="宋体" w:eastAsia="宋体" w:cs="宋体"/>
          <w:spacing w:val="-50"/>
          <w:sz w:val="24"/>
          <w:szCs w:val="24"/>
          <w:highlight w:val="none"/>
          <w:lang w:val="en-US" w:eastAsia="zh-CN"/>
        </w:rPr>
        <w:t>11</w:t>
      </w:r>
      <w:r>
        <w:rPr>
          <w:rFonts w:ascii="宋体" w:hAnsi="宋体" w:eastAsia="宋体" w:cs="宋体"/>
          <w:spacing w:val="-5"/>
          <w:sz w:val="24"/>
          <w:szCs w:val="24"/>
          <w:highlight w:val="none"/>
        </w:rPr>
        <w:t>月</w:t>
      </w:r>
    </w:p>
    <w:p w14:paraId="363DBD19">
      <w:pPr>
        <w:jc w:val="both"/>
        <w:rPr>
          <w:rFonts w:ascii="宋体" w:hAnsi="宋体" w:eastAsia="宋体" w:cs="宋体"/>
          <w:b/>
          <w:bCs/>
          <w:spacing w:val="-5"/>
          <w:sz w:val="28"/>
          <w:szCs w:val="28"/>
          <w:highlight w:val="none"/>
        </w:rPr>
      </w:pPr>
      <w:r>
        <w:rPr>
          <w:rFonts w:ascii="宋体" w:hAnsi="宋体" w:eastAsia="宋体" w:cs="宋体"/>
          <w:b/>
          <w:bCs/>
          <w:spacing w:val="-5"/>
          <w:sz w:val="28"/>
          <w:szCs w:val="28"/>
          <w:highlight w:val="none"/>
        </w:rPr>
        <w:br w:type="page"/>
      </w:r>
    </w:p>
    <w:p w14:paraId="762085E1">
      <w:pPr>
        <w:spacing w:before="91" w:line="219" w:lineRule="auto"/>
        <w:ind w:left="204"/>
        <w:jc w:val="both"/>
        <w:rPr>
          <w:rFonts w:ascii="宋体" w:hAnsi="宋体" w:eastAsia="宋体" w:cs="宋体"/>
          <w:sz w:val="28"/>
          <w:szCs w:val="28"/>
          <w:highlight w:val="none"/>
        </w:rPr>
      </w:pPr>
      <w:r>
        <w:rPr>
          <w:rFonts w:ascii="宋体" w:hAnsi="宋体" w:eastAsia="宋体" w:cs="宋体"/>
          <w:b/>
          <w:bCs/>
          <w:spacing w:val="-5"/>
          <w:sz w:val="28"/>
          <w:szCs w:val="28"/>
          <w:highlight w:val="none"/>
        </w:rPr>
        <w:t>附件：招标文件购买信息登记表</w:t>
      </w:r>
    </w:p>
    <w:p w14:paraId="504E0F29">
      <w:pPr>
        <w:spacing w:before="182" w:line="220" w:lineRule="auto"/>
        <w:jc w:val="center"/>
        <w:rPr>
          <w:rFonts w:hint="eastAsia" w:ascii="宋体" w:hAnsi="宋体" w:eastAsia="宋体" w:cs="宋体"/>
          <w:b/>
          <w:bCs/>
          <w:spacing w:val="-3"/>
          <w:sz w:val="24"/>
          <w:szCs w:val="24"/>
          <w:highlight w:val="none"/>
        </w:rPr>
      </w:pPr>
      <w:r>
        <w:rPr>
          <w:rFonts w:hint="eastAsia" w:ascii="宋体" w:hAnsi="宋体" w:eastAsia="宋体" w:cs="宋体"/>
          <w:b/>
          <w:bCs/>
          <w:spacing w:val="-3"/>
          <w:sz w:val="24"/>
          <w:szCs w:val="24"/>
          <w:highlight w:val="none"/>
        </w:rPr>
        <w:t>G9908西安都市圈环线周至至乾县高速公路路基桥涵工程</w:t>
      </w:r>
    </w:p>
    <w:p w14:paraId="598A32D6">
      <w:pPr>
        <w:spacing w:before="182" w:line="220" w:lineRule="auto"/>
        <w:jc w:val="center"/>
        <w:rPr>
          <w:rFonts w:ascii="宋体" w:hAnsi="宋体" w:eastAsia="宋体" w:cs="宋体"/>
          <w:sz w:val="24"/>
          <w:szCs w:val="24"/>
          <w:highlight w:val="none"/>
        </w:rPr>
      </w:pPr>
      <w:r>
        <w:rPr>
          <w:rFonts w:hint="eastAsia" w:ascii="宋体" w:hAnsi="宋体" w:eastAsia="宋体" w:cs="宋体"/>
          <w:b/>
          <w:bCs/>
          <w:spacing w:val="-3"/>
          <w:sz w:val="24"/>
          <w:szCs w:val="24"/>
          <w:highlight w:val="none"/>
        </w:rPr>
        <w:t>施工（A、B组）招标文件购买信息登记表</w:t>
      </w:r>
    </w:p>
    <w:p w14:paraId="0C5FA512">
      <w:pPr>
        <w:spacing w:line="66" w:lineRule="exact"/>
        <w:jc w:val="both"/>
        <w:rPr>
          <w:highlight w:val="none"/>
        </w:rPr>
      </w:pPr>
    </w:p>
    <w:tbl>
      <w:tblPr>
        <w:tblStyle w:val="10"/>
        <w:tblW w:w="863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98"/>
        <w:gridCol w:w="6141"/>
      </w:tblGrid>
      <w:tr w14:paraId="28C516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498" w:type="dxa"/>
            <w:vAlign w:val="top"/>
          </w:tcPr>
          <w:p w14:paraId="63B21690">
            <w:pPr>
              <w:pStyle w:val="9"/>
              <w:spacing w:before="155" w:line="220" w:lineRule="auto"/>
              <w:ind w:left="772"/>
              <w:jc w:val="both"/>
              <w:rPr>
                <w:sz w:val="24"/>
                <w:szCs w:val="24"/>
                <w:highlight w:val="none"/>
              </w:rPr>
            </w:pPr>
            <w:r>
              <w:rPr>
                <w:b/>
                <w:bCs/>
                <w:spacing w:val="-5"/>
                <w:sz w:val="24"/>
                <w:szCs w:val="24"/>
                <w:highlight w:val="none"/>
              </w:rPr>
              <w:t>单位名称</w:t>
            </w:r>
          </w:p>
        </w:tc>
        <w:tc>
          <w:tcPr>
            <w:tcW w:w="6141" w:type="dxa"/>
            <w:vAlign w:val="top"/>
          </w:tcPr>
          <w:p w14:paraId="61E00147">
            <w:pPr>
              <w:jc w:val="both"/>
              <w:rPr>
                <w:rFonts w:ascii="Arial"/>
                <w:sz w:val="21"/>
                <w:highlight w:val="none"/>
              </w:rPr>
            </w:pPr>
          </w:p>
        </w:tc>
      </w:tr>
      <w:tr w14:paraId="50BBD5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2498" w:type="dxa"/>
            <w:vAlign w:val="top"/>
          </w:tcPr>
          <w:p w14:paraId="6B8C00F0">
            <w:pPr>
              <w:pStyle w:val="9"/>
              <w:spacing w:before="151" w:line="220" w:lineRule="auto"/>
              <w:ind w:left="653"/>
              <w:jc w:val="both"/>
              <w:rPr>
                <w:sz w:val="24"/>
                <w:szCs w:val="24"/>
                <w:highlight w:val="none"/>
              </w:rPr>
            </w:pPr>
            <w:r>
              <w:rPr>
                <w:spacing w:val="-2"/>
                <w:sz w:val="24"/>
                <w:szCs w:val="24"/>
                <w:highlight w:val="none"/>
              </w:rPr>
              <w:t>联系人姓名</w:t>
            </w:r>
          </w:p>
        </w:tc>
        <w:tc>
          <w:tcPr>
            <w:tcW w:w="6141" w:type="dxa"/>
            <w:vAlign w:val="top"/>
          </w:tcPr>
          <w:p w14:paraId="747C14C0">
            <w:pPr>
              <w:jc w:val="both"/>
              <w:rPr>
                <w:rFonts w:ascii="Arial"/>
                <w:sz w:val="21"/>
                <w:highlight w:val="none"/>
              </w:rPr>
            </w:pPr>
          </w:p>
        </w:tc>
      </w:tr>
      <w:tr w14:paraId="3CC76F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2498" w:type="dxa"/>
            <w:vAlign w:val="top"/>
          </w:tcPr>
          <w:p w14:paraId="461B3B74">
            <w:pPr>
              <w:pStyle w:val="9"/>
              <w:spacing w:before="87" w:line="219" w:lineRule="auto"/>
              <w:ind w:left="1011"/>
              <w:jc w:val="both"/>
              <w:rPr>
                <w:sz w:val="24"/>
                <w:szCs w:val="24"/>
                <w:highlight w:val="none"/>
              </w:rPr>
            </w:pPr>
            <w:r>
              <w:rPr>
                <w:b/>
                <w:bCs/>
                <w:spacing w:val="-7"/>
                <w:sz w:val="24"/>
                <w:szCs w:val="24"/>
                <w:highlight w:val="none"/>
              </w:rPr>
              <w:t>手机</w:t>
            </w:r>
          </w:p>
        </w:tc>
        <w:tc>
          <w:tcPr>
            <w:tcW w:w="6141" w:type="dxa"/>
            <w:vAlign w:val="top"/>
          </w:tcPr>
          <w:p w14:paraId="11E87BEE">
            <w:pPr>
              <w:jc w:val="both"/>
              <w:rPr>
                <w:rFonts w:ascii="Arial"/>
                <w:sz w:val="21"/>
                <w:highlight w:val="none"/>
              </w:rPr>
            </w:pPr>
          </w:p>
        </w:tc>
      </w:tr>
      <w:tr w14:paraId="721B06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2498" w:type="dxa"/>
            <w:vAlign w:val="top"/>
          </w:tcPr>
          <w:p w14:paraId="77126B8C">
            <w:pPr>
              <w:pStyle w:val="9"/>
              <w:spacing w:before="161" w:line="220" w:lineRule="auto"/>
              <w:ind w:left="793"/>
              <w:jc w:val="both"/>
              <w:rPr>
                <w:sz w:val="24"/>
                <w:szCs w:val="24"/>
                <w:highlight w:val="none"/>
              </w:rPr>
            </w:pPr>
            <w:r>
              <w:rPr>
                <w:spacing w:val="-6"/>
                <w:sz w:val="24"/>
                <w:szCs w:val="24"/>
                <w:highlight w:val="none"/>
              </w:rPr>
              <w:t>固定电话</w:t>
            </w:r>
          </w:p>
        </w:tc>
        <w:tc>
          <w:tcPr>
            <w:tcW w:w="6141" w:type="dxa"/>
            <w:vAlign w:val="top"/>
          </w:tcPr>
          <w:p w14:paraId="6021AC48">
            <w:pPr>
              <w:jc w:val="both"/>
              <w:rPr>
                <w:rFonts w:ascii="Arial"/>
                <w:sz w:val="21"/>
                <w:highlight w:val="none"/>
              </w:rPr>
            </w:pPr>
          </w:p>
        </w:tc>
      </w:tr>
      <w:tr w14:paraId="63BE17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2498" w:type="dxa"/>
            <w:vAlign w:val="top"/>
          </w:tcPr>
          <w:p w14:paraId="097CCD0E">
            <w:pPr>
              <w:pStyle w:val="9"/>
              <w:spacing w:before="122" w:line="219" w:lineRule="auto"/>
              <w:ind w:left="1010"/>
              <w:jc w:val="both"/>
              <w:rPr>
                <w:sz w:val="24"/>
                <w:szCs w:val="24"/>
                <w:highlight w:val="none"/>
              </w:rPr>
            </w:pPr>
            <w:r>
              <w:rPr>
                <w:spacing w:val="-2"/>
                <w:sz w:val="24"/>
                <w:szCs w:val="24"/>
                <w:highlight w:val="none"/>
              </w:rPr>
              <w:t>传真</w:t>
            </w:r>
          </w:p>
        </w:tc>
        <w:tc>
          <w:tcPr>
            <w:tcW w:w="6141" w:type="dxa"/>
            <w:vAlign w:val="top"/>
          </w:tcPr>
          <w:p w14:paraId="2F27D386">
            <w:pPr>
              <w:jc w:val="both"/>
              <w:rPr>
                <w:rFonts w:ascii="Arial"/>
                <w:sz w:val="21"/>
                <w:highlight w:val="none"/>
              </w:rPr>
            </w:pPr>
          </w:p>
        </w:tc>
      </w:tr>
      <w:tr w14:paraId="3C3C13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atLeast"/>
        </w:trPr>
        <w:tc>
          <w:tcPr>
            <w:tcW w:w="2498" w:type="dxa"/>
            <w:vAlign w:val="top"/>
          </w:tcPr>
          <w:p w14:paraId="2E6F5D38">
            <w:pPr>
              <w:pStyle w:val="9"/>
              <w:spacing w:before="152" w:line="220" w:lineRule="auto"/>
              <w:ind w:left="798"/>
              <w:jc w:val="both"/>
              <w:rPr>
                <w:sz w:val="24"/>
                <w:szCs w:val="24"/>
                <w:highlight w:val="none"/>
              </w:rPr>
            </w:pPr>
            <w:r>
              <w:rPr>
                <w:b/>
                <w:bCs/>
                <w:spacing w:val="-12"/>
                <w:sz w:val="24"/>
                <w:szCs w:val="24"/>
                <w:highlight w:val="none"/>
              </w:rPr>
              <w:t>电子邮箱</w:t>
            </w:r>
          </w:p>
        </w:tc>
        <w:tc>
          <w:tcPr>
            <w:tcW w:w="6141" w:type="dxa"/>
            <w:vAlign w:val="top"/>
          </w:tcPr>
          <w:p w14:paraId="112F72D8">
            <w:pPr>
              <w:jc w:val="both"/>
              <w:rPr>
                <w:rFonts w:ascii="Arial"/>
                <w:sz w:val="21"/>
                <w:highlight w:val="none"/>
              </w:rPr>
            </w:pPr>
          </w:p>
        </w:tc>
      </w:tr>
      <w:tr w14:paraId="600A57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7" w:hRule="atLeast"/>
        </w:trPr>
        <w:tc>
          <w:tcPr>
            <w:tcW w:w="2498" w:type="dxa"/>
            <w:vAlign w:val="top"/>
          </w:tcPr>
          <w:p w14:paraId="6A4A8948">
            <w:pPr>
              <w:pStyle w:val="9"/>
              <w:spacing w:before="231" w:line="221" w:lineRule="auto"/>
              <w:ind w:left="1015"/>
              <w:jc w:val="both"/>
              <w:rPr>
                <w:sz w:val="24"/>
                <w:szCs w:val="24"/>
                <w:highlight w:val="none"/>
              </w:rPr>
            </w:pPr>
            <w:r>
              <w:rPr>
                <w:spacing w:val="-4"/>
                <w:sz w:val="24"/>
                <w:szCs w:val="24"/>
                <w:highlight w:val="none"/>
              </w:rPr>
              <w:t>备注</w:t>
            </w:r>
          </w:p>
        </w:tc>
        <w:tc>
          <w:tcPr>
            <w:tcW w:w="6141" w:type="dxa"/>
            <w:vAlign w:val="top"/>
          </w:tcPr>
          <w:p w14:paraId="3C65FA9B">
            <w:pPr>
              <w:jc w:val="both"/>
              <w:rPr>
                <w:rFonts w:ascii="Arial"/>
                <w:sz w:val="21"/>
                <w:highlight w:val="none"/>
              </w:rPr>
            </w:pPr>
          </w:p>
        </w:tc>
      </w:tr>
    </w:tbl>
    <w:p w14:paraId="52FF6633">
      <w:pPr>
        <w:pStyle w:val="4"/>
        <w:spacing w:before="118" w:line="220" w:lineRule="auto"/>
        <w:jc w:val="both"/>
        <w:outlineLvl w:val="0"/>
        <w:rPr>
          <w:spacing w:val="15"/>
          <w:sz w:val="36"/>
          <w:szCs w:val="36"/>
          <w:highlight w:val="none"/>
        </w:rPr>
      </w:pPr>
    </w:p>
    <w:bookmarkEnd w:id="1"/>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2EA28F1-284B-422B-B7EC-042F9D0A5689}"/>
  </w:font>
  <w:font w:name="黑体">
    <w:panose1 w:val="02010609060101010101"/>
    <w:charset w:val="86"/>
    <w:family w:val="auto"/>
    <w:pitch w:val="default"/>
    <w:sig w:usb0="800002BF" w:usb1="38CF7CFA" w:usb2="00000016" w:usb3="00000000" w:csb0="00040001" w:csb1="00000000"/>
    <w:embedRegular r:id="rId2" w:fontKey="{C6344457-0640-4188-9DB0-8AD63A15375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D926AE8D-FFC7-4972-AD46-A22603F7FC68}"/>
  </w:font>
  <w:font w:name="方正小标宋简体">
    <w:panose1 w:val="02000000000000000000"/>
    <w:charset w:val="86"/>
    <w:family w:val="auto"/>
    <w:pitch w:val="default"/>
    <w:sig w:usb0="00000001" w:usb1="08000000" w:usb2="00000000" w:usb3="00000000" w:csb0="00040000" w:csb1="00000000"/>
    <w:embedRegular r:id="rId4" w:fontKey="{7AD24287-F273-4A06-8509-F88B139B0135}"/>
  </w:font>
  <w:font w:name="仿宋_GB2312">
    <w:panose1 w:val="02010609030101010101"/>
    <w:charset w:val="86"/>
    <w:family w:val="modern"/>
    <w:pitch w:val="default"/>
    <w:sig w:usb0="00000001" w:usb1="080E0000" w:usb2="00000000" w:usb3="00000000" w:csb0="00040000" w:csb1="00000000"/>
    <w:embedRegular r:id="rId5" w:fontKey="{DC6E6645-8739-4C8B-BED2-87F514DF1D40}"/>
  </w:font>
  <w:font w:name="仿宋">
    <w:panose1 w:val="02010609060101010101"/>
    <w:charset w:val="86"/>
    <w:family w:val="modern"/>
    <w:pitch w:val="default"/>
    <w:sig w:usb0="800002BF" w:usb1="38CF7CFA" w:usb2="00000016" w:usb3="00000000" w:csb0="00040001" w:csb1="00000000"/>
    <w:embedRegular r:id="rId6" w:fontKey="{2CFA899B-58B1-4852-B2CE-D20ED507F02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F84C39"/>
    <w:rsid w:val="032C70B2"/>
    <w:rsid w:val="037B2EA2"/>
    <w:rsid w:val="04FF355B"/>
    <w:rsid w:val="0B174144"/>
    <w:rsid w:val="0EA94218"/>
    <w:rsid w:val="185D4543"/>
    <w:rsid w:val="18FA6A3B"/>
    <w:rsid w:val="195B5FC1"/>
    <w:rsid w:val="23437C68"/>
    <w:rsid w:val="25807EAF"/>
    <w:rsid w:val="2783572D"/>
    <w:rsid w:val="29F0497A"/>
    <w:rsid w:val="2BF8231C"/>
    <w:rsid w:val="36765F83"/>
    <w:rsid w:val="38E4232C"/>
    <w:rsid w:val="39BD32D5"/>
    <w:rsid w:val="3CB7733E"/>
    <w:rsid w:val="479827E5"/>
    <w:rsid w:val="4DB16B57"/>
    <w:rsid w:val="51475FBA"/>
    <w:rsid w:val="52752B00"/>
    <w:rsid w:val="559A0800"/>
    <w:rsid w:val="55F21EDE"/>
    <w:rsid w:val="56D46542"/>
    <w:rsid w:val="57135F3E"/>
    <w:rsid w:val="587B479B"/>
    <w:rsid w:val="5A9F6E67"/>
    <w:rsid w:val="5C965957"/>
    <w:rsid w:val="5E522DAA"/>
    <w:rsid w:val="60740F00"/>
    <w:rsid w:val="66616023"/>
    <w:rsid w:val="67FE4937"/>
    <w:rsid w:val="704242E6"/>
    <w:rsid w:val="729303E6"/>
    <w:rsid w:val="750636AA"/>
    <w:rsid w:val="756F0E8F"/>
    <w:rsid w:val="77217132"/>
    <w:rsid w:val="7896198A"/>
    <w:rsid w:val="797370CB"/>
    <w:rsid w:val="7E0F21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oa heading"/>
    <w:basedOn w:val="1"/>
    <w:next w:val="1"/>
    <w:qFormat/>
    <w:uiPriority w:val="0"/>
    <w:rPr>
      <w:rFonts w:ascii="Arial" w:hAnsi="Arial"/>
      <w:sz w:val="24"/>
    </w:rPr>
  </w:style>
  <w:style w:type="paragraph" w:styleId="3">
    <w:name w:val="caption"/>
    <w:basedOn w:val="1"/>
    <w:next w:val="1"/>
    <w:qFormat/>
    <w:uiPriority w:val="0"/>
    <w:rPr>
      <w:rFonts w:eastAsia="黑体"/>
      <w:sz w:val="20"/>
    </w:rPr>
  </w:style>
  <w:style w:type="paragraph" w:styleId="4">
    <w:name w:val="Body Text"/>
    <w:basedOn w:val="1"/>
    <w:semiHidden/>
    <w:qFormat/>
    <w:uiPriority w:val="0"/>
    <w:rPr>
      <w:rFonts w:ascii="宋体" w:hAnsi="宋体" w:eastAsia="宋体" w:cs="宋体"/>
      <w:sz w:val="28"/>
      <w:szCs w:val="28"/>
      <w:lang w:val="en-US" w:eastAsia="en-US" w:bidi="ar-SA"/>
    </w:rPr>
  </w:style>
  <w:style w:type="paragraph" w:styleId="5">
    <w:name w:val="footer"/>
    <w:basedOn w:val="1"/>
    <w:unhideWhenUsed/>
    <w:qFormat/>
    <w:uiPriority w:val="99"/>
    <w:pPr>
      <w:tabs>
        <w:tab w:val="center" w:pos="4153"/>
        <w:tab w:val="right" w:pos="8306"/>
      </w:tabs>
      <w:snapToGrid w:val="0"/>
      <w:jc w:val="left"/>
    </w:pPr>
    <w:rPr>
      <w:kern w:val="0"/>
      <w:sz w:val="18"/>
      <w:szCs w:val="18"/>
    </w:rPr>
  </w:style>
  <w:style w:type="character" w:styleId="8">
    <w:name w:val="annotation reference"/>
    <w:qFormat/>
    <w:uiPriority w:val="99"/>
    <w:rPr>
      <w:rFonts w:cs="Times New Roman"/>
      <w:sz w:val="21"/>
      <w:szCs w:val="21"/>
    </w:rPr>
  </w:style>
  <w:style w:type="paragraph" w:customStyle="1" w:styleId="9">
    <w:name w:val="Table Text"/>
    <w:basedOn w:val="1"/>
    <w:semiHidden/>
    <w:qFormat/>
    <w:uiPriority w:val="0"/>
    <w:rPr>
      <w:rFonts w:ascii="宋体" w:hAnsi="宋体" w:eastAsia="宋体" w:cs="宋体"/>
      <w:sz w:val="21"/>
      <w:szCs w:val="21"/>
      <w:lang w:val="en-US" w:eastAsia="en-US" w:bidi="ar-SA"/>
    </w:rPr>
  </w:style>
  <w:style w:type="table" w:customStyle="1" w:styleId="10">
    <w:name w:val="Table Normal"/>
    <w:semiHidden/>
    <w:unhideWhenUsed/>
    <w:qFormat/>
    <w:uiPriority w:val="0"/>
    <w:tblPr>
      <w:tblCellMar>
        <w:top w:w="0" w:type="dxa"/>
        <w:left w:w="0" w:type="dxa"/>
        <w:bottom w:w="0" w:type="dxa"/>
        <w:right w:w="0" w:type="dxa"/>
      </w:tblCellMar>
    </w:tblPr>
  </w:style>
  <w:style w:type="character" w:customStyle="1" w:styleId="11">
    <w:name w:val="正文文本 + 10 pt2"/>
    <w:qFormat/>
    <w:uiPriority w:val="0"/>
    <w:rPr>
      <w:rFonts w:ascii="黑体" w:hAnsi="黑体" w:cs="黑体"/>
      <w:color w:val="000000"/>
      <w:kern w:val="1"/>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561</Words>
  <Characters>655</Characters>
  <Lines>0</Lines>
  <Paragraphs>0</Paragraphs>
  <TotalTime>3</TotalTime>
  <ScaleCrop>false</ScaleCrop>
  <LinksUpToDate>false</LinksUpToDate>
  <CharactersWithSpaces>656</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2026-04-14T06:46:00Z</dcterms:created>
  <dc:creator>lenovo</dc:creator>
  <cp:lastModifiedBy>Assassin</cp:lastModifiedBy>
  <dcterms:modified xsi:type="dcterms:W3CDTF">2026-11-06T05:55:27Z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KSOTemplateDocerSaveRecord">
    <vt:lpwstr>eyJoZGlkIjoiOTBiYjUxOThmOTdkMWVlMmFlM2FmYWRmYWE0MTZjMWUiLCJ1c2VySWQiOiI3MDY1MzQyMjEifQ==</vt:lpwstr>
  </property>
  <property fmtid="{D5CDD505-2E9C-101B-9397-08002B2CF9AE}" pid="4" name="ICV">
    <vt:lpwstr>941D69B7352C4FFBAE73216545F0051E_12</vt:lpwstr>
  </property>
</Properties>
</file>